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FA8F3" w14:textId="77777777" w:rsidR="00715914" w:rsidRPr="00FA33FB" w:rsidRDefault="00997416" w:rsidP="00781DD2">
      <w:pPr>
        <w:pStyle w:val="Plain"/>
        <w:jc w:val="center"/>
        <w:rPr>
          <w:sz w:val="28"/>
        </w:rPr>
      </w:pPr>
      <w:r>
        <w:rPr>
          <w:noProof/>
        </w:rPr>
        <w:drawing>
          <wp:inline distT="0" distB="0" distL="0" distR="0" wp14:anchorId="0F657235" wp14:editId="41DB1B78">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8B14B5F" w14:textId="77777777" w:rsidR="00715914" w:rsidRPr="00FA33FB" w:rsidRDefault="00715914" w:rsidP="00715914">
      <w:pPr>
        <w:rPr>
          <w:sz w:val="19"/>
        </w:rPr>
      </w:pPr>
    </w:p>
    <w:p w14:paraId="14A52DDE" w14:textId="77777777" w:rsidR="000F76FA" w:rsidRPr="00024911" w:rsidRDefault="00E55F66" w:rsidP="006647B7">
      <w:pPr>
        <w:pStyle w:val="Plainheader"/>
      </w:pPr>
      <w:r w:rsidRPr="00024911">
        <w:t>Statement of Principles</w:t>
      </w:r>
    </w:p>
    <w:p w14:paraId="1FDD5386" w14:textId="77777777" w:rsidR="000F76FA" w:rsidRPr="00024911" w:rsidRDefault="000F76FA" w:rsidP="006647B7">
      <w:pPr>
        <w:pStyle w:val="Plainheader"/>
      </w:pPr>
      <w:r w:rsidRPr="00024911">
        <w:t>c</w:t>
      </w:r>
      <w:r w:rsidR="00E55F66" w:rsidRPr="00024911">
        <w:t>oncerning</w:t>
      </w:r>
    </w:p>
    <w:p w14:paraId="08DA0629" w14:textId="77777777" w:rsidR="00054930" w:rsidRDefault="00F83264" w:rsidP="006647B7">
      <w:pPr>
        <w:pStyle w:val="Plainheader"/>
      </w:pPr>
      <w:bookmarkStart w:id="0" w:name="SoP_Name_Title"/>
      <w:r>
        <w:t>O</w:t>
      </w:r>
      <w:r w:rsidR="00EC57E8">
        <w:t>STEOPOROSIS</w:t>
      </w:r>
      <w:bookmarkEnd w:id="0"/>
      <w:r w:rsidR="00997416">
        <w:br/>
        <w:t>(</w:t>
      </w:r>
      <w:r w:rsidR="005E589B">
        <w:t>Reasonable Hypothesis</w:t>
      </w:r>
      <w:r w:rsidR="00997416">
        <w:t xml:space="preserve">) </w:t>
      </w:r>
    </w:p>
    <w:p w14:paraId="2F2B1B80" w14:textId="756E90CB" w:rsidR="00715914" w:rsidRPr="00024911" w:rsidRDefault="00E55F66" w:rsidP="006647B7">
      <w:pPr>
        <w:pStyle w:val="Plainheader"/>
      </w:pPr>
      <w:r w:rsidRPr="00024911">
        <w:t xml:space="preserve">(No. </w:t>
      </w:r>
      <w:bookmarkStart w:id="1" w:name="BP"/>
      <w:r w:rsidR="008A28C8">
        <w:t>66</w:t>
      </w:r>
      <w:bookmarkEnd w:id="1"/>
      <w:r w:rsidRPr="00024911">
        <w:t xml:space="preserve"> of</w:t>
      </w:r>
      <w:r w:rsidR="00085567">
        <w:t xml:space="preserve"> </w:t>
      </w:r>
      <w:bookmarkStart w:id="2" w:name="year"/>
      <w:r w:rsidR="00EC57E8">
        <w:t>2024</w:t>
      </w:r>
      <w:bookmarkEnd w:id="2"/>
      <w:r w:rsidRPr="00024911">
        <w:t>)</w:t>
      </w:r>
    </w:p>
    <w:p w14:paraId="23CAD7B7"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w:t>
      </w:r>
      <w:proofErr w:type="gramStart"/>
      <w:r w:rsidR="005E589B">
        <w:rPr>
          <w:sz w:val="24"/>
          <w:szCs w:val="24"/>
        </w:rPr>
        <w:t>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37C255A2" w14:textId="77777777" w:rsidR="00F97A62" w:rsidRPr="00F97A62" w:rsidRDefault="00F97A62" w:rsidP="00F97A62">
      <w:pPr>
        <w:rPr>
          <w:lang w:eastAsia="en-AU"/>
        </w:rPr>
      </w:pPr>
    </w:p>
    <w:p w14:paraId="355BECA3" w14:textId="14CE60F7"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8A28C8">
        <w:rPr>
          <w:b w:val="0"/>
        </w:rPr>
        <w:t xml:space="preserve"> 20 August 2024.</w:t>
      </w:r>
    </w:p>
    <w:p w14:paraId="2291F951" w14:textId="77777777" w:rsidR="00F67B67" w:rsidRPr="00781DD2" w:rsidRDefault="00F67B67" w:rsidP="00781DD2">
      <w:pPr>
        <w:pStyle w:val="Plain"/>
        <w:spacing w:before="0"/>
        <w:ind w:left="0"/>
        <w:rPr>
          <w:b w:val="0"/>
        </w:rPr>
      </w:pPr>
    </w:p>
    <w:p w14:paraId="55165292" w14:textId="77777777" w:rsidR="00D93DA9" w:rsidRPr="00781DD2" w:rsidRDefault="00D93DA9" w:rsidP="00781DD2">
      <w:pPr>
        <w:pStyle w:val="Plain"/>
        <w:spacing w:before="0"/>
        <w:ind w:left="0"/>
        <w:rPr>
          <w:b w:val="0"/>
        </w:rPr>
      </w:pPr>
    </w:p>
    <w:p w14:paraId="546A8314" w14:textId="77777777" w:rsidR="00D93DA9" w:rsidRPr="00781DD2" w:rsidRDefault="00D93DA9" w:rsidP="00781DD2">
      <w:pPr>
        <w:pStyle w:val="Plain"/>
        <w:spacing w:before="0"/>
        <w:ind w:left="0"/>
        <w:rPr>
          <w:b w:val="0"/>
        </w:rPr>
      </w:pPr>
    </w:p>
    <w:p w14:paraId="15338084" w14:textId="77777777" w:rsidR="00D93DA9" w:rsidRPr="00781DD2" w:rsidRDefault="00D93DA9" w:rsidP="00781DD2">
      <w:pPr>
        <w:pStyle w:val="Plain"/>
        <w:spacing w:before="0"/>
        <w:ind w:left="0"/>
        <w:rPr>
          <w:b w:val="0"/>
        </w:rPr>
      </w:pPr>
    </w:p>
    <w:p w14:paraId="73D61128" w14:textId="77777777"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14:paraId="6C4D2088" w14:textId="77777777" w:rsidTr="0034373D">
        <w:tc>
          <w:tcPr>
            <w:tcW w:w="4116" w:type="dxa"/>
          </w:tcPr>
          <w:p w14:paraId="765D1720" w14:textId="77777777" w:rsidR="00ED20B7" w:rsidRPr="00781DD2" w:rsidRDefault="00ED20B7" w:rsidP="00670CD2">
            <w:pPr>
              <w:pStyle w:val="Plain"/>
              <w:spacing w:before="0"/>
              <w:ind w:left="0"/>
              <w:rPr>
                <w:b w:val="0"/>
              </w:rPr>
            </w:pPr>
          </w:p>
        </w:tc>
      </w:tr>
      <w:tr w:rsidR="00ED20B7" w:rsidRPr="00781DD2" w14:paraId="16B015F7" w14:textId="77777777" w:rsidTr="0034373D">
        <w:tc>
          <w:tcPr>
            <w:tcW w:w="4116" w:type="dxa"/>
          </w:tcPr>
          <w:p w14:paraId="65E5EFA0" w14:textId="77777777" w:rsidR="00ED20B7" w:rsidRPr="00781DD2" w:rsidRDefault="00ED20B7" w:rsidP="00781DD2">
            <w:pPr>
              <w:pStyle w:val="Plain"/>
              <w:spacing w:before="0"/>
              <w:ind w:left="0"/>
              <w:rPr>
                <w:b w:val="0"/>
              </w:rPr>
            </w:pPr>
          </w:p>
          <w:p w14:paraId="4126AE75" w14:textId="77777777" w:rsidR="00ED20B7" w:rsidRPr="00781DD2" w:rsidRDefault="00ED20B7" w:rsidP="00781DD2">
            <w:pPr>
              <w:pStyle w:val="Plain"/>
              <w:spacing w:before="0"/>
              <w:ind w:left="0"/>
              <w:rPr>
                <w:b w:val="0"/>
              </w:rPr>
            </w:pPr>
          </w:p>
          <w:p w14:paraId="03FF9679" w14:textId="77777777" w:rsidR="00ED20B7" w:rsidRDefault="00ED20B7" w:rsidP="00670CD2">
            <w:pPr>
              <w:pStyle w:val="Plain"/>
              <w:spacing w:before="0"/>
              <w:ind w:left="0"/>
            </w:pPr>
          </w:p>
          <w:p w14:paraId="7F3C5CDF" w14:textId="77777777" w:rsidR="00670CD2" w:rsidRDefault="00670CD2" w:rsidP="00670CD2">
            <w:pPr>
              <w:pStyle w:val="Plain"/>
              <w:spacing w:before="0"/>
              <w:ind w:left="0"/>
            </w:pPr>
          </w:p>
          <w:p w14:paraId="49C3CAB3" w14:textId="77777777" w:rsidR="00670CD2" w:rsidRDefault="00670CD2" w:rsidP="00670CD2">
            <w:pPr>
              <w:pStyle w:val="Plain"/>
              <w:spacing w:before="0"/>
              <w:ind w:left="0"/>
            </w:pPr>
          </w:p>
          <w:p w14:paraId="7744203F" w14:textId="77777777" w:rsidR="00670CD2" w:rsidRDefault="00670CD2" w:rsidP="00670CD2">
            <w:pPr>
              <w:pStyle w:val="Plain"/>
              <w:spacing w:before="0"/>
              <w:ind w:left="0"/>
            </w:pPr>
          </w:p>
          <w:p w14:paraId="0B960E52" w14:textId="77777777" w:rsidR="00670CD2" w:rsidRPr="00781DD2" w:rsidRDefault="00670CD2" w:rsidP="00670CD2">
            <w:pPr>
              <w:pStyle w:val="Plain"/>
              <w:spacing w:before="0"/>
              <w:ind w:left="0"/>
            </w:pPr>
          </w:p>
        </w:tc>
      </w:tr>
    </w:tbl>
    <w:p w14:paraId="7C4764B7" w14:textId="77777777" w:rsidR="00670CD2" w:rsidRDefault="00670CD2" w:rsidP="00670CD2">
      <w:r>
        <w:t>Professor Terence Campbell AM</w:t>
      </w:r>
    </w:p>
    <w:p w14:paraId="59EFC554" w14:textId="77777777" w:rsidR="00670CD2" w:rsidRDefault="00670CD2" w:rsidP="00670CD2">
      <w:r>
        <w:t>Chairperson</w:t>
      </w:r>
    </w:p>
    <w:p w14:paraId="5E72034D" w14:textId="77777777" w:rsidR="00670CD2" w:rsidRDefault="00670CD2" w:rsidP="00670CD2">
      <w:r>
        <w:t xml:space="preserve">by and on behalf of </w:t>
      </w:r>
      <w:r>
        <w:tab/>
      </w:r>
      <w:r>
        <w:tab/>
      </w:r>
      <w:r>
        <w:tab/>
        <w:t xml:space="preserve"> </w:t>
      </w:r>
      <w:r>
        <w:tab/>
      </w:r>
    </w:p>
    <w:p w14:paraId="56F58E5E" w14:textId="77777777" w:rsidR="00ED20B7" w:rsidRPr="00FA33FB" w:rsidRDefault="00670CD2" w:rsidP="00670CD2">
      <w:r>
        <w:t>The Repatriation Medical Authority</w:t>
      </w:r>
    </w:p>
    <w:p w14:paraId="25638D7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7377FA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2728E696" w14:textId="693C9365"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8A28C8">
        <w:rPr>
          <w:noProof/>
        </w:rPr>
        <w:t>3</w:t>
      </w:r>
      <w:r w:rsidR="005962C4">
        <w:rPr>
          <w:noProof/>
        </w:rPr>
        <w:fldChar w:fldCharType="end"/>
      </w:r>
    </w:p>
    <w:p w14:paraId="6722D5E4" w14:textId="26001995"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8A28C8">
        <w:rPr>
          <w:noProof/>
        </w:rPr>
        <w:t>3</w:t>
      </w:r>
      <w:r>
        <w:rPr>
          <w:noProof/>
        </w:rPr>
        <w:fldChar w:fldCharType="end"/>
      </w:r>
    </w:p>
    <w:p w14:paraId="3E747E05" w14:textId="3D7DE94B"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8A28C8">
        <w:rPr>
          <w:noProof/>
        </w:rPr>
        <w:t>3</w:t>
      </w:r>
      <w:r>
        <w:rPr>
          <w:noProof/>
        </w:rPr>
        <w:fldChar w:fldCharType="end"/>
      </w:r>
    </w:p>
    <w:p w14:paraId="161358C4" w14:textId="1B51DBB3"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8A28C8">
        <w:rPr>
          <w:noProof/>
        </w:rPr>
        <w:t>3</w:t>
      </w:r>
      <w:r>
        <w:rPr>
          <w:noProof/>
        </w:rPr>
        <w:fldChar w:fldCharType="end"/>
      </w:r>
    </w:p>
    <w:p w14:paraId="7F410D99" w14:textId="1F8CEDEE"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8A28C8">
        <w:rPr>
          <w:noProof/>
        </w:rPr>
        <w:t>3</w:t>
      </w:r>
      <w:r>
        <w:rPr>
          <w:noProof/>
        </w:rPr>
        <w:fldChar w:fldCharType="end"/>
      </w:r>
    </w:p>
    <w:p w14:paraId="7DB3A1D6" w14:textId="51517744"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8A28C8">
        <w:rPr>
          <w:noProof/>
        </w:rPr>
        <w:t>3</w:t>
      </w:r>
      <w:r>
        <w:rPr>
          <w:noProof/>
        </w:rPr>
        <w:fldChar w:fldCharType="end"/>
      </w:r>
    </w:p>
    <w:p w14:paraId="6F54874D" w14:textId="277418A6"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8A28C8">
        <w:rPr>
          <w:noProof/>
        </w:rPr>
        <w:t>3</w:t>
      </w:r>
      <w:r>
        <w:rPr>
          <w:noProof/>
        </w:rPr>
        <w:fldChar w:fldCharType="end"/>
      </w:r>
    </w:p>
    <w:p w14:paraId="18D778DB" w14:textId="272B1F2B"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8A28C8">
        <w:rPr>
          <w:noProof/>
        </w:rPr>
        <w:t>4</w:t>
      </w:r>
      <w:r>
        <w:rPr>
          <w:noProof/>
        </w:rPr>
        <w:fldChar w:fldCharType="end"/>
      </w:r>
    </w:p>
    <w:p w14:paraId="1D4421FB" w14:textId="05D3189D"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8A28C8">
        <w:rPr>
          <w:noProof/>
        </w:rPr>
        <w:t>4</w:t>
      </w:r>
      <w:r>
        <w:rPr>
          <w:noProof/>
        </w:rPr>
        <w:fldChar w:fldCharType="end"/>
      </w:r>
    </w:p>
    <w:p w14:paraId="59D86B68" w14:textId="29AC30AA"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8A28C8">
        <w:rPr>
          <w:noProof/>
        </w:rPr>
        <w:t>8</w:t>
      </w:r>
      <w:r>
        <w:rPr>
          <w:noProof/>
        </w:rPr>
        <w:fldChar w:fldCharType="end"/>
      </w:r>
    </w:p>
    <w:p w14:paraId="5E9D4AB9" w14:textId="4AD951BE"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8A28C8">
        <w:rPr>
          <w:noProof/>
        </w:rPr>
        <w:t>8</w:t>
      </w:r>
      <w:r>
        <w:rPr>
          <w:noProof/>
        </w:rPr>
        <w:fldChar w:fldCharType="end"/>
      </w:r>
    </w:p>
    <w:p w14:paraId="53488228" w14:textId="421A7851"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8A28C8">
        <w:rPr>
          <w:noProof/>
        </w:rPr>
        <w:t>9</w:t>
      </w:r>
      <w:r>
        <w:rPr>
          <w:noProof/>
        </w:rPr>
        <w:fldChar w:fldCharType="end"/>
      </w:r>
    </w:p>
    <w:p w14:paraId="1FB62867" w14:textId="214A2CB0"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8A28C8">
        <w:rPr>
          <w:noProof/>
        </w:rPr>
        <w:t>9</w:t>
      </w:r>
      <w:r>
        <w:rPr>
          <w:noProof/>
        </w:rPr>
        <w:fldChar w:fldCharType="end"/>
      </w:r>
    </w:p>
    <w:p w14:paraId="2A38B22A" w14:textId="77777777" w:rsidR="003A2FFE" w:rsidRDefault="002A3436" w:rsidP="00715914">
      <w:r>
        <w:rPr>
          <w:rFonts w:eastAsia="Times New Roman"/>
          <w:b/>
          <w:kern w:val="28"/>
          <w:sz w:val="18"/>
          <w:lang w:eastAsia="en-AU"/>
        </w:rPr>
        <w:fldChar w:fldCharType="end"/>
      </w:r>
    </w:p>
    <w:p w14:paraId="5C17B851" w14:textId="77777777" w:rsidR="003A2FFE" w:rsidRDefault="003A2FFE" w:rsidP="003A2FFE">
      <w:pPr>
        <w:tabs>
          <w:tab w:val="left" w:pos="3631"/>
        </w:tabs>
      </w:pPr>
    </w:p>
    <w:p w14:paraId="1506EB12" w14:textId="77777777" w:rsidR="0038399F" w:rsidRDefault="0038399F">
      <w:pPr>
        <w:spacing w:line="240" w:lineRule="auto"/>
        <w:rPr>
          <w:b/>
          <w:sz w:val="24"/>
          <w:szCs w:val="24"/>
        </w:rPr>
      </w:pPr>
      <w:r>
        <w:br w:type="page"/>
      </w:r>
    </w:p>
    <w:p w14:paraId="4574DDBE" w14:textId="77777777" w:rsidR="00877AE3" w:rsidRDefault="00877AE3" w:rsidP="00253D7C">
      <w:pPr>
        <w:pStyle w:val="LV1"/>
      </w:pPr>
      <w:bookmarkStart w:id="4" w:name="_Toc512513134"/>
      <w:r>
        <w:lastRenderedPageBreak/>
        <w:t>Name</w:t>
      </w:r>
      <w:bookmarkEnd w:id="4"/>
    </w:p>
    <w:p w14:paraId="2F6B9173" w14:textId="446F3165"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o</w:t>
      </w:r>
      <w:r w:rsidR="00EC57E8">
        <w:rPr>
          <w:i/>
        </w:rPr>
        <w:t>steoporosis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A28C8">
        <w:t>66</w:t>
      </w:r>
      <w:r w:rsidR="00085567">
        <w:t xml:space="preserve"> </w:t>
      </w:r>
      <w:r w:rsidR="00E55F66" w:rsidRPr="00F97A62">
        <w:t>of</w:t>
      </w:r>
      <w:r w:rsidR="00085567">
        <w:t xml:space="preserve"> </w:t>
      </w:r>
      <w:r w:rsidR="008A28C8">
        <w:t>2024</w:t>
      </w:r>
      <w:r w:rsidR="00E55F66" w:rsidRPr="00F97A62">
        <w:t>)</w:t>
      </w:r>
      <w:r w:rsidRPr="00F97A62">
        <w:t>.</w:t>
      </w:r>
    </w:p>
    <w:p w14:paraId="4CB7B0EF" w14:textId="77777777" w:rsidR="00F67B67" w:rsidRPr="00684C0E" w:rsidRDefault="00F67B67" w:rsidP="00253D7C">
      <w:pPr>
        <w:pStyle w:val="LV1"/>
      </w:pPr>
      <w:bookmarkStart w:id="7" w:name="_Toc512513135"/>
      <w:r w:rsidRPr="00684C0E">
        <w:t>Commencement</w:t>
      </w:r>
      <w:bookmarkEnd w:id="7"/>
    </w:p>
    <w:p w14:paraId="3E0B9797" w14:textId="1C51B4B1" w:rsidR="00F67B67" w:rsidRPr="007527C1" w:rsidRDefault="007527C1" w:rsidP="00253D7C">
      <w:pPr>
        <w:pStyle w:val="PlainIndent"/>
      </w:pPr>
      <w:r w:rsidRPr="007527C1">
        <w:tab/>
      </w:r>
      <w:r w:rsidR="00F67B67" w:rsidRPr="007527C1">
        <w:t xml:space="preserve">This instrument commences on </w:t>
      </w:r>
      <w:r w:rsidR="008A28C8" w:rsidRPr="008A28C8">
        <w:rPr>
          <w:bCs/>
        </w:rPr>
        <w:t>24 September 2024</w:t>
      </w:r>
      <w:r w:rsidR="00F67B67" w:rsidRPr="008A28C8">
        <w:rPr>
          <w:bCs/>
        </w:rPr>
        <w:t>.</w:t>
      </w:r>
    </w:p>
    <w:p w14:paraId="5DC362BB" w14:textId="77777777" w:rsidR="00F67B67" w:rsidRPr="00684C0E" w:rsidRDefault="00F67B67" w:rsidP="00253D7C">
      <w:pPr>
        <w:pStyle w:val="LV1"/>
      </w:pPr>
      <w:bookmarkStart w:id="8" w:name="_Toc512513136"/>
      <w:r w:rsidRPr="00684C0E">
        <w:t>Authority</w:t>
      </w:r>
      <w:bookmarkEnd w:id="8"/>
    </w:p>
    <w:p w14:paraId="2BAF88D6" w14:textId="77777777" w:rsidR="00F67B67" w:rsidRDefault="00F67B67" w:rsidP="00253D7C">
      <w:pPr>
        <w:pStyle w:val="PlainIndent"/>
      </w:pPr>
      <w:r w:rsidRPr="007527C1">
        <w:t>This inst</w:t>
      </w:r>
      <w:r w:rsidR="00D32F71">
        <w:t xml:space="preserve">rument is made under subsection </w:t>
      </w:r>
      <w:r w:rsidR="00167E0C">
        <w:t>196</w:t>
      </w:r>
      <w:proofErr w:type="gramStart"/>
      <w:r w:rsidR="00167E0C">
        <w:t>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14:paraId="0821389C" w14:textId="77777777" w:rsidR="00DA3996" w:rsidRPr="00684C0E" w:rsidRDefault="00DA3996" w:rsidP="00253D7C">
      <w:pPr>
        <w:pStyle w:val="LV1"/>
      </w:pPr>
      <w:bookmarkStart w:id="9" w:name="_Toc512513137"/>
      <w:r>
        <w:t>Re</w:t>
      </w:r>
      <w:r w:rsidR="005962C4">
        <w:t>peal</w:t>
      </w:r>
      <w:bookmarkEnd w:id="9"/>
    </w:p>
    <w:p w14:paraId="7D857B5B" w14:textId="4AEB94E6" w:rsidR="00DA3996" w:rsidRPr="007527C1" w:rsidRDefault="00DA3996" w:rsidP="00253D7C">
      <w:pPr>
        <w:pStyle w:val="PlainIndent"/>
      </w:pPr>
      <w:r>
        <w:t>The</w:t>
      </w:r>
      <w:r w:rsidRPr="007527C1">
        <w:t xml:space="preserve"> </w:t>
      </w:r>
      <w:r w:rsidRPr="00DA3996">
        <w:t xml:space="preserve">Statement of Principles concerning </w:t>
      </w:r>
      <w:r w:rsidR="008A28C8" w:rsidRPr="008A28C8">
        <w:t>osteoporosis</w:t>
      </w:r>
      <w:r w:rsidR="00140A58">
        <w:t xml:space="preserve"> No. 98 of 2014</w:t>
      </w:r>
      <w:r w:rsidR="005962C4">
        <w:t xml:space="preserve"> </w:t>
      </w:r>
      <w:r w:rsidR="005962C4" w:rsidRPr="00786DAE">
        <w:t>(Federal Re</w:t>
      </w:r>
      <w:r w:rsidR="00140A58">
        <w:t>gister of Legislation No. F2014L01388</w:t>
      </w:r>
      <w:r w:rsidR="005962C4" w:rsidRPr="00786DAE">
        <w:t xml:space="preserve">) </w:t>
      </w:r>
      <w:r w:rsidR="005962C4" w:rsidRPr="00DA3996">
        <w:t>made under subsection 196</w:t>
      </w:r>
      <w:proofErr w:type="gramStart"/>
      <w:r w:rsidR="005962C4" w:rsidRPr="00DA3996">
        <w:t>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14:paraId="04DA453A" w14:textId="77777777" w:rsidR="007C7DEE" w:rsidRPr="00684C0E" w:rsidRDefault="007C7DEE" w:rsidP="00253D7C">
      <w:pPr>
        <w:pStyle w:val="LV1"/>
      </w:pPr>
      <w:bookmarkStart w:id="10" w:name="_Toc512513138"/>
      <w:r w:rsidRPr="00684C0E">
        <w:t>Application</w:t>
      </w:r>
      <w:bookmarkEnd w:id="10"/>
    </w:p>
    <w:p w14:paraId="449E7C97"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0F1E8161"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20561585"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1845A66"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6D8CAEAE" w14:textId="7DBA1D77" w:rsidR="007C7DEE" w:rsidRPr="00D5620B" w:rsidRDefault="007C7DEE" w:rsidP="00253D7C">
      <w:pPr>
        <w:pStyle w:val="LV2"/>
      </w:pPr>
      <w:bookmarkStart w:id="17" w:name="_Ref403053584"/>
      <w:r w:rsidRPr="00D5620B">
        <w:t xml:space="preserve">This Statement of Principles is </w:t>
      </w:r>
      <w:r w:rsidRPr="002F77A1">
        <w:t xml:space="preserve">about </w:t>
      </w:r>
      <w:r w:rsidR="008A28C8" w:rsidRPr="008A28C8">
        <w:t>osteoporosis</w:t>
      </w:r>
      <w:r w:rsidR="00D5620B" w:rsidRPr="002F77A1">
        <w:t xml:space="preserve"> </w:t>
      </w:r>
      <w:r w:rsidRPr="002F77A1">
        <w:t>and death</w:t>
      </w:r>
      <w:r w:rsidRPr="00D5620B">
        <w:t xml:space="preserve"> from</w:t>
      </w:r>
      <w:r w:rsidR="002F77A1">
        <w:t xml:space="preserve"> </w:t>
      </w:r>
      <w:r w:rsidR="008A28C8" w:rsidRPr="008A28C8">
        <w:t>osteoporosis</w:t>
      </w:r>
      <w:r w:rsidRPr="00D5620B">
        <w:t>.</w:t>
      </w:r>
      <w:bookmarkEnd w:id="17"/>
    </w:p>
    <w:p w14:paraId="491628D2" w14:textId="38A95C3A" w:rsidR="00215860" w:rsidRPr="00C670B0" w:rsidRDefault="00215860" w:rsidP="00C670B0">
      <w:pPr>
        <w:pStyle w:val="LVtext"/>
      </w:pPr>
      <w:r w:rsidRPr="00C670B0">
        <w:t>Meaning of</w:t>
      </w:r>
      <w:r w:rsidR="00D60FC8" w:rsidRPr="00C670B0">
        <w:t xml:space="preserve"> </w:t>
      </w:r>
      <w:r w:rsidR="008A28C8" w:rsidRPr="008A28C8">
        <w:rPr>
          <w:b/>
        </w:rPr>
        <w:t>osteoporosis</w:t>
      </w:r>
    </w:p>
    <w:p w14:paraId="7228D16F" w14:textId="23E02C3E"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8A28C8" w:rsidRPr="008A28C8">
        <w:t>osteoporosis</w:t>
      </w:r>
      <w:r w:rsidR="002716E4" w:rsidRPr="00237BAF">
        <w:t>:</w:t>
      </w:r>
      <w:bookmarkEnd w:id="18"/>
    </w:p>
    <w:bookmarkEnd w:id="19"/>
    <w:p w14:paraId="78988CEC" w14:textId="77777777" w:rsidR="00822B2F" w:rsidRDefault="00822B2F" w:rsidP="00822B2F">
      <w:pPr>
        <w:pStyle w:val="LV3"/>
      </w:pPr>
      <w:r>
        <w:t xml:space="preserve">means </w:t>
      </w:r>
      <w:bookmarkStart w:id="20" w:name="_Hlk174438513"/>
      <w:r>
        <w:t>a systemic bone disease characterised by low bone density resulting in a greater susceptibility to fracture (fragility fracture), where low bone mineral density is 2.5 standard deviations or more below the mean bone mineral density of young adult sex-matched controls (T score); or radiologically confirmed fragility fracture or loss of ≥20% of vertebral height due to fragility fractures; and the fragility fracture is not better explained by other types of bone pathology than osteoporosis; or anyone over 70 years with a low bone mineral density; or  people with low bone density taking glucocorticoids for at least 3 months; and</w:t>
      </w:r>
    </w:p>
    <w:p w14:paraId="0F632F4D" w14:textId="77777777" w:rsidR="00822B2F" w:rsidRDefault="00822B2F" w:rsidP="00822B2F">
      <w:pPr>
        <w:pStyle w:val="LV3"/>
      </w:pPr>
      <w:r>
        <w:lastRenderedPageBreak/>
        <w:t xml:space="preserve"> excludes:</w:t>
      </w:r>
    </w:p>
    <w:p w14:paraId="6B1A504C" w14:textId="77777777" w:rsidR="00822B2F" w:rsidRDefault="00822B2F" w:rsidP="00822B2F">
      <w:pPr>
        <w:pStyle w:val="LV4"/>
      </w:pPr>
      <w:r>
        <w:t>localised osteoporosis;</w:t>
      </w:r>
    </w:p>
    <w:p w14:paraId="6B875DB5" w14:textId="77777777" w:rsidR="00822B2F" w:rsidRDefault="00822B2F" w:rsidP="00822B2F">
      <w:pPr>
        <w:pStyle w:val="LV4"/>
      </w:pPr>
      <w:r>
        <w:t>Paget disease of bone;</w:t>
      </w:r>
    </w:p>
    <w:p w14:paraId="4322CA63" w14:textId="77777777" w:rsidR="00822B2F" w:rsidRDefault="00822B2F" w:rsidP="00822B2F">
      <w:pPr>
        <w:pStyle w:val="LV4"/>
      </w:pPr>
      <w:r>
        <w:t>osteomalacia;</w:t>
      </w:r>
    </w:p>
    <w:p w14:paraId="28BB0584" w14:textId="77777777" w:rsidR="00822B2F" w:rsidRDefault="00822B2F" w:rsidP="00822B2F">
      <w:pPr>
        <w:pStyle w:val="LV4"/>
      </w:pPr>
      <w:r>
        <w:t>osteonecrosis;</w:t>
      </w:r>
    </w:p>
    <w:p w14:paraId="29CF72B8" w14:textId="77777777" w:rsidR="00822B2F" w:rsidRDefault="00822B2F" w:rsidP="00822B2F">
      <w:pPr>
        <w:pStyle w:val="LV4"/>
      </w:pPr>
      <w:r>
        <w:t>osteomyelitis;</w:t>
      </w:r>
    </w:p>
    <w:p w14:paraId="1670C78D" w14:textId="77777777" w:rsidR="00822B2F" w:rsidRDefault="00822B2F" w:rsidP="00822B2F">
      <w:pPr>
        <w:pStyle w:val="LV4"/>
      </w:pPr>
      <w:r>
        <w:t>malignant or benign neoplasm of bone; and</w:t>
      </w:r>
    </w:p>
    <w:p w14:paraId="7FA4235E" w14:textId="6ADC71BF" w:rsidR="00822B2F" w:rsidRDefault="00822B2F" w:rsidP="00822B2F">
      <w:pPr>
        <w:pStyle w:val="LV4"/>
      </w:pPr>
      <w:r>
        <w:t xml:space="preserve">osteogenesis imperfecta. </w:t>
      </w:r>
    </w:p>
    <w:p w14:paraId="7A1FDC22" w14:textId="7266F090" w:rsidR="00822B2F" w:rsidRDefault="00822B2F" w:rsidP="00822B2F">
      <w:pPr>
        <w:pStyle w:val="NOTE"/>
      </w:pPr>
      <w:r>
        <w:t xml:space="preserve">Note: </w:t>
      </w:r>
      <w:r w:rsidRPr="00822B2F">
        <w:rPr>
          <w:b/>
          <w:bCs/>
          <w:i/>
          <w:iCs/>
        </w:rPr>
        <w:t>low bone mineral density</w:t>
      </w:r>
      <w:r>
        <w:t xml:space="preserve"> is defined in schedule 1 - Dictionary.</w:t>
      </w:r>
    </w:p>
    <w:bookmarkEnd w:id="20"/>
    <w:p w14:paraId="3EB68A05" w14:textId="67BC3F69" w:rsidR="008F572A" w:rsidRPr="00237BAF" w:rsidRDefault="008F572A" w:rsidP="00253D7C">
      <w:pPr>
        <w:pStyle w:val="LV2"/>
      </w:pPr>
      <w:r w:rsidRPr="00237BAF">
        <w:t xml:space="preserve">While </w:t>
      </w:r>
      <w:r w:rsidR="008A28C8" w:rsidRPr="008A28C8">
        <w:t>osteoporosis</w:t>
      </w:r>
      <w:r w:rsidR="002F77A1">
        <w:t xml:space="preserve"> </w:t>
      </w:r>
      <w:r w:rsidRPr="00237BAF">
        <w:t>attracts ICD</w:t>
      </w:r>
      <w:r w:rsidR="00FA33FB" w:rsidRPr="00237BAF">
        <w:noBreakHyphen/>
      </w:r>
      <w:r w:rsidRPr="00237BAF">
        <w:t>10</w:t>
      </w:r>
      <w:r w:rsidR="00FA33FB" w:rsidRPr="00237BAF">
        <w:noBreakHyphen/>
      </w:r>
      <w:r w:rsidR="00047F3C">
        <w:t>AM</w:t>
      </w:r>
      <w:r w:rsidRPr="00EB2BC4">
        <w:t xml:space="preserve"> </w:t>
      </w:r>
      <w:r w:rsidR="00047F3C">
        <w:t>codes M80, M81 or M82</w:t>
      </w:r>
      <w:r w:rsidR="00885EAB" w:rsidRPr="00EB2BC4">
        <w:t>,</w:t>
      </w:r>
      <w:r w:rsidRPr="00237BAF">
        <w:t xml:space="preserve"> in applying this Statement of Principles the </w:t>
      </w:r>
      <w:r w:rsidR="00FA33FB" w:rsidRPr="00D5620B">
        <w:t xml:space="preserve">meaning </w:t>
      </w:r>
      <w:r w:rsidRPr="00D5620B">
        <w:t xml:space="preserve">of </w:t>
      </w:r>
      <w:r w:rsidR="008A28C8" w:rsidRPr="008A28C8">
        <w:t>osteoporosis</w:t>
      </w:r>
      <w:r w:rsidR="002F77A1">
        <w:t xml:space="preserve"> </w:t>
      </w:r>
      <w:r w:rsidRPr="00D5620B">
        <w:t>is that</w:t>
      </w:r>
      <w:r w:rsidRPr="00237BAF">
        <w:t xml:space="preserve"> given in </w:t>
      </w:r>
      <w:r w:rsidR="00FA33FB" w:rsidRPr="00237BAF">
        <w:t>subsection (</w:t>
      </w:r>
      <w:r w:rsidRPr="00237BAF">
        <w:t>2).</w:t>
      </w:r>
    </w:p>
    <w:p w14:paraId="7BD9C671"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C9EDB14" w14:textId="130F829D" w:rsidR="00FD775E" w:rsidRDefault="00237BAF" w:rsidP="00C670B0">
      <w:pPr>
        <w:pStyle w:val="LVtext"/>
      </w:pPr>
      <w:r w:rsidRPr="003A5C26">
        <w:t>Death from</w:t>
      </w:r>
      <w:r w:rsidR="008F572A" w:rsidRPr="00237BAF">
        <w:t xml:space="preserve"> </w:t>
      </w:r>
      <w:r w:rsidR="008A28C8" w:rsidRPr="008A28C8">
        <w:rPr>
          <w:b/>
        </w:rPr>
        <w:t>osteoporosis</w:t>
      </w:r>
    </w:p>
    <w:p w14:paraId="25477C30" w14:textId="78FFE208" w:rsidR="008F572A" w:rsidRPr="00237BAF" w:rsidRDefault="008F572A" w:rsidP="00253D7C">
      <w:pPr>
        <w:pStyle w:val="LV2"/>
      </w:pPr>
      <w:r w:rsidRPr="00237BAF">
        <w:t xml:space="preserve">For the purposes of this Statement of </w:t>
      </w:r>
      <w:r w:rsidR="00D5620B">
        <w:t xml:space="preserve">Principles, </w:t>
      </w:r>
      <w:r w:rsidR="008A28C8" w:rsidRPr="008A28C8">
        <w:t>osteoporosis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A28C8" w:rsidRPr="008A28C8">
        <w:t>osteoporosis</w:t>
      </w:r>
      <w:r w:rsidRPr="00D5620B">
        <w:t>.</w:t>
      </w:r>
    </w:p>
    <w:p w14:paraId="427402E5"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779FF3A3" w14:textId="77777777" w:rsidR="007C7DEE" w:rsidRPr="00A20CA1" w:rsidRDefault="007C7DEE" w:rsidP="00253D7C">
      <w:pPr>
        <w:pStyle w:val="LV1"/>
      </w:pPr>
      <w:bookmarkStart w:id="21" w:name="_Toc512513141"/>
      <w:r w:rsidRPr="00A20CA1">
        <w:t>Basis for determining the factors</w:t>
      </w:r>
      <w:bookmarkEnd w:id="21"/>
    </w:p>
    <w:p w14:paraId="4E52BC5C" w14:textId="6F42B261"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8A28C8" w:rsidRPr="008A28C8">
        <w:t>osteoporosis</w:t>
      </w:r>
      <w:r>
        <w:t xml:space="preserve"> </w:t>
      </w:r>
      <w:r w:rsidRPr="00D5620B">
        <w:t>and death from</w:t>
      </w:r>
      <w:r>
        <w:t xml:space="preserve"> </w:t>
      </w:r>
      <w:r w:rsidR="008A28C8" w:rsidRPr="008A28C8">
        <w:t>osteoporosis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5710F0E9"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FF6EC2B"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7ECEF912" w14:textId="0DA6B973"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A28C8" w:rsidRPr="008A28C8">
        <w:t>osteoporosis</w:t>
      </w:r>
      <w:r w:rsidR="007A3989">
        <w:t xml:space="preserve"> </w:t>
      </w:r>
      <w:r w:rsidR="007C7DEE" w:rsidRPr="00AA6D8B">
        <w:t xml:space="preserve">or death from </w:t>
      </w:r>
      <w:r w:rsidR="008A28C8" w:rsidRPr="008A28C8">
        <w:t>osteoporosis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6536245E" w14:textId="77777777" w:rsidR="00DD3B7D" w:rsidRDefault="00047F3C" w:rsidP="00047F3C">
      <w:pPr>
        <w:pStyle w:val="LV2"/>
      </w:pPr>
      <w:bookmarkStart w:id="27" w:name="_Ref402530260"/>
      <w:bookmarkStart w:id="28" w:name="_Ref409598844"/>
      <w:r w:rsidRPr="00047F3C">
        <w:t xml:space="preserve">being a prisoner of war before clinical onset or </w:t>
      </w:r>
      <w:r>
        <w:t xml:space="preserve">clinical </w:t>
      </w:r>
      <w:r w:rsidRPr="00047F3C">
        <w:t>worsening;</w:t>
      </w:r>
    </w:p>
    <w:p w14:paraId="691E1BAA" w14:textId="77777777" w:rsidR="00047F3C" w:rsidRDefault="00047F3C" w:rsidP="00047F3C">
      <w:pPr>
        <w:pStyle w:val="LV2"/>
      </w:pPr>
      <w:r>
        <w:t>having one of the following autoimmu</w:t>
      </w:r>
      <w:r w:rsidR="00544AE5">
        <w:t>ne diseases for at least the 1</w:t>
      </w:r>
      <w:r>
        <w:t xml:space="preserve"> year before clinical onset or </w:t>
      </w:r>
      <w:r w:rsidR="001B4F0B">
        <w:t xml:space="preserve">clinical </w:t>
      </w:r>
      <w:r>
        <w:t xml:space="preserve">worsening; </w:t>
      </w:r>
    </w:p>
    <w:p w14:paraId="431829B7" w14:textId="77777777" w:rsidR="00047F3C" w:rsidRDefault="00047F3C" w:rsidP="00047F3C">
      <w:pPr>
        <w:pStyle w:val="LV3"/>
      </w:pPr>
      <w:r>
        <w:lastRenderedPageBreak/>
        <w:t xml:space="preserve">ankylosing spondylitis; </w:t>
      </w:r>
    </w:p>
    <w:p w14:paraId="11052CF9" w14:textId="77777777" w:rsidR="00047F3C" w:rsidRDefault="00047F3C" w:rsidP="00047F3C">
      <w:pPr>
        <w:pStyle w:val="LV3"/>
      </w:pPr>
      <w:r>
        <w:t xml:space="preserve">dermatomyositis; </w:t>
      </w:r>
    </w:p>
    <w:p w14:paraId="0E9AF79E" w14:textId="77777777" w:rsidR="00047F3C" w:rsidRDefault="00047F3C" w:rsidP="00047F3C">
      <w:pPr>
        <w:pStyle w:val="LV3"/>
      </w:pPr>
      <w:r>
        <w:t xml:space="preserve">psoriatic arthritis; </w:t>
      </w:r>
    </w:p>
    <w:p w14:paraId="6A1A33D9" w14:textId="77777777" w:rsidR="00047F3C" w:rsidRDefault="00047F3C" w:rsidP="00047F3C">
      <w:pPr>
        <w:pStyle w:val="LV3"/>
      </w:pPr>
      <w:r>
        <w:t xml:space="preserve">rheumatoid arthritis; </w:t>
      </w:r>
    </w:p>
    <w:p w14:paraId="0A4408AB" w14:textId="77777777" w:rsidR="00047F3C" w:rsidRDefault="00047F3C" w:rsidP="00047F3C">
      <w:pPr>
        <w:pStyle w:val="LV3"/>
      </w:pPr>
      <w:r>
        <w:t xml:space="preserve">systemic lupus erythematosus; or </w:t>
      </w:r>
    </w:p>
    <w:p w14:paraId="6F0D2CC2" w14:textId="77777777" w:rsidR="00047F3C" w:rsidRDefault="00047F3C" w:rsidP="00047F3C">
      <w:pPr>
        <w:pStyle w:val="LV3"/>
      </w:pPr>
      <w:r>
        <w:t xml:space="preserve">systemic sclerosis; </w:t>
      </w:r>
    </w:p>
    <w:p w14:paraId="677B07DC" w14:textId="77777777" w:rsidR="00047F3C" w:rsidRDefault="00FB120A" w:rsidP="00FB120A">
      <w:pPr>
        <w:pStyle w:val="LV2"/>
      </w:pPr>
      <w:r w:rsidRPr="00FB120A">
        <w:t>having human immunodef</w:t>
      </w:r>
      <w:r w:rsidR="00780224">
        <w:t>iciency virus infection for at least the 1</w:t>
      </w:r>
      <w:r w:rsidR="001B4F0B">
        <w:t xml:space="preserve"> </w:t>
      </w:r>
      <w:r w:rsidRPr="00FB120A">
        <w:t xml:space="preserve">year before clinical onset or </w:t>
      </w:r>
      <w:r>
        <w:t xml:space="preserve">clinical </w:t>
      </w:r>
      <w:r w:rsidRPr="00FB120A">
        <w:t>worsening;</w:t>
      </w:r>
    </w:p>
    <w:p w14:paraId="75E966A6" w14:textId="77777777" w:rsidR="00780224" w:rsidRDefault="00780224" w:rsidP="00780224">
      <w:pPr>
        <w:pStyle w:val="LV2"/>
      </w:pPr>
      <w:r>
        <w:tab/>
        <w:t>having</w:t>
      </w:r>
      <w:r w:rsidRPr="00780224">
        <w:t xml:space="preserve"> m</w:t>
      </w:r>
      <w:r w:rsidR="00C876D3">
        <w:t>ultiple sclerosis or Parkinson</w:t>
      </w:r>
      <w:r w:rsidRPr="00780224">
        <w:t xml:space="preserve"> disease for at least the one year before clinical onset or clinical worsening;</w:t>
      </w:r>
    </w:p>
    <w:p w14:paraId="1613E572" w14:textId="77777777" w:rsidR="00A97590" w:rsidRDefault="00A97590" w:rsidP="00A97590">
      <w:pPr>
        <w:pStyle w:val="LV2"/>
      </w:pPr>
      <w:r w:rsidRPr="00A97590">
        <w:t xml:space="preserve">having chronic renal impairment with a glomerular </w:t>
      </w:r>
      <w:r>
        <w:t>filtration rate of &lt;45</w:t>
      </w:r>
      <w:r w:rsidRPr="00A97590">
        <w:t xml:space="preserve"> ml/min/1.73 m2 for at least 3 months before clinical onset or clinical worsening;</w:t>
      </w:r>
    </w:p>
    <w:p w14:paraId="1455F2B3" w14:textId="77777777" w:rsidR="001B4F0B" w:rsidRDefault="001B4F0B" w:rsidP="001B4F0B">
      <w:pPr>
        <w:pStyle w:val="LV2"/>
      </w:pPr>
      <w:r>
        <w:t xml:space="preserve">having myeloma, non-Hodgkin lymphoma, Hodgkin lymphoma or systemic mastocytosis at the time of clinical onset or </w:t>
      </w:r>
      <w:r w:rsidRPr="00125906">
        <w:t>clinical</w:t>
      </w:r>
      <w:r>
        <w:t xml:space="preserve"> worsening;</w:t>
      </w:r>
    </w:p>
    <w:p w14:paraId="404C7DEA" w14:textId="77777777" w:rsidR="00047F3C" w:rsidRDefault="001B4F0B" w:rsidP="001B4F0B">
      <w:pPr>
        <w:pStyle w:val="NOTE"/>
      </w:pPr>
      <w:r>
        <w:t xml:space="preserve">Note: </w:t>
      </w:r>
      <w:r w:rsidRPr="001B4F0B">
        <w:rPr>
          <w:b/>
          <w:i/>
        </w:rPr>
        <w:t>systemic mastocytosis</w:t>
      </w:r>
      <w:r>
        <w:t xml:space="preserve"> is defined in the Schedule 1 – Dictionary.</w:t>
      </w:r>
    </w:p>
    <w:p w14:paraId="51875F63" w14:textId="77777777" w:rsidR="001B4F0B" w:rsidRDefault="00544AE5" w:rsidP="00A23C59">
      <w:pPr>
        <w:pStyle w:val="LV2"/>
      </w:pPr>
      <w:r>
        <w:t>having a</w:t>
      </w:r>
      <w:r w:rsidR="00A23C59" w:rsidRPr="00A23C59">
        <w:t xml:space="preserve"> solid organ</w:t>
      </w:r>
      <w:r w:rsidR="00A23C59">
        <w:t xml:space="preserve"> </w:t>
      </w:r>
      <w:r w:rsidR="00125906" w:rsidRPr="00125906">
        <w:t>(excluding corneal</w:t>
      </w:r>
      <w:r>
        <w:t xml:space="preserve"> transplant</w:t>
      </w:r>
      <w:r w:rsidR="00A23C59" w:rsidRPr="00125906">
        <w:t>),</w:t>
      </w:r>
      <w:r w:rsidR="00A23C59" w:rsidRPr="00A23C59">
        <w:t xml:space="preserve"> stem cell or bone marrow transplantation before clinical onset or </w:t>
      </w:r>
      <w:r w:rsidR="00A23C59" w:rsidRPr="00125906">
        <w:t>clinical</w:t>
      </w:r>
      <w:r w:rsidR="00A23C59">
        <w:t xml:space="preserve"> </w:t>
      </w:r>
      <w:r w:rsidR="00A23C59" w:rsidRPr="00A23C59">
        <w:t>worsening;</w:t>
      </w:r>
    </w:p>
    <w:p w14:paraId="51632996" w14:textId="77777777" w:rsidR="00A23C59" w:rsidRDefault="00A23C59" w:rsidP="00A23C59">
      <w:pPr>
        <w:pStyle w:val="LV2"/>
      </w:pPr>
      <w:r>
        <w:t>having one of the follow</w:t>
      </w:r>
      <w:r w:rsidR="00544AE5">
        <w:t>ing</w:t>
      </w:r>
      <w:r>
        <w:t xml:space="preserve"> endocrine abnormalities for </w:t>
      </w:r>
      <w:r w:rsidR="00895A67">
        <w:t>a continuous period of at least 1</w:t>
      </w:r>
      <w:r>
        <w:t xml:space="preserve"> year within the 10 years before clinical onset or clinical worsening;</w:t>
      </w:r>
    </w:p>
    <w:p w14:paraId="643F4A6A" w14:textId="77777777" w:rsidR="00A23C59" w:rsidRDefault="00DC04C3" w:rsidP="00A23C59">
      <w:pPr>
        <w:pStyle w:val="LV3"/>
      </w:pPr>
      <w:r>
        <w:t>Cushing</w:t>
      </w:r>
      <w:r w:rsidR="00A23C59">
        <w:t xml:space="preserve"> syndrome; </w:t>
      </w:r>
    </w:p>
    <w:p w14:paraId="6B16A610" w14:textId="77777777" w:rsidR="00A23C59" w:rsidRDefault="00DC04C3" w:rsidP="00A23C59">
      <w:pPr>
        <w:pStyle w:val="LV3"/>
      </w:pPr>
      <w:proofErr w:type="spellStart"/>
      <w:r>
        <w:t>Graves</w:t>
      </w:r>
      <w:proofErr w:type="spellEnd"/>
      <w:r w:rsidR="00A23C59">
        <w:t xml:space="preserve"> disease; </w:t>
      </w:r>
    </w:p>
    <w:p w14:paraId="5EEDA0AF" w14:textId="77777777" w:rsidR="00A23C59" w:rsidRDefault="00A23C59" w:rsidP="00A23C59">
      <w:pPr>
        <w:pStyle w:val="LV3"/>
      </w:pPr>
      <w:r>
        <w:t xml:space="preserve">hyperprolactinaemia; </w:t>
      </w:r>
    </w:p>
    <w:p w14:paraId="5D3A3091" w14:textId="77777777" w:rsidR="00A23C59" w:rsidRDefault="00A23C59" w:rsidP="00A23C59">
      <w:pPr>
        <w:pStyle w:val="LV3"/>
      </w:pPr>
      <w:r>
        <w:t xml:space="preserve">hyperthyroidism or thyrotoxicosis; </w:t>
      </w:r>
    </w:p>
    <w:p w14:paraId="1C660019" w14:textId="77777777" w:rsidR="00A23C59" w:rsidRDefault="00A23C59" w:rsidP="00A23C59">
      <w:pPr>
        <w:pStyle w:val="LV3"/>
      </w:pPr>
      <w:r>
        <w:t xml:space="preserve">hypogonadism (including menopause); </w:t>
      </w:r>
    </w:p>
    <w:p w14:paraId="101E7542" w14:textId="77777777" w:rsidR="00A23C59" w:rsidRDefault="00A23C59" w:rsidP="00A23C59">
      <w:pPr>
        <w:pStyle w:val="LV3"/>
      </w:pPr>
      <w:r>
        <w:t xml:space="preserve">primary hyperparathyroidism; or </w:t>
      </w:r>
    </w:p>
    <w:p w14:paraId="7B8524F6" w14:textId="77777777" w:rsidR="00A23C59" w:rsidRDefault="00A23C59" w:rsidP="00A23C59">
      <w:pPr>
        <w:pStyle w:val="LV3"/>
      </w:pPr>
      <w:r>
        <w:t xml:space="preserve">type 1 diabetes mellitus; </w:t>
      </w:r>
    </w:p>
    <w:p w14:paraId="3DE7F637" w14:textId="77777777" w:rsidR="00A23C59" w:rsidRDefault="00A23C59" w:rsidP="00A23C59">
      <w:pPr>
        <w:pStyle w:val="LV2"/>
      </w:pPr>
      <w:r>
        <w:t xml:space="preserve">having one of the following gastrointestinal diseases at the time of clinical onset or </w:t>
      </w:r>
      <w:r w:rsidRPr="00125906">
        <w:t>clinical</w:t>
      </w:r>
      <w:r>
        <w:t xml:space="preserve"> worsening;</w:t>
      </w:r>
    </w:p>
    <w:p w14:paraId="06DD77C5" w14:textId="77777777" w:rsidR="00A23C59" w:rsidRDefault="00A23C59" w:rsidP="00A23C59">
      <w:pPr>
        <w:pStyle w:val="LV3"/>
      </w:pPr>
      <w:r>
        <w:t>chronic exocrine pancreatic insufficiency;</w:t>
      </w:r>
    </w:p>
    <w:p w14:paraId="79488798" w14:textId="77777777" w:rsidR="00A23C59" w:rsidRDefault="00A23C59" w:rsidP="00A23C59">
      <w:pPr>
        <w:pStyle w:val="LV3"/>
      </w:pPr>
      <w:r>
        <w:t xml:space="preserve">cirrhosis of the liver; </w:t>
      </w:r>
    </w:p>
    <w:p w14:paraId="6E86D9E9" w14:textId="77777777" w:rsidR="00A23C59" w:rsidRDefault="00A23C59" w:rsidP="00A23C59">
      <w:pPr>
        <w:pStyle w:val="LV3"/>
      </w:pPr>
      <w:r>
        <w:t>coeliac disease; or</w:t>
      </w:r>
    </w:p>
    <w:p w14:paraId="4662BE0C" w14:textId="77777777" w:rsidR="00A23C59" w:rsidRDefault="00A23C59" w:rsidP="00A23C59">
      <w:pPr>
        <w:pStyle w:val="LV3"/>
      </w:pPr>
      <w:r>
        <w:t xml:space="preserve">inflammatory bowel disease. </w:t>
      </w:r>
    </w:p>
    <w:p w14:paraId="5521BCAF" w14:textId="77777777" w:rsidR="00A23C59" w:rsidRPr="00A23C59" w:rsidRDefault="00A23C59" w:rsidP="00A23C59">
      <w:pPr>
        <w:pStyle w:val="LV2"/>
      </w:pPr>
      <w:r w:rsidRPr="00A23C59">
        <w:t>having total or partial gastrectomy or a Roux-</w:t>
      </w:r>
      <w:r w:rsidR="00895A67">
        <w:t>en-Y gastric bypass at least 1</w:t>
      </w:r>
      <w:r w:rsidRPr="00A23C59">
        <w:t xml:space="preserve"> year before clinical onset or </w:t>
      </w:r>
      <w:r>
        <w:t xml:space="preserve">clinical </w:t>
      </w:r>
      <w:r w:rsidRPr="00A23C59">
        <w:t>worsening;</w:t>
      </w:r>
    </w:p>
    <w:p w14:paraId="0A5055C0" w14:textId="77777777" w:rsidR="001B4F0B" w:rsidRDefault="00874501" w:rsidP="00874501">
      <w:pPr>
        <w:pStyle w:val="LV2"/>
      </w:pPr>
      <w:r w:rsidRPr="00874501">
        <w:t>for a minimal trauma fracture only, bei</w:t>
      </w:r>
      <w:r>
        <w:t>ng pregnant within the 6</w:t>
      </w:r>
      <w:r w:rsidRPr="00874501">
        <w:t xml:space="preserve"> months before clinical onset;</w:t>
      </w:r>
    </w:p>
    <w:p w14:paraId="46F667DD" w14:textId="77777777" w:rsidR="00874501" w:rsidRDefault="00874501" w:rsidP="00874501">
      <w:pPr>
        <w:pStyle w:val="LV2"/>
      </w:pPr>
      <w:r>
        <w:lastRenderedPageBreak/>
        <w:t xml:space="preserve">having anorexia nervosa before clinical onset or clinical worsening; </w:t>
      </w:r>
    </w:p>
    <w:p w14:paraId="75FB5D34" w14:textId="77777777" w:rsidR="001B4F0B" w:rsidRDefault="00874501" w:rsidP="00874501">
      <w:pPr>
        <w:pStyle w:val="NOTE"/>
      </w:pPr>
      <w:r>
        <w:t xml:space="preserve">Note: </w:t>
      </w:r>
      <w:r w:rsidRPr="00874501">
        <w:rPr>
          <w:b/>
          <w:i/>
        </w:rPr>
        <w:t>anorexia nervosa</w:t>
      </w:r>
      <w:r>
        <w:t xml:space="preserve"> is defined in the Schedule 1 – Dictionary.</w:t>
      </w:r>
    </w:p>
    <w:p w14:paraId="47337E83" w14:textId="77777777" w:rsidR="001B4F0B" w:rsidRDefault="001B4F0B" w:rsidP="00874501">
      <w:pPr>
        <w:pStyle w:val="LV1"/>
        <w:numPr>
          <w:ilvl w:val="0"/>
          <w:numId w:val="0"/>
        </w:numPr>
        <w:ind w:left="851" w:hanging="567"/>
      </w:pPr>
    </w:p>
    <w:p w14:paraId="1D8953B7" w14:textId="77777777" w:rsidR="00182E1B" w:rsidRDefault="00182E1B" w:rsidP="00182E1B">
      <w:pPr>
        <w:pStyle w:val="LV2"/>
      </w:pPr>
      <w:r>
        <w:t xml:space="preserve">taking one of the following glucocorticoids orally, intravenously or intramuscularly before clinical onset or </w:t>
      </w:r>
      <w:r w:rsidR="00125906">
        <w:t xml:space="preserve">clinical </w:t>
      </w:r>
      <w:r>
        <w:t>worsening:</w:t>
      </w:r>
    </w:p>
    <w:p w14:paraId="385D4B14" w14:textId="77777777" w:rsidR="00182E1B" w:rsidRDefault="00182E1B" w:rsidP="00182E1B">
      <w:pPr>
        <w:pStyle w:val="LV3"/>
      </w:pPr>
      <w:r>
        <w:t>betamethasone to a cumulative quantity of at least 60 mg within 6 months, or a cumulative quantity of at least 360 mg over any duration;</w:t>
      </w:r>
    </w:p>
    <w:p w14:paraId="6E160F8F" w14:textId="77777777" w:rsidR="00182E1B" w:rsidRDefault="00182E1B" w:rsidP="00182E1B">
      <w:pPr>
        <w:pStyle w:val="LV3"/>
      </w:pPr>
      <w:r>
        <w:t>cortisone to a cumulative quantity of at least 2,500 mg within 6 months, or a cumulative quantity of at least 15,000 mg over any duration;</w:t>
      </w:r>
    </w:p>
    <w:p w14:paraId="5F5FE439" w14:textId="77777777" w:rsidR="00182E1B" w:rsidRDefault="00182E1B" w:rsidP="00182E1B">
      <w:pPr>
        <w:pStyle w:val="LV3"/>
      </w:pPr>
      <w:r>
        <w:t>dexamethasone to a cumulative quantity of at least 75 mg within 6 months, or a cumulative quantity of at least 450 mg over any duration;</w:t>
      </w:r>
    </w:p>
    <w:p w14:paraId="7CC34189" w14:textId="77777777" w:rsidR="00182E1B" w:rsidRDefault="00182E1B" w:rsidP="00182E1B">
      <w:pPr>
        <w:pStyle w:val="LV3"/>
      </w:pPr>
      <w:r>
        <w:t>hydrocortisone to a cumulative quantity of at least 2,000 mg within 6 months, or a cumulative quantity of at least 12,000 mg over any duration;</w:t>
      </w:r>
    </w:p>
    <w:p w14:paraId="69B61503" w14:textId="77777777" w:rsidR="00182E1B" w:rsidRDefault="00182E1B" w:rsidP="00182E1B">
      <w:pPr>
        <w:pStyle w:val="LV3"/>
      </w:pPr>
      <w:r>
        <w:t>methylprednisolone to a cumulative quantity of at least 400 mg within 6 months, or a cumulative quantity of at least 2,400 mg over any duration;</w:t>
      </w:r>
    </w:p>
    <w:p w14:paraId="0950F1D4" w14:textId="77777777" w:rsidR="00182E1B" w:rsidRDefault="00182E1B" w:rsidP="00182E1B">
      <w:pPr>
        <w:pStyle w:val="LV3"/>
      </w:pPr>
      <w:r>
        <w:t>paramethasone to a cumulative quantity of at least 200 mg within 6 months, or a cumulative quantity of at least 1,200 mg over any duration;</w:t>
      </w:r>
    </w:p>
    <w:p w14:paraId="015A0E69" w14:textId="77777777" w:rsidR="00182E1B" w:rsidRDefault="00182E1B" w:rsidP="00182E1B">
      <w:pPr>
        <w:pStyle w:val="LV3"/>
      </w:pPr>
      <w:r>
        <w:t xml:space="preserve">prednisolone to a cumulative quantity of at least 500 mg within 6 months, or a cumulative quantity of at least 3,000 mg over any duration; </w:t>
      </w:r>
    </w:p>
    <w:p w14:paraId="76E7950D" w14:textId="77777777" w:rsidR="00182E1B" w:rsidRDefault="00182E1B" w:rsidP="00182E1B">
      <w:pPr>
        <w:pStyle w:val="LV3"/>
      </w:pPr>
      <w:r>
        <w:t>prednisone to a cumulative quantity of at least 500 mg within 6 months, or a cumulative quantity of at least 3,000 mg over any duration; or</w:t>
      </w:r>
    </w:p>
    <w:p w14:paraId="2D4E1BCC" w14:textId="77777777" w:rsidR="00182E1B" w:rsidRDefault="00182E1B" w:rsidP="00182E1B">
      <w:pPr>
        <w:pStyle w:val="LV3"/>
      </w:pPr>
      <w:r>
        <w:t>a combination of glucocortico</w:t>
      </w:r>
      <w:r w:rsidR="003A2E83">
        <w:t>ids as weighted by dose</w:t>
      </w:r>
      <w:r>
        <w:t xml:space="preserve"> equivalent to prednisolone, to a cumulative quantity of at least 500mg within 6 months, or a cumulative quantity at least 3,000 mg;</w:t>
      </w:r>
    </w:p>
    <w:p w14:paraId="288D1ABB" w14:textId="77777777" w:rsidR="00182E1B" w:rsidRDefault="00182E1B" w:rsidP="00182E1B">
      <w:pPr>
        <w:pStyle w:val="NOTE"/>
      </w:pPr>
      <w:r>
        <w:t xml:space="preserve">Note: </w:t>
      </w:r>
      <w:r w:rsidR="003A2E83">
        <w:rPr>
          <w:b/>
          <w:i/>
        </w:rPr>
        <w:tab/>
        <w:t xml:space="preserve">drug </w:t>
      </w:r>
      <w:r w:rsidR="00167D2C" w:rsidRPr="00167D2C">
        <w:rPr>
          <w:b/>
          <w:i/>
        </w:rPr>
        <w:t>dose equivalence to prednisolone</w:t>
      </w:r>
      <w:r>
        <w:t xml:space="preserve"> is defined in the Schedule – 1 – dictionary.</w:t>
      </w:r>
    </w:p>
    <w:p w14:paraId="4847458F" w14:textId="77777777" w:rsidR="00C876D3" w:rsidRDefault="00C876D3" w:rsidP="00C876D3">
      <w:pPr>
        <w:pStyle w:val="LV2"/>
      </w:pPr>
      <w:r>
        <w:t>taking a medication from the specified list before clinical onset or clinical worsening;</w:t>
      </w:r>
    </w:p>
    <w:p w14:paraId="71445FAE" w14:textId="77777777" w:rsidR="00C876D3" w:rsidRDefault="00C876D3" w:rsidP="00C876D3">
      <w:pPr>
        <w:pStyle w:val="NOTE"/>
      </w:pPr>
      <w:r>
        <w:t xml:space="preserve">Note: </w:t>
      </w:r>
      <w:r w:rsidRPr="00C876D3">
        <w:rPr>
          <w:b/>
          <w:i/>
        </w:rPr>
        <w:t>taking a medication from the specified list</w:t>
      </w:r>
      <w:r>
        <w:t xml:space="preserve"> is defined in the Schedule 1 – Dictionary.</w:t>
      </w:r>
    </w:p>
    <w:p w14:paraId="67178328" w14:textId="77777777" w:rsidR="003A2E83" w:rsidRDefault="003A2E83" w:rsidP="003A2E83">
      <w:pPr>
        <w:pStyle w:val="LV2"/>
      </w:pPr>
      <w:r>
        <w:t xml:space="preserve">smoking at least 10 pack-years of cigarettes, or the equivalent thereof in other tobacco products, before clinical onset or worsening, and where smoking has ceased, clinical onset or </w:t>
      </w:r>
      <w:r w:rsidR="0092360D">
        <w:t xml:space="preserve">clinical </w:t>
      </w:r>
      <w:r>
        <w:t>worsening has occurred within 20 years of cessation;</w:t>
      </w:r>
    </w:p>
    <w:p w14:paraId="0C0F7392" w14:textId="77777777" w:rsidR="00182E1B" w:rsidRDefault="003A2E83" w:rsidP="003A2E83">
      <w:pPr>
        <w:pStyle w:val="NOTE"/>
      </w:pPr>
      <w:r>
        <w:t xml:space="preserve">Note: </w:t>
      </w:r>
      <w:r w:rsidRPr="0092360D">
        <w:rPr>
          <w:b/>
          <w:i/>
        </w:rPr>
        <w:t>one pack-year</w:t>
      </w:r>
      <w:r w:rsidRPr="0092360D">
        <w:t xml:space="preserve"> </w:t>
      </w:r>
      <w:r>
        <w:t>is defined in the Schedule 1 – Dictionary.</w:t>
      </w:r>
    </w:p>
    <w:p w14:paraId="47D159F1" w14:textId="77777777" w:rsidR="00182E1B" w:rsidRDefault="0092360D" w:rsidP="0092360D">
      <w:pPr>
        <w:pStyle w:val="LV2"/>
      </w:pPr>
      <w:r w:rsidRPr="0092360D">
        <w:lastRenderedPageBreak/>
        <w:t>for males only,</w:t>
      </w:r>
      <w:r>
        <w:t xml:space="preserve"> drinking at least 150</w:t>
      </w:r>
      <w:r w:rsidRPr="0092360D">
        <w:t xml:space="preserve"> kilograms of alcohol within any </w:t>
      </w:r>
      <w:proofErr w:type="gramStart"/>
      <w:r w:rsidRPr="0092360D">
        <w:t>10 year</w:t>
      </w:r>
      <w:proofErr w:type="gramEnd"/>
      <w:r w:rsidRPr="0092360D">
        <w:t xml:space="preserve"> period within the 20 years before clinical onset or worsening;</w:t>
      </w:r>
    </w:p>
    <w:p w14:paraId="45744B57" w14:textId="77777777" w:rsidR="0092360D" w:rsidRDefault="0092360D" w:rsidP="0092360D">
      <w:pPr>
        <w:pStyle w:val="NOTE"/>
      </w:pPr>
      <w:r w:rsidRPr="0092360D">
        <w:t>Note: Alcohol consumption is calculated utilising the Australian Standard of 10 grams of alcohol per standard alcoholic drink.</w:t>
      </w:r>
    </w:p>
    <w:p w14:paraId="197B2BD0" w14:textId="77777777" w:rsidR="0092360D" w:rsidRPr="0092360D" w:rsidRDefault="0092360D" w:rsidP="0092360D">
      <w:pPr>
        <w:pStyle w:val="LV2"/>
      </w:pPr>
      <w:r w:rsidRPr="0092360D">
        <w:t>for females only, d</w:t>
      </w:r>
      <w:r>
        <w:t>rinking at least 75</w:t>
      </w:r>
      <w:r w:rsidRPr="0092360D">
        <w:t xml:space="preserve"> kilograms of alcohol within any </w:t>
      </w:r>
      <w:proofErr w:type="gramStart"/>
      <w:r w:rsidRPr="0092360D">
        <w:t>10 year</w:t>
      </w:r>
      <w:proofErr w:type="gramEnd"/>
      <w:r w:rsidRPr="0092360D">
        <w:t xml:space="preserve"> period within the 20 years before clinical onset or worsening;</w:t>
      </w:r>
    </w:p>
    <w:p w14:paraId="254C90EC" w14:textId="77777777" w:rsidR="003A2E83" w:rsidRDefault="0092360D" w:rsidP="0092360D">
      <w:pPr>
        <w:pStyle w:val="NOTE"/>
      </w:pPr>
      <w:r w:rsidRPr="0092360D">
        <w:t>Note: Alcohol consumption is calculated utilising the Australian Standard of 10 grams of alcohol per standard alcoholic drink.</w:t>
      </w:r>
    </w:p>
    <w:p w14:paraId="056076B8" w14:textId="77777777" w:rsidR="003A2E83" w:rsidRDefault="00164E0B" w:rsidP="00164E0B">
      <w:pPr>
        <w:pStyle w:val="LV2"/>
      </w:pPr>
      <w:r w:rsidRPr="00164E0B">
        <w:t xml:space="preserve">having an altered dietary pattern resulting in a decrease in average daily calcium intake to 400 milligrams per day or less, for a period of at least 2 years before age 20 years, or for a period of at least 7 years after age 20 years, or the equivalent combination thereof, before clinical onset or </w:t>
      </w:r>
      <w:r w:rsidR="00E7666E">
        <w:t xml:space="preserve">clinical </w:t>
      </w:r>
      <w:r w:rsidRPr="00164E0B">
        <w:t>worsening;</w:t>
      </w:r>
    </w:p>
    <w:p w14:paraId="60B7212C" w14:textId="77777777" w:rsidR="00E7666E" w:rsidRDefault="00E7666E" w:rsidP="00E7666E">
      <w:pPr>
        <w:pStyle w:val="LV2"/>
      </w:pPr>
      <w:r w:rsidRPr="00E7666E">
        <w:t xml:space="preserve">consuming </w:t>
      </w:r>
      <w:r w:rsidR="002B51C9">
        <w:t xml:space="preserve">on average </w:t>
      </w:r>
      <w:r w:rsidRPr="00E7666E">
        <w:t>at least 7.5 milligrams per day of vitamin A over a period of at lea</w:t>
      </w:r>
      <w:r>
        <w:t>st 2 years within the 10</w:t>
      </w:r>
      <w:r w:rsidRPr="00E7666E">
        <w:t xml:space="preserve"> years before clinical onset or worsening;</w:t>
      </w:r>
    </w:p>
    <w:p w14:paraId="6C8074E4" w14:textId="77777777" w:rsidR="00E7666E" w:rsidRDefault="00E7666E" w:rsidP="00E7666E">
      <w:pPr>
        <w:pStyle w:val="LV2"/>
      </w:pPr>
      <w:r>
        <w:t xml:space="preserve">having severe vitamin C </w:t>
      </w:r>
      <w:r w:rsidR="00093F89">
        <w:t>deficiency within the 10</w:t>
      </w:r>
      <w:r>
        <w:t xml:space="preserve"> years before clinical onset or </w:t>
      </w:r>
      <w:proofErr w:type="spellStart"/>
      <w:r w:rsidR="007C1FF7">
        <w:t>clinical</w:t>
      </w:r>
      <w:r>
        <w:t>worsening</w:t>
      </w:r>
      <w:proofErr w:type="spellEnd"/>
      <w:r>
        <w:t xml:space="preserve">; </w:t>
      </w:r>
    </w:p>
    <w:p w14:paraId="17113BDA" w14:textId="77777777" w:rsidR="00E7666E" w:rsidRDefault="00E7666E" w:rsidP="00E7666E">
      <w:pPr>
        <w:pStyle w:val="NOTE"/>
      </w:pPr>
      <w:r>
        <w:t xml:space="preserve">Note: </w:t>
      </w:r>
      <w:r w:rsidRPr="00E7666E">
        <w:rPr>
          <w:b/>
          <w:i/>
        </w:rPr>
        <w:t>severe vitamin C deficiency</w:t>
      </w:r>
      <w:r>
        <w:t xml:space="preserve"> is defined in the Schedule 1 – Dictionary.</w:t>
      </w:r>
    </w:p>
    <w:p w14:paraId="0B31D8C4" w14:textId="77777777" w:rsidR="00E7666E" w:rsidRDefault="006952CF" w:rsidP="006952CF">
      <w:pPr>
        <w:pStyle w:val="LV2"/>
      </w:pPr>
      <w:r w:rsidRPr="006952CF">
        <w:t>having vitamin D deficiency, with a serum 25(OH)D level of less than 50 nanomoles per litre, for a continuou</w:t>
      </w:r>
      <w:r w:rsidR="002B51C9">
        <w:t>s period of at least 1</w:t>
      </w:r>
      <w:r>
        <w:t xml:space="preserve"> year within the 10</w:t>
      </w:r>
      <w:r w:rsidRPr="006952CF">
        <w:t xml:space="preserve"> years before clinical onset or </w:t>
      </w:r>
      <w:r w:rsidR="002B51C9">
        <w:t xml:space="preserve">clinical </w:t>
      </w:r>
      <w:r w:rsidRPr="006952CF">
        <w:t>worsening;</w:t>
      </w:r>
    </w:p>
    <w:p w14:paraId="12557E05" w14:textId="77777777" w:rsidR="006952CF" w:rsidRDefault="006952CF" w:rsidP="006952CF">
      <w:pPr>
        <w:pStyle w:val="LV2"/>
      </w:pPr>
      <w:r w:rsidRPr="006952CF">
        <w:t xml:space="preserve">having haemochromatosis at the time of clinical onset or </w:t>
      </w:r>
      <w:r w:rsidR="002B51C9">
        <w:t xml:space="preserve">clinical </w:t>
      </w:r>
      <w:r w:rsidRPr="006952CF">
        <w:t>worsening;</w:t>
      </w:r>
    </w:p>
    <w:p w14:paraId="74D03CBC" w14:textId="77777777" w:rsidR="006952CF" w:rsidRDefault="006952CF" w:rsidP="006952CF">
      <w:pPr>
        <w:pStyle w:val="LV2"/>
      </w:pPr>
      <w:r>
        <w:t xml:space="preserve">being exposed to cadmium at levels which have resulted in: </w:t>
      </w:r>
    </w:p>
    <w:p w14:paraId="73B6FDF7" w14:textId="77777777" w:rsidR="006952CF" w:rsidRDefault="006952CF" w:rsidP="006952CF">
      <w:pPr>
        <w:pStyle w:val="LV3"/>
      </w:pPr>
      <w:r>
        <w:t xml:space="preserve">renal damage; or </w:t>
      </w:r>
    </w:p>
    <w:p w14:paraId="4E39EEBB" w14:textId="77777777" w:rsidR="006952CF" w:rsidRDefault="006952CF" w:rsidP="006952CF">
      <w:pPr>
        <w:pStyle w:val="LV3"/>
      </w:pPr>
      <w:r>
        <w:t>a urinary cadmium level of at least 0.5 micrograms per gram creatini</w:t>
      </w:r>
      <w:r w:rsidR="002B51C9">
        <w:t>ne for a period of at least 5</w:t>
      </w:r>
      <w:r>
        <w:t xml:space="preserve"> years, </w:t>
      </w:r>
    </w:p>
    <w:p w14:paraId="1F885B78" w14:textId="77777777" w:rsidR="006952CF" w:rsidRDefault="006952CF" w:rsidP="006952CF">
      <w:pPr>
        <w:pStyle w:val="LV2"/>
        <w:numPr>
          <w:ilvl w:val="0"/>
          <w:numId w:val="0"/>
        </w:numPr>
        <w:ind w:left="1418"/>
      </w:pPr>
      <w:r>
        <w:t xml:space="preserve">before clinical onset or clinical worsening; </w:t>
      </w:r>
    </w:p>
    <w:p w14:paraId="4D29D4C6" w14:textId="77777777" w:rsidR="006952CF" w:rsidRDefault="002419DA" w:rsidP="002419DA">
      <w:pPr>
        <w:pStyle w:val="LV2"/>
      </w:pPr>
      <w:r w:rsidRPr="002419DA">
        <w:t>having gross diminution or near complete absence of movement of the body, such as would occur as a result of paralysis or strict</w:t>
      </w:r>
      <w:r>
        <w:t xml:space="preserve"> bed rest for at least 3 months within the 2</w:t>
      </w:r>
      <w:r w:rsidRPr="002419DA">
        <w:t xml:space="preserve"> years before clinical onset or </w:t>
      </w:r>
      <w:r w:rsidR="002B51C9">
        <w:t xml:space="preserve">clinical </w:t>
      </w:r>
      <w:proofErr w:type="gramStart"/>
      <w:r w:rsidRPr="002419DA">
        <w:t>worsening;</w:t>
      </w:r>
      <w:proofErr w:type="gramEnd"/>
    </w:p>
    <w:p w14:paraId="58D48306" w14:textId="77777777" w:rsidR="002419DA" w:rsidRDefault="002419DA" w:rsidP="002419DA">
      <w:pPr>
        <w:pStyle w:val="LV2"/>
      </w:pPr>
      <w:r>
        <w:t>an inability to undertake any physical activity grea</w:t>
      </w:r>
      <w:r w:rsidR="002B51C9">
        <w:t>ter than 3</w:t>
      </w:r>
      <w:r>
        <w:t xml:space="preserve"> METs for at least the 5 years before clinical onset or clinical worsening; </w:t>
      </w:r>
    </w:p>
    <w:p w14:paraId="6BB367E0" w14:textId="77777777" w:rsidR="006952CF" w:rsidRDefault="002419DA" w:rsidP="002419DA">
      <w:pPr>
        <w:pStyle w:val="NOTE"/>
      </w:pPr>
      <w:r>
        <w:t xml:space="preserve">Note: </w:t>
      </w:r>
      <w:r w:rsidRPr="002419DA">
        <w:rPr>
          <w:b/>
          <w:i/>
        </w:rPr>
        <w:t>MET</w:t>
      </w:r>
      <w:r>
        <w:t xml:space="preserve"> is defined in the Schedule 1 – Dictionary.</w:t>
      </w:r>
    </w:p>
    <w:p w14:paraId="5CA4EF63" w14:textId="77777777" w:rsidR="00140689" w:rsidRDefault="00140689" w:rsidP="00140689">
      <w:pPr>
        <w:pStyle w:val="LV2"/>
      </w:pPr>
      <w:r>
        <w:t>having a BMI of less than 20 for a continuou</w:t>
      </w:r>
      <w:r w:rsidR="00B63511">
        <w:t>s period of at least 1</w:t>
      </w:r>
      <w:r w:rsidR="00125906">
        <w:t xml:space="preserve"> year within the 10 </w:t>
      </w:r>
      <w:r>
        <w:t xml:space="preserve">years before clinical onset or </w:t>
      </w:r>
      <w:r w:rsidR="002B51C9">
        <w:t xml:space="preserve">clinical </w:t>
      </w:r>
      <w:r>
        <w:t xml:space="preserve">worsening; </w:t>
      </w:r>
    </w:p>
    <w:p w14:paraId="3E80A246" w14:textId="77777777" w:rsidR="006952CF" w:rsidRDefault="00140689" w:rsidP="00140689">
      <w:pPr>
        <w:pStyle w:val="NOTE"/>
      </w:pPr>
      <w:r>
        <w:t xml:space="preserve">Note: </w:t>
      </w:r>
      <w:r w:rsidRPr="00140689">
        <w:rPr>
          <w:b/>
          <w:i/>
        </w:rPr>
        <w:t>BMI</w:t>
      </w:r>
      <w:r>
        <w:t xml:space="preserve"> is defined in the Schedule 1 – Dictionary.</w:t>
      </w:r>
    </w:p>
    <w:p w14:paraId="67DE3430" w14:textId="77777777" w:rsidR="00140689" w:rsidRDefault="00B63511" w:rsidP="00140689">
      <w:pPr>
        <w:pStyle w:val="LV2"/>
      </w:pPr>
      <w:r>
        <w:lastRenderedPageBreak/>
        <w:t>losing 10</w:t>
      </w:r>
      <w:r w:rsidR="002B51C9">
        <w:t xml:space="preserve"> </w:t>
      </w:r>
      <w:r>
        <w:t>%</w:t>
      </w:r>
      <w:r w:rsidR="00140689" w:rsidRPr="00140689">
        <w:t xml:space="preserve"> or more of body wei</w:t>
      </w:r>
      <w:r>
        <w:t xml:space="preserve">ght in any consecutive </w:t>
      </w:r>
      <w:proofErr w:type="gramStart"/>
      <w:r>
        <w:t>3</w:t>
      </w:r>
      <w:r w:rsidR="00140689" w:rsidRPr="00140689">
        <w:t xml:space="preserve"> year</w:t>
      </w:r>
      <w:proofErr w:type="gramEnd"/>
      <w:r w:rsidR="00140689" w:rsidRPr="00140689">
        <w:t xml:space="preserve"> period when aged 50 years</w:t>
      </w:r>
      <w:r>
        <w:t xml:space="preserve"> or older, within the 10</w:t>
      </w:r>
      <w:r w:rsidR="00140689" w:rsidRPr="00140689">
        <w:t xml:space="preserve"> years before clinical onset or </w:t>
      </w:r>
      <w:r w:rsidR="007C1FF7">
        <w:t xml:space="preserve">clinical </w:t>
      </w:r>
      <w:r w:rsidR="00140689" w:rsidRPr="00140689">
        <w:t>worsening;</w:t>
      </w:r>
    </w:p>
    <w:p w14:paraId="528510B2" w14:textId="5405EBD1" w:rsidR="007C7DEE" w:rsidRPr="008D1B8B" w:rsidRDefault="007C1FF7" w:rsidP="00253D7C">
      <w:pPr>
        <w:pStyle w:val="LV2"/>
      </w:pPr>
      <w:r>
        <w:t xml:space="preserve">inability to </w:t>
      </w:r>
      <w:r w:rsidR="007C7DEE" w:rsidRPr="008D1B8B">
        <w:t>obtain appropriate clinical management for</w:t>
      </w:r>
      <w:bookmarkEnd w:id="27"/>
      <w:r w:rsidR="007A3989">
        <w:t xml:space="preserve"> </w:t>
      </w:r>
      <w:r w:rsidR="008A28C8" w:rsidRPr="008A28C8">
        <w:t>osteoporosis</w:t>
      </w:r>
      <w:r w:rsidR="00E7666E">
        <w:t xml:space="preserve"> before clinical worsening</w:t>
      </w:r>
      <w:r w:rsidR="00D5620B" w:rsidRPr="008D1B8B">
        <w:t>.</w:t>
      </w:r>
      <w:bookmarkEnd w:id="28"/>
    </w:p>
    <w:p w14:paraId="55DE4EC9" w14:textId="77777777" w:rsidR="000C21A3" w:rsidRPr="00684C0E" w:rsidRDefault="00D32F71" w:rsidP="00253D7C">
      <w:pPr>
        <w:pStyle w:val="LV1"/>
      </w:pPr>
      <w:bookmarkStart w:id="29" w:name="_Toc512513143"/>
      <w:bookmarkStart w:id="30" w:name="_Ref402530057"/>
      <w:r>
        <w:t>Relationship to s</w:t>
      </w:r>
      <w:r w:rsidR="000C21A3" w:rsidRPr="00684C0E">
        <w:t>ervice</w:t>
      </w:r>
      <w:bookmarkEnd w:id="29"/>
    </w:p>
    <w:p w14:paraId="4C8151DB"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182E1A6C" w14:textId="628E75CE" w:rsidR="00CF2367" w:rsidRPr="00187DE1" w:rsidRDefault="00F03C06" w:rsidP="00253D7C">
      <w:pPr>
        <w:pStyle w:val="LV2"/>
      </w:pPr>
      <w:r w:rsidRPr="00187DE1">
        <w:t xml:space="preserve">The </w:t>
      </w:r>
      <w:r w:rsidR="00B16123">
        <w:t xml:space="preserve">clinical worsening aspects of factors </w:t>
      </w:r>
      <w:r w:rsidRPr="00187DE1">
        <w:t xml:space="preserve">set out in </w:t>
      </w:r>
      <w:r w:rsidR="00B16123">
        <w:t xml:space="preserve">section </w:t>
      </w:r>
      <w:r w:rsidR="00DA3996">
        <w:t>9</w:t>
      </w:r>
      <w:r w:rsidR="00FF1D47">
        <w:t xml:space="preserve"> </w:t>
      </w:r>
      <w:r w:rsidRPr="00187DE1">
        <w:t>appl</w:t>
      </w:r>
      <w:r w:rsidR="00B16123">
        <w:t>y</w:t>
      </w:r>
      <w:r w:rsidRPr="00187DE1">
        <w:t xml:space="preserve"> only to material contribution to, or aggravation of, </w:t>
      </w:r>
      <w:r w:rsidR="008A28C8" w:rsidRPr="008A28C8">
        <w:t>osteoporosis</w:t>
      </w:r>
      <w:r w:rsidR="007A3989">
        <w:t xml:space="preserve"> </w:t>
      </w:r>
      <w:r w:rsidRPr="00187DE1">
        <w:t>where the person</w:t>
      </w:r>
      <w:r w:rsidR="00950C80">
        <w:t>'</w:t>
      </w:r>
      <w:r w:rsidRPr="00187DE1">
        <w:t xml:space="preserve">s </w:t>
      </w:r>
      <w:r w:rsidR="008A28C8" w:rsidRPr="008A28C8">
        <w:t>osteoporosis</w:t>
      </w:r>
      <w:r w:rsidR="007A3989">
        <w:t xml:space="preserve"> </w:t>
      </w:r>
      <w:r w:rsidRPr="00187DE1">
        <w:t>was suffered or contracted before or during (but did not arise out of) the person</w:t>
      </w:r>
      <w:r w:rsidR="00950C80">
        <w:t>'</w:t>
      </w:r>
      <w:r w:rsidRPr="00187DE1">
        <w:t xml:space="preserve">s relevant service. </w:t>
      </w:r>
    </w:p>
    <w:p w14:paraId="3BB86F3C" w14:textId="77777777"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14:paraId="2D902E02" w14:textId="77777777" w:rsidR="00F03C06" w:rsidRPr="00E64EE4" w:rsidRDefault="00F03C06" w:rsidP="00253D7C">
      <w:pPr>
        <w:pStyle w:val="PlainIndent"/>
      </w:pPr>
      <w:r w:rsidRPr="00E64EE4">
        <w:t>In this Statement of Principles:</w:t>
      </w:r>
    </w:p>
    <w:p w14:paraId="0F41DB12"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6C7DFAEF"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w:t>
      </w:r>
      <w:proofErr w:type="gramStart"/>
      <w:r w:rsidR="00AE67D2">
        <w:t>B(</w:t>
      </w:r>
      <w:proofErr w:type="gramEnd"/>
      <w:r w:rsidR="00AE67D2">
        <w:t>2</w:t>
      </w:r>
      <w:r w:rsidRPr="00E64EE4">
        <w:t>) of the VEA</w:t>
      </w:r>
      <w:r w:rsidR="00B24368" w:rsidRPr="00E64EE4">
        <w:t>;</w:t>
      </w:r>
    </w:p>
    <w:p w14:paraId="381081E9"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C548E73" w14:textId="77777777" w:rsidR="00782F4E" w:rsidRPr="00E64EE4" w:rsidRDefault="00782F4E" w:rsidP="00253D7C">
      <w:pPr>
        <w:pStyle w:val="PlainIndent"/>
      </w:pPr>
    </w:p>
    <w:p w14:paraId="02E9C492"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5D26D301" w14:textId="77777777" w:rsidR="00F03C06" w:rsidRDefault="00F03C06" w:rsidP="00253D7C">
      <w:pPr>
        <w:pStyle w:val="PlainIndent"/>
      </w:pPr>
    </w:p>
    <w:p w14:paraId="3579AF86" w14:textId="77777777"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184F7037"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3A909ADD" w14:textId="77777777" w:rsidR="00BD3334" w:rsidRDefault="00702C42" w:rsidP="00516768">
      <w:pPr>
        <w:pStyle w:val="SH1"/>
      </w:pPr>
      <w:bookmarkStart w:id="35" w:name="_Toc405472918"/>
      <w:bookmarkStart w:id="36" w:name="_Toc512513146"/>
      <w:r w:rsidRPr="00D97BB3">
        <w:t>Definitions</w:t>
      </w:r>
      <w:bookmarkEnd w:id="35"/>
      <w:bookmarkEnd w:id="36"/>
    </w:p>
    <w:p w14:paraId="5891E28E" w14:textId="77777777" w:rsidR="00702C42" w:rsidRPr="00516768" w:rsidRDefault="00702C42" w:rsidP="00253D7C">
      <w:pPr>
        <w:pStyle w:val="SH2"/>
      </w:pPr>
      <w:r w:rsidRPr="00516768">
        <w:t>In this instrument:</w:t>
      </w:r>
    </w:p>
    <w:p w14:paraId="6FAD4C5B" w14:textId="77777777" w:rsidR="00874501" w:rsidRDefault="007B52F6" w:rsidP="00874501">
      <w:pPr>
        <w:pStyle w:val="SH3"/>
      </w:pPr>
      <w:bookmarkStart w:id="37" w:name="_Ref402530810"/>
      <w:r w:rsidRPr="007B52F6">
        <w:tab/>
      </w:r>
      <w:r w:rsidR="00874501" w:rsidRPr="00874501">
        <w:rPr>
          <w:b/>
          <w:i/>
        </w:rPr>
        <w:t>anorexia nervosa</w:t>
      </w:r>
      <w:r w:rsidR="00874501">
        <w:t xml:space="preserve"> means a mental disorder that meets the following diagnostic criteria (derived from DSM-5-TR): </w:t>
      </w:r>
    </w:p>
    <w:p w14:paraId="6657390A" w14:textId="77777777" w:rsidR="00874501" w:rsidRDefault="00874501" w:rsidP="00874501">
      <w:pPr>
        <w:pStyle w:val="SH4"/>
      </w:pPr>
      <w:r>
        <w:t xml:space="preserve">Restriction of energy intake relative to requirements, leading to a significantly low body weight in the context of age, sex, developmental trajectory, and physical health. Significantly low weight is defined as a weight that is less than minimally normal or, for children and adolescents, less than that minimally expected; and </w:t>
      </w:r>
    </w:p>
    <w:p w14:paraId="3B3429BF" w14:textId="77777777" w:rsidR="00874501" w:rsidRDefault="00874501" w:rsidP="00874501">
      <w:pPr>
        <w:pStyle w:val="SH4"/>
      </w:pPr>
      <w:r>
        <w:t xml:space="preserve">Intense fear of gaining weight or of becoming fat, or persistent behaviour that interferes with weight gain, even though at a significantly low weight; and </w:t>
      </w:r>
    </w:p>
    <w:p w14:paraId="5B325A8E" w14:textId="77777777" w:rsidR="00874501" w:rsidRDefault="00874501" w:rsidP="00874501">
      <w:pPr>
        <w:pStyle w:val="SH4"/>
      </w:pPr>
      <w:r>
        <w:t>Disturbance in the way in which one’s body weight or shape is experienced, undue influence of body weight or shape on self-evaluation, or persistent lack of recognition of the seriousness of the current low body weight.</w:t>
      </w:r>
    </w:p>
    <w:p w14:paraId="35C8CF14" w14:textId="77777777" w:rsidR="00874501" w:rsidRDefault="00874501" w:rsidP="00874501">
      <w:pPr>
        <w:pStyle w:val="SH3"/>
      </w:pPr>
      <w:r>
        <w:t xml:space="preserve">Note: </w:t>
      </w:r>
      <w:r w:rsidRPr="00874501">
        <w:rPr>
          <w:b/>
          <w:i/>
        </w:rPr>
        <w:t>DSM-5-TR</w:t>
      </w:r>
      <w:r>
        <w:t xml:space="preserve"> is defined in the Schedule 1 – Dictionary.</w:t>
      </w:r>
    </w:p>
    <w:p w14:paraId="73BD15C4" w14:textId="77777777" w:rsidR="00140689" w:rsidRDefault="00140689" w:rsidP="00140689">
      <w:pPr>
        <w:pStyle w:val="SH3"/>
      </w:pPr>
      <w:r w:rsidRPr="00140689">
        <w:rPr>
          <w:b/>
          <w:i/>
        </w:rPr>
        <w:t xml:space="preserve">BMI </w:t>
      </w:r>
      <w:r>
        <w:t xml:space="preserve">means body mass index and is calculated as follows: </w:t>
      </w:r>
    </w:p>
    <w:p w14:paraId="37F908CC" w14:textId="77777777" w:rsidR="00140689" w:rsidRDefault="00140689" w:rsidP="00140689">
      <w:pPr>
        <w:pStyle w:val="SH3"/>
      </w:pPr>
      <w:r>
        <w:t>BMI = W/H</w:t>
      </w:r>
      <w:r w:rsidRPr="00140689">
        <w:rPr>
          <w:vertAlign w:val="superscript"/>
        </w:rPr>
        <w:t>2</w:t>
      </w:r>
      <w:r>
        <w:t xml:space="preserve"> where: </w:t>
      </w:r>
    </w:p>
    <w:p w14:paraId="67D3590B" w14:textId="77777777" w:rsidR="00140689" w:rsidRDefault="00140689" w:rsidP="00140689">
      <w:pPr>
        <w:pStyle w:val="SH4"/>
      </w:pPr>
      <w:r>
        <w:t xml:space="preserve">W is the person’s weight in kilograms; and </w:t>
      </w:r>
    </w:p>
    <w:p w14:paraId="320BDA28" w14:textId="77777777" w:rsidR="00140689" w:rsidRPr="00140689" w:rsidRDefault="00140689" w:rsidP="00140689">
      <w:pPr>
        <w:pStyle w:val="SH4"/>
      </w:pPr>
      <w:r>
        <w:t>H is the person’s height in metres;</w:t>
      </w:r>
    </w:p>
    <w:p w14:paraId="0BBCFE3C" w14:textId="77777777" w:rsidR="00AA35F7" w:rsidRDefault="00AA35F7" w:rsidP="00AA35F7">
      <w:pPr>
        <w:pStyle w:val="SH3"/>
      </w:pPr>
      <w:r w:rsidRPr="00AA35F7">
        <w:rPr>
          <w:b/>
          <w:i/>
        </w:rPr>
        <w:t>d</w:t>
      </w:r>
      <w:r w:rsidR="00F72B54">
        <w:rPr>
          <w:b/>
          <w:i/>
        </w:rPr>
        <w:t>ose</w:t>
      </w:r>
      <w:r w:rsidRPr="00AA35F7">
        <w:rPr>
          <w:b/>
          <w:i/>
        </w:rPr>
        <w:t xml:space="preserve"> equivalence to prednisolone</w:t>
      </w:r>
      <w:r>
        <w:t xml:space="preserve"> means the </w:t>
      </w:r>
      <w:r w:rsidR="006A5757">
        <w:t xml:space="preserve">quantity of the </w:t>
      </w:r>
      <w:r>
        <w:t>following drugs multiplied by the number in brackets</w:t>
      </w:r>
      <w:r w:rsidR="006A5757">
        <w:t xml:space="preserve"> to obtain an equivalent dose to prednisolone:</w:t>
      </w:r>
    </w:p>
    <w:p w14:paraId="6C720522" w14:textId="77777777" w:rsidR="00AA35F7" w:rsidRDefault="00AA35F7" w:rsidP="00AA35F7">
      <w:pPr>
        <w:pStyle w:val="SH4"/>
      </w:pPr>
      <w:r>
        <w:t>cortisone</w:t>
      </w:r>
      <w:r>
        <w:tab/>
      </w:r>
      <w:r w:rsidR="006A5757">
        <w:tab/>
      </w:r>
      <w:r w:rsidR="006A5757">
        <w:tab/>
        <w:t xml:space="preserve"> (x 5)</w:t>
      </w:r>
      <w:r w:rsidR="00055744">
        <w:t>;</w:t>
      </w:r>
    </w:p>
    <w:p w14:paraId="6D3BD22C" w14:textId="77777777" w:rsidR="00AA35F7" w:rsidRDefault="00AA35F7" w:rsidP="00AA35F7">
      <w:pPr>
        <w:pStyle w:val="SH4"/>
      </w:pPr>
      <w:proofErr w:type="gramStart"/>
      <w:r>
        <w:t>hydrocortisone</w:t>
      </w:r>
      <w:r w:rsidR="006A5757">
        <w:t>.(</w:t>
      </w:r>
      <w:proofErr w:type="gramEnd"/>
      <w:r w:rsidR="006A5757">
        <w:t xml:space="preserve">x </w:t>
      </w:r>
      <w:r>
        <w:tab/>
        <w:t>4</w:t>
      </w:r>
      <w:r w:rsidR="006A5757">
        <w:t>)</w:t>
      </w:r>
      <w:r w:rsidR="00055744">
        <w:t>;</w:t>
      </w:r>
    </w:p>
    <w:p w14:paraId="2AFAE6AF" w14:textId="77777777" w:rsidR="00AA35F7" w:rsidRDefault="00AA35F7" w:rsidP="00AA35F7">
      <w:pPr>
        <w:pStyle w:val="SH4"/>
      </w:pPr>
      <w:r>
        <w:t>prednisone</w:t>
      </w:r>
      <w:r w:rsidR="006A5757">
        <w:t xml:space="preserve"> (x 1)</w:t>
      </w:r>
      <w:r w:rsidR="00055744">
        <w:t>;</w:t>
      </w:r>
    </w:p>
    <w:p w14:paraId="7670956C" w14:textId="77777777" w:rsidR="00AA35F7" w:rsidRDefault="00AA35F7" w:rsidP="00AA35F7">
      <w:pPr>
        <w:pStyle w:val="SH4"/>
      </w:pPr>
      <w:r>
        <w:t>methylprednisolone</w:t>
      </w:r>
      <w:r w:rsidR="006A5757">
        <w:t xml:space="preserve"> (x </w:t>
      </w:r>
      <w:r>
        <w:tab/>
        <w:t>0.8</w:t>
      </w:r>
      <w:r w:rsidR="006A5757">
        <w:t>)</w:t>
      </w:r>
      <w:r w:rsidR="00055744">
        <w:t>;</w:t>
      </w:r>
    </w:p>
    <w:p w14:paraId="582145DF" w14:textId="77777777" w:rsidR="00AA35F7" w:rsidRDefault="00AA35F7" w:rsidP="00AA35F7">
      <w:pPr>
        <w:pStyle w:val="SH4"/>
      </w:pPr>
      <w:r>
        <w:t>triamcinolone</w:t>
      </w:r>
      <w:r>
        <w:tab/>
      </w:r>
      <w:r w:rsidR="006A5757">
        <w:t xml:space="preserve"> (x </w:t>
      </w:r>
      <w:r>
        <w:t>0.8</w:t>
      </w:r>
      <w:r w:rsidR="006A5757">
        <w:t>)</w:t>
      </w:r>
      <w:r w:rsidR="00055744">
        <w:t>;</w:t>
      </w:r>
    </w:p>
    <w:p w14:paraId="0F825CBF" w14:textId="77777777" w:rsidR="00AA35F7" w:rsidRDefault="00AA35F7" w:rsidP="00AA35F7">
      <w:pPr>
        <w:pStyle w:val="SH4"/>
      </w:pPr>
      <w:r>
        <w:t>paramethasone</w:t>
      </w:r>
      <w:r>
        <w:tab/>
      </w:r>
      <w:r w:rsidR="006A5757">
        <w:t xml:space="preserve"> (x </w:t>
      </w:r>
      <w:r>
        <w:t>0.4</w:t>
      </w:r>
      <w:r w:rsidR="006A5757">
        <w:t>)</w:t>
      </w:r>
      <w:r w:rsidR="00055744">
        <w:t>;</w:t>
      </w:r>
    </w:p>
    <w:p w14:paraId="172CD1F9" w14:textId="77777777" w:rsidR="00AA35F7" w:rsidRDefault="00AA35F7" w:rsidP="00AA35F7">
      <w:pPr>
        <w:pStyle w:val="SH4"/>
      </w:pPr>
      <w:r>
        <w:t>dexamethasone</w:t>
      </w:r>
      <w:r w:rsidR="006A5757">
        <w:t xml:space="preserve"> (x </w:t>
      </w:r>
      <w:r>
        <w:tab/>
        <w:t>0.15</w:t>
      </w:r>
      <w:r w:rsidR="00055744">
        <w:t>);</w:t>
      </w:r>
    </w:p>
    <w:p w14:paraId="2D7FF4FB" w14:textId="77777777" w:rsidR="00182E1B" w:rsidRPr="00182E1B" w:rsidRDefault="00AA35F7" w:rsidP="00AA35F7">
      <w:pPr>
        <w:pStyle w:val="SH4"/>
      </w:pPr>
      <w:r>
        <w:t>betamethasone</w:t>
      </w:r>
      <w:r w:rsidR="006A5757">
        <w:t xml:space="preserve"> (x </w:t>
      </w:r>
      <w:r>
        <w:tab/>
        <w:t>0.12</w:t>
      </w:r>
      <w:r w:rsidR="006A5757">
        <w:t>)</w:t>
      </w:r>
      <w:r w:rsidR="00055744">
        <w:t>.</w:t>
      </w:r>
    </w:p>
    <w:p w14:paraId="20E60B84" w14:textId="77777777" w:rsidR="003C6D6E" w:rsidRPr="003C6D6E" w:rsidRDefault="003C6D6E" w:rsidP="003C6D6E">
      <w:pPr>
        <w:pStyle w:val="SH3"/>
      </w:pPr>
      <w:r>
        <w:rPr>
          <w:b/>
          <w:i/>
        </w:rPr>
        <w:t>D</w:t>
      </w:r>
      <w:r w:rsidRPr="003C6D6E">
        <w:rPr>
          <w:b/>
          <w:i/>
        </w:rPr>
        <w:t>SM-5-TR</w:t>
      </w:r>
      <w:r w:rsidRPr="003C6D6E">
        <w:t xml:space="preserve"> means the American </w:t>
      </w:r>
      <w:r>
        <w:t>P</w:t>
      </w:r>
      <w:r w:rsidRPr="003C6D6E">
        <w:t>sychiatric Association, Diagnostic and Statistical Manual of Mental Disorders, Fifth Edition, Text Revision. Washington, DC, American Psychiatric Association, 2022.</w:t>
      </w:r>
    </w:p>
    <w:p w14:paraId="32FE0511" w14:textId="457A83B5" w:rsidR="004453FC" w:rsidRPr="004453FC" w:rsidRDefault="004453FC" w:rsidP="002419DA">
      <w:pPr>
        <w:pStyle w:val="SH3"/>
      </w:pPr>
      <w:bookmarkStart w:id="38" w:name="_Hlk174438661"/>
      <w:r w:rsidRPr="004453FC">
        <w:rPr>
          <w:b/>
          <w:bCs/>
          <w:i/>
          <w:iCs/>
        </w:rPr>
        <w:t>low bone mineral density</w:t>
      </w:r>
      <w:r w:rsidRPr="004453FC">
        <w:t xml:space="preserve"> is a bone mineral density 2.5 standard deviations or more below the mean bone mineral density of young adult sex-matched controls (T score).</w:t>
      </w:r>
    </w:p>
    <w:bookmarkEnd w:id="38"/>
    <w:p w14:paraId="3454819F" w14:textId="25D68D78" w:rsidR="002419DA" w:rsidRPr="002419DA" w:rsidRDefault="002419DA" w:rsidP="002419DA">
      <w:pPr>
        <w:pStyle w:val="SH3"/>
      </w:pPr>
      <w:r w:rsidRPr="002419DA">
        <w:rPr>
          <w:b/>
          <w:i/>
        </w:rPr>
        <w:lastRenderedPageBreak/>
        <w:t>MET</w:t>
      </w:r>
      <w:r w:rsidRPr="002419DA">
        <w:t xml:space="preserve"> means a unit of measurement of the level of physical exertion. 1 MET = 3.5 ml of oxygen/kg of body weight per minute, 1.0 kcal/kg of body weight per hour or resting metabolic rate.</w:t>
      </w:r>
    </w:p>
    <w:p w14:paraId="28FD9338" w14:textId="77777777"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230598BF" w14:textId="77777777" w:rsidR="003A2E83" w:rsidRPr="003A2E83" w:rsidRDefault="003A2E83" w:rsidP="003A2E83">
      <w:pPr>
        <w:pStyle w:val="SH3"/>
      </w:pPr>
      <w:bookmarkStart w:id="39" w:name="_Ref402529607"/>
      <w:bookmarkEnd w:id="37"/>
      <w:r w:rsidRPr="003A2E83">
        <w:rPr>
          <w:b/>
          <w:i/>
        </w:rPr>
        <w:t xml:space="preserve">one pack-year </w:t>
      </w:r>
      <w:r w:rsidRPr="003A2E83">
        <w:t>means the amount of tobacco consumed in smoking 20 ciga</w:t>
      </w:r>
      <w:r w:rsidR="00636490">
        <w:t>re</w:t>
      </w:r>
      <w:r w:rsidR="00055744">
        <w:t>ttes per day for a period of 1</w:t>
      </w:r>
      <w:r w:rsidRPr="003A2E83">
        <w:t xml:space="preserve"> year, or an equivalent amount of tobacco products. </w:t>
      </w:r>
    </w:p>
    <w:p w14:paraId="28C1A337" w14:textId="77777777" w:rsidR="003A2E83" w:rsidRPr="003A2E83" w:rsidRDefault="003A2E83" w:rsidP="003A2E83">
      <w:pPr>
        <w:pStyle w:val="ScheduleNote"/>
      </w:pPr>
      <w:r w:rsidRPr="003A2E83">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rsidRPr="003A2E83">
        <w:t>is considered to be</w:t>
      </w:r>
      <w:proofErr w:type="gramEnd"/>
      <w:r w:rsidRPr="003A2E83">
        <w:t xml:space="preserve"> equal to one cigarette. </w:t>
      </w:r>
    </w:p>
    <w:p w14:paraId="279F47EE" w14:textId="77777777" w:rsidR="003A2E83" w:rsidRPr="003A2E83" w:rsidRDefault="003A2E83" w:rsidP="003A2E83">
      <w:pPr>
        <w:pStyle w:val="ScheduleNote"/>
      </w:pPr>
      <w:r w:rsidRPr="003A2E83">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24972BDC" w14:textId="2ACB3730" w:rsidR="001B4F0B" w:rsidRPr="00513D05" w:rsidRDefault="008A28C8" w:rsidP="001B4F0B">
      <w:pPr>
        <w:pStyle w:val="SH3"/>
      </w:pPr>
      <w:r w:rsidRPr="008A28C8">
        <w:rPr>
          <w:b/>
          <w:i/>
        </w:rPr>
        <w:t>osteoporosis</w:t>
      </w:r>
      <w:r w:rsidR="001B4F0B" w:rsidRPr="00513D05">
        <w:t>—see subsection</w:t>
      </w:r>
      <w:r w:rsidR="001B4F0B">
        <w:t xml:space="preserve"> 7(2).</w:t>
      </w:r>
    </w:p>
    <w:p w14:paraId="567A6BD1" w14:textId="77777777" w:rsidR="0090262E" w:rsidRPr="0090262E" w:rsidRDefault="0090262E" w:rsidP="00576E99">
      <w:pPr>
        <w:pStyle w:val="SH3"/>
      </w:pPr>
      <w:r w:rsidRPr="00E424C8">
        <w:rPr>
          <w:b/>
          <w:i/>
        </w:rPr>
        <w:t>relevant service</w:t>
      </w:r>
      <w:r w:rsidRPr="0090262E">
        <w:t xml:space="preserve"> means:</w:t>
      </w:r>
    </w:p>
    <w:p w14:paraId="3187030C" w14:textId="77777777" w:rsidR="0090262E" w:rsidRPr="0090262E" w:rsidRDefault="0090262E" w:rsidP="00304166">
      <w:pPr>
        <w:pStyle w:val="SH4"/>
        <w:ind w:left="1418"/>
      </w:pPr>
      <w:r w:rsidRPr="0090262E">
        <w:t xml:space="preserve">operational service under the VEA; </w:t>
      </w:r>
    </w:p>
    <w:p w14:paraId="238CC033" w14:textId="77777777" w:rsidR="0090262E" w:rsidRPr="0090262E" w:rsidRDefault="0090262E" w:rsidP="00304166">
      <w:pPr>
        <w:pStyle w:val="SH4"/>
        <w:ind w:left="1418"/>
      </w:pPr>
      <w:r w:rsidRPr="0090262E">
        <w:t xml:space="preserve">peacekeeping service under the VEA; </w:t>
      </w:r>
    </w:p>
    <w:p w14:paraId="69B61A06" w14:textId="77777777" w:rsidR="0090262E" w:rsidRPr="0090262E" w:rsidRDefault="0090262E" w:rsidP="00304166">
      <w:pPr>
        <w:pStyle w:val="SH4"/>
        <w:ind w:left="1418"/>
      </w:pPr>
      <w:r w:rsidRPr="0090262E">
        <w:t xml:space="preserve">hazardous service under the VEA; </w:t>
      </w:r>
    </w:p>
    <w:p w14:paraId="0A114C8C" w14:textId="77777777" w:rsidR="0090262E" w:rsidRPr="0090262E" w:rsidRDefault="0090262E" w:rsidP="00304166">
      <w:pPr>
        <w:pStyle w:val="SH4"/>
        <w:ind w:left="1418"/>
      </w:pPr>
      <w:r w:rsidRPr="0090262E">
        <w:t>British nuclear test defence service under the VEA;</w:t>
      </w:r>
    </w:p>
    <w:p w14:paraId="54B24DB5" w14:textId="77777777" w:rsidR="0090262E" w:rsidRPr="0090262E" w:rsidRDefault="0090262E" w:rsidP="00304166">
      <w:pPr>
        <w:pStyle w:val="SH4"/>
        <w:ind w:left="1418"/>
      </w:pPr>
      <w:r w:rsidRPr="0090262E">
        <w:t>warlike service under the MRCA; or</w:t>
      </w:r>
    </w:p>
    <w:p w14:paraId="575BF118" w14:textId="77777777" w:rsidR="00885EAB" w:rsidRPr="0090262E" w:rsidRDefault="0090262E" w:rsidP="00304166">
      <w:pPr>
        <w:pStyle w:val="SH4"/>
        <w:ind w:left="1418"/>
      </w:pPr>
      <w:r w:rsidRPr="0090262E">
        <w:t>non-warlike service under the MRCA.</w:t>
      </w:r>
    </w:p>
    <w:p w14:paraId="7D3D0579"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2907F868" w14:textId="77777777" w:rsidR="00093F89" w:rsidRPr="00093F89" w:rsidRDefault="00093F89" w:rsidP="00093F89">
      <w:pPr>
        <w:pStyle w:val="SH3"/>
      </w:pPr>
      <w:r w:rsidRPr="00093F89">
        <w:rPr>
          <w:b/>
          <w:i/>
        </w:rPr>
        <w:t>severe vitamin C deficiency</w:t>
      </w:r>
      <w:r w:rsidRPr="00093F89">
        <w:t xml:space="preserve"> means symptoms of scurvy or a serum ascorbic acid level of less than 2.5 milligrams per litre.</w:t>
      </w:r>
    </w:p>
    <w:p w14:paraId="31D17497" w14:textId="77777777" w:rsidR="001B4F0B" w:rsidRPr="001B4F0B" w:rsidRDefault="001B4F0B" w:rsidP="001B4F0B">
      <w:pPr>
        <w:pStyle w:val="SH3"/>
      </w:pPr>
      <w:r w:rsidRPr="001B4F0B">
        <w:rPr>
          <w:b/>
          <w:i/>
        </w:rPr>
        <w:t>systemic mastocytosis</w:t>
      </w:r>
      <w:r w:rsidRPr="001B4F0B">
        <w:t xml:space="preserve"> means a mast cell hyperplasia that is generally detected in the bone marrow, skin, gastrointestinal mucosa, liver or spleen.</w:t>
      </w:r>
    </w:p>
    <w:p w14:paraId="4B729148" w14:textId="77777777" w:rsidR="00182E1B" w:rsidRPr="00182E1B" w:rsidRDefault="00182E1B" w:rsidP="00182E1B">
      <w:pPr>
        <w:pStyle w:val="SH1"/>
        <w:numPr>
          <w:ilvl w:val="0"/>
          <w:numId w:val="0"/>
        </w:numPr>
        <w:ind w:left="907"/>
        <w:rPr>
          <w:b w:val="0"/>
        </w:rPr>
      </w:pPr>
      <w:r>
        <w:rPr>
          <w:bCs/>
          <w:i/>
        </w:rPr>
        <w:t>t</w:t>
      </w:r>
      <w:r w:rsidRPr="002137D8">
        <w:rPr>
          <w:bCs/>
          <w:i/>
        </w:rPr>
        <w:t>aking a medication from the specified list</w:t>
      </w:r>
      <w:r>
        <w:rPr>
          <w:bCs/>
        </w:rPr>
        <w:t xml:space="preserve"> </w:t>
      </w:r>
      <w:r w:rsidRPr="00182E1B">
        <w:rPr>
          <w:b w:val="0"/>
        </w:rPr>
        <w:t>means taking any of the medications listed in the following table, according to route of administration</w:t>
      </w:r>
      <w:r>
        <w:rPr>
          <w:b w:val="0"/>
        </w:rPr>
        <w:t>, dosage and duration specified:</w:t>
      </w:r>
    </w:p>
    <w:tbl>
      <w:tblPr>
        <w:tblW w:w="6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7"/>
        <w:gridCol w:w="1417"/>
        <w:gridCol w:w="1559"/>
        <w:gridCol w:w="1253"/>
      </w:tblGrid>
      <w:tr w:rsidR="00182E1B" w14:paraId="5281AF69" w14:textId="77777777" w:rsidTr="00D64E4A">
        <w:trPr>
          <w:cantSplit/>
          <w:trHeight w:val="421"/>
          <w:tblHeader/>
          <w:jc w:val="center"/>
        </w:trPr>
        <w:tc>
          <w:tcPr>
            <w:tcW w:w="2097" w:type="dxa"/>
            <w:shd w:val="pct5" w:color="auto" w:fill="auto"/>
          </w:tcPr>
          <w:p w14:paraId="053C5B7D" w14:textId="77777777" w:rsidR="00182E1B" w:rsidRDefault="00182E1B" w:rsidP="00D64E4A">
            <w:pPr>
              <w:ind w:left="34" w:firstLine="11"/>
              <w:jc w:val="center"/>
              <w:rPr>
                <w:b/>
                <w:color w:val="000000"/>
                <w:sz w:val="20"/>
              </w:rPr>
            </w:pPr>
            <w:r>
              <w:rPr>
                <w:b/>
                <w:color w:val="000000"/>
                <w:sz w:val="20"/>
              </w:rPr>
              <w:t>Medications</w:t>
            </w:r>
          </w:p>
        </w:tc>
        <w:tc>
          <w:tcPr>
            <w:tcW w:w="1417" w:type="dxa"/>
            <w:shd w:val="clear" w:color="auto" w:fill="F2F2F2" w:themeFill="background1" w:themeFillShade="F2"/>
          </w:tcPr>
          <w:p w14:paraId="778E8633" w14:textId="77777777" w:rsidR="00182E1B" w:rsidRDefault="00182E1B" w:rsidP="00D64E4A">
            <w:pPr>
              <w:ind w:left="34"/>
              <w:jc w:val="center"/>
              <w:rPr>
                <w:b/>
                <w:color w:val="000000"/>
                <w:sz w:val="20"/>
              </w:rPr>
            </w:pPr>
            <w:r>
              <w:rPr>
                <w:b/>
                <w:color w:val="000000"/>
                <w:sz w:val="20"/>
              </w:rPr>
              <w:t xml:space="preserve">Mode </w:t>
            </w:r>
          </w:p>
        </w:tc>
        <w:tc>
          <w:tcPr>
            <w:tcW w:w="1559" w:type="dxa"/>
            <w:shd w:val="pct5" w:color="auto" w:fill="auto"/>
          </w:tcPr>
          <w:p w14:paraId="31BF50C8" w14:textId="77777777" w:rsidR="00182E1B" w:rsidRDefault="00182E1B" w:rsidP="00D64E4A">
            <w:pPr>
              <w:ind w:left="34"/>
              <w:jc w:val="center"/>
              <w:rPr>
                <w:b/>
                <w:color w:val="000000"/>
                <w:sz w:val="20"/>
              </w:rPr>
            </w:pPr>
            <w:r>
              <w:rPr>
                <w:b/>
                <w:color w:val="000000"/>
                <w:sz w:val="20"/>
              </w:rPr>
              <w:t>Dose</w:t>
            </w:r>
          </w:p>
        </w:tc>
        <w:tc>
          <w:tcPr>
            <w:tcW w:w="1253" w:type="dxa"/>
            <w:shd w:val="pct5" w:color="auto" w:fill="auto"/>
          </w:tcPr>
          <w:p w14:paraId="138AE50C" w14:textId="77777777" w:rsidR="00182E1B" w:rsidRDefault="00182E1B" w:rsidP="00D64E4A">
            <w:pPr>
              <w:ind w:left="34"/>
              <w:jc w:val="center"/>
              <w:rPr>
                <w:b/>
                <w:color w:val="000000"/>
                <w:sz w:val="20"/>
              </w:rPr>
            </w:pPr>
            <w:r>
              <w:rPr>
                <w:b/>
                <w:color w:val="000000"/>
                <w:sz w:val="20"/>
              </w:rPr>
              <w:t>Minimum Duration of Treatment</w:t>
            </w:r>
          </w:p>
        </w:tc>
      </w:tr>
      <w:tr w:rsidR="00182E1B" w14:paraId="42FBE36C" w14:textId="77777777" w:rsidTr="00D64E4A">
        <w:trPr>
          <w:cantSplit/>
          <w:trHeight w:val="475"/>
          <w:jc w:val="center"/>
        </w:trPr>
        <w:tc>
          <w:tcPr>
            <w:tcW w:w="2097" w:type="dxa"/>
            <w:vMerge w:val="restart"/>
            <w:shd w:val="clear" w:color="auto" w:fill="FFFFFF" w:themeFill="background1"/>
            <w:vAlign w:val="center"/>
          </w:tcPr>
          <w:p w14:paraId="543335DF" w14:textId="77777777" w:rsidR="00182E1B" w:rsidRDefault="00182E1B" w:rsidP="00D64E4A">
            <w:pPr>
              <w:ind w:left="11" w:hanging="11"/>
              <w:rPr>
                <w:szCs w:val="22"/>
              </w:rPr>
            </w:pPr>
            <w:r>
              <w:rPr>
                <w:szCs w:val="22"/>
              </w:rPr>
              <w:t>beclomethasone, budesonide,</w:t>
            </w:r>
          </w:p>
          <w:p w14:paraId="4BA686F9" w14:textId="77777777" w:rsidR="00182E1B" w:rsidRDefault="00182E1B" w:rsidP="00D64E4A">
            <w:pPr>
              <w:ind w:left="11" w:hanging="11"/>
              <w:rPr>
                <w:szCs w:val="22"/>
              </w:rPr>
            </w:pPr>
            <w:r>
              <w:rPr>
                <w:szCs w:val="22"/>
              </w:rPr>
              <w:t xml:space="preserve">fluticasone or other inhaled glucocorticoids </w:t>
            </w:r>
          </w:p>
          <w:p w14:paraId="4E94EBED" w14:textId="77777777" w:rsidR="00182E1B" w:rsidRPr="004A608F" w:rsidRDefault="00182E1B" w:rsidP="00D64E4A">
            <w:pPr>
              <w:ind w:left="11" w:hanging="11"/>
              <w:rPr>
                <w:b/>
                <w:szCs w:val="22"/>
              </w:rPr>
            </w:pPr>
          </w:p>
        </w:tc>
        <w:tc>
          <w:tcPr>
            <w:tcW w:w="1417" w:type="dxa"/>
            <w:vMerge w:val="restart"/>
            <w:shd w:val="clear" w:color="auto" w:fill="FFFFFF" w:themeFill="background1"/>
            <w:vAlign w:val="center"/>
          </w:tcPr>
          <w:p w14:paraId="422BCB66" w14:textId="77777777" w:rsidR="00182E1B" w:rsidRDefault="00182E1B" w:rsidP="00D64E4A">
            <w:pPr>
              <w:ind w:left="-75"/>
              <w:jc w:val="center"/>
              <w:rPr>
                <w:szCs w:val="22"/>
              </w:rPr>
            </w:pPr>
            <w:r>
              <w:rPr>
                <w:szCs w:val="22"/>
              </w:rPr>
              <w:t>inhalation</w:t>
            </w:r>
          </w:p>
        </w:tc>
        <w:tc>
          <w:tcPr>
            <w:tcW w:w="1559" w:type="dxa"/>
            <w:shd w:val="clear" w:color="auto" w:fill="FFFFFF" w:themeFill="background1"/>
            <w:vAlign w:val="center"/>
          </w:tcPr>
          <w:p w14:paraId="2526DBE7" w14:textId="77777777" w:rsidR="00182E1B" w:rsidRDefault="00182E1B" w:rsidP="00D64E4A">
            <w:pPr>
              <w:pStyle w:val="FootnoteText"/>
              <w:ind w:left="175"/>
              <w:jc w:val="center"/>
              <w:rPr>
                <w:sz w:val="22"/>
                <w:szCs w:val="22"/>
              </w:rPr>
            </w:pPr>
            <w:r>
              <w:rPr>
                <w:sz w:val="22"/>
                <w:szCs w:val="22"/>
              </w:rPr>
              <w:sym w:font="Symbol" w:char="F0B3"/>
            </w:r>
            <w:r>
              <w:rPr>
                <w:sz w:val="22"/>
                <w:szCs w:val="22"/>
              </w:rPr>
              <w:t xml:space="preserve"> 640 micrograms/day on average</w:t>
            </w:r>
          </w:p>
        </w:tc>
        <w:tc>
          <w:tcPr>
            <w:tcW w:w="1253" w:type="dxa"/>
            <w:shd w:val="clear" w:color="auto" w:fill="FFFFFF" w:themeFill="background1"/>
            <w:vAlign w:val="center"/>
          </w:tcPr>
          <w:p w14:paraId="5ECEEA35" w14:textId="77777777" w:rsidR="00182E1B" w:rsidRDefault="00182E1B" w:rsidP="00D64E4A">
            <w:pPr>
              <w:pStyle w:val="FootnoteText"/>
              <w:ind w:left="34"/>
              <w:jc w:val="center"/>
              <w:rPr>
                <w:sz w:val="22"/>
                <w:szCs w:val="22"/>
              </w:rPr>
            </w:pPr>
            <w:r>
              <w:rPr>
                <w:sz w:val="22"/>
                <w:szCs w:val="22"/>
              </w:rPr>
              <w:t>24 months</w:t>
            </w:r>
          </w:p>
        </w:tc>
      </w:tr>
      <w:tr w:rsidR="00182E1B" w14:paraId="10705659" w14:textId="77777777" w:rsidTr="00D64E4A">
        <w:trPr>
          <w:cantSplit/>
          <w:trHeight w:val="475"/>
          <w:jc w:val="center"/>
        </w:trPr>
        <w:tc>
          <w:tcPr>
            <w:tcW w:w="2097" w:type="dxa"/>
            <w:vMerge/>
            <w:shd w:val="clear" w:color="auto" w:fill="FFFFFF" w:themeFill="background1"/>
          </w:tcPr>
          <w:p w14:paraId="54507CDA" w14:textId="77777777" w:rsidR="00182E1B" w:rsidRDefault="00182E1B" w:rsidP="00D64E4A">
            <w:pPr>
              <w:ind w:left="11"/>
              <w:rPr>
                <w:szCs w:val="22"/>
              </w:rPr>
            </w:pPr>
          </w:p>
        </w:tc>
        <w:tc>
          <w:tcPr>
            <w:tcW w:w="1417" w:type="dxa"/>
            <w:vMerge/>
            <w:shd w:val="clear" w:color="auto" w:fill="FFFFFF" w:themeFill="background1"/>
          </w:tcPr>
          <w:p w14:paraId="2ED29023" w14:textId="77777777" w:rsidR="00182E1B" w:rsidRDefault="00182E1B" w:rsidP="00D64E4A">
            <w:pPr>
              <w:ind w:left="-75"/>
              <w:jc w:val="center"/>
              <w:rPr>
                <w:szCs w:val="22"/>
              </w:rPr>
            </w:pPr>
          </w:p>
        </w:tc>
        <w:tc>
          <w:tcPr>
            <w:tcW w:w="1559" w:type="dxa"/>
            <w:shd w:val="clear" w:color="auto" w:fill="FFFFFF" w:themeFill="background1"/>
            <w:vAlign w:val="center"/>
          </w:tcPr>
          <w:p w14:paraId="5EF0597E" w14:textId="77777777" w:rsidR="00182E1B" w:rsidRDefault="00182E1B" w:rsidP="00D64E4A">
            <w:pPr>
              <w:ind w:left="-36"/>
              <w:jc w:val="center"/>
              <w:rPr>
                <w:szCs w:val="22"/>
              </w:rPr>
            </w:pPr>
            <w:r>
              <w:rPr>
                <w:szCs w:val="22"/>
              </w:rPr>
              <w:sym w:font="Symbol" w:char="F0B3"/>
            </w:r>
            <w:r>
              <w:rPr>
                <w:szCs w:val="22"/>
              </w:rPr>
              <w:t xml:space="preserve"> 3 grams</w:t>
            </w:r>
          </w:p>
        </w:tc>
        <w:tc>
          <w:tcPr>
            <w:tcW w:w="1253" w:type="dxa"/>
            <w:shd w:val="clear" w:color="auto" w:fill="FFFFFF" w:themeFill="background1"/>
            <w:vAlign w:val="center"/>
          </w:tcPr>
          <w:p w14:paraId="45A61B41" w14:textId="77777777" w:rsidR="00182E1B" w:rsidRDefault="00182E1B" w:rsidP="00D64E4A">
            <w:pPr>
              <w:ind w:hanging="104"/>
              <w:jc w:val="center"/>
              <w:rPr>
                <w:szCs w:val="22"/>
              </w:rPr>
            </w:pPr>
            <w:r>
              <w:rPr>
                <w:szCs w:val="22"/>
              </w:rPr>
              <w:t>any duration</w:t>
            </w:r>
          </w:p>
        </w:tc>
      </w:tr>
      <w:tr w:rsidR="00182E1B" w14:paraId="699DCD82" w14:textId="77777777" w:rsidTr="00D64E4A">
        <w:trPr>
          <w:cantSplit/>
          <w:trHeight w:val="227"/>
          <w:jc w:val="center"/>
        </w:trPr>
        <w:tc>
          <w:tcPr>
            <w:tcW w:w="2097" w:type="dxa"/>
            <w:shd w:val="clear" w:color="auto" w:fill="FFFFFF" w:themeFill="background1"/>
          </w:tcPr>
          <w:p w14:paraId="40AD3D9E" w14:textId="77777777" w:rsidR="00182E1B" w:rsidRDefault="00182E1B" w:rsidP="00D64E4A">
            <w:pPr>
              <w:ind w:left="11"/>
              <w:rPr>
                <w:szCs w:val="22"/>
              </w:rPr>
            </w:pPr>
            <w:r>
              <w:rPr>
                <w:szCs w:val="22"/>
              </w:rPr>
              <w:t>corticotrophins</w:t>
            </w:r>
          </w:p>
        </w:tc>
        <w:tc>
          <w:tcPr>
            <w:tcW w:w="1417" w:type="dxa"/>
            <w:shd w:val="clear" w:color="auto" w:fill="FFFFFF" w:themeFill="background1"/>
          </w:tcPr>
          <w:p w14:paraId="5121B375" w14:textId="77777777" w:rsidR="00182E1B" w:rsidRDefault="00182E1B" w:rsidP="00D64E4A">
            <w:pPr>
              <w:ind w:left="-75"/>
              <w:jc w:val="center"/>
              <w:rPr>
                <w:szCs w:val="22"/>
              </w:rPr>
            </w:pPr>
            <w:r>
              <w:rPr>
                <w:szCs w:val="22"/>
              </w:rPr>
              <w:t>any route</w:t>
            </w:r>
          </w:p>
        </w:tc>
        <w:tc>
          <w:tcPr>
            <w:tcW w:w="1559" w:type="dxa"/>
            <w:shd w:val="clear" w:color="auto" w:fill="FFFFFF" w:themeFill="background1"/>
          </w:tcPr>
          <w:p w14:paraId="14EE8046" w14:textId="77777777" w:rsidR="00182E1B" w:rsidRDefault="00182E1B" w:rsidP="00D64E4A">
            <w:pPr>
              <w:ind w:left="-36"/>
              <w:jc w:val="center"/>
              <w:rPr>
                <w:szCs w:val="22"/>
              </w:rPr>
            </w:pPr>
            <w:r>
              <w:rPr>
                <w:szCs w:val="22"/>
              </w:rPr>
              <w:t>at least weekly</w:t>
            </w:r>
          </w:p>
        </w:tc>
        <w:tc>
          <w:tcPr>
            <w:tcW w:w="1253" w:type="dxa"/>
            <w:shd w:val="clear" w:color="auto" w:fill="FFFFFF" w:themeFill="background1"/>
          </w:tcPr>
          <w:p w14:paraId="1CBBBF12" w14:textId="77777777" w:rsidR="00182E1B" w:rsidRDefault="00182E1B" w:rsidP="00D64E4A">
            <w:pPr>
              <w:ind w:firstLine="38"/>
              <w:jc w:val="center"/>
              <w:rPr>
                <w:szCs w:val="22"/>
              </w:rPr>
            </w:pPr>
            <w:r>
              <w:rPr>
                <w:szCs w:val="22"/>
              </w:rPr>
              <w:t>6 months</w:t>
            </w:r>
          </w:p>
        </w:tc>
      </w:tr>
      <w:tr w:rsidR="00182E1B" w14:paraId="277FF2E8" w14:textId="77777777" w:rsidTr="00D64E4A">
        <w:trPr>
          <w:cantSplit/>
          <w:trHeight w:val="692"/>
          <w:jc w:val="center"/>
        </w:trPr>
        <w:tc>
          <w:tcPr>
            <w:tcW w:w="2097" w:type="dxa"/>
            <w:shd w:val="clear" w:color="auto" w:fill="FFFFFF" w:themeFill="background1"/>
          </w:tcPr>
          <w:p w14:paraId="65E1E85D" w14:textId="77777777" w:rsidR="00182E1B" w:rsidRDefault="00182E1B" w:rsidP="00D64E4A">
            <w:pPr>
              <w:ind w:left="11"/>
              <w:rPr>
                <w:szCs w:val="22"/>
              </w:rPr>
            </w:pPr>
            <w:r>
              <w:rPr>
                <w:szCs w:val="22"/>
              </w:rPr>
              <w:t>gonadotrophin-releasing h</w:t>
            </w:r>
            <w:r w:rsidRPr="004A608F">
              <w:rPr>
                <w:szCs w:val="22"/>
              </w:rPr>
              <w:t>ormone</w:t>
            </w:r>
            <w:r>
              <w:rPr>
                <w:szCs w:val="22"/>
              </w:rPr>
              <w:t xml:space="preserve"> analogues (GnRH) without </w:t>
            </w:r>
            <w:r w:rsidRPr="00BE31A9">
              <w:rPr>
                <w:szCs w:val="22"/>
              </w:rPr>
              <w:t>treatment with agents that prevent bone loss</w:t>
            </w:r>
          </w:p>
        </w:tc>
        <w:tc>
          <w:tcPr>
            <w:tcW w:w="1417" w:type="dxa"/>
            <w:shd w:val="clear" w:color="auto" w:fill="FFFFFF" w:themeFill="background1"/>
          </w:tcPr>
          <w:p w14:paraId="269C2675" w14:textId="77777777" w:rsidR="00182E1B" w:rsidRDefault="00182E1B" w:rsidP="00D64E4A">
            <w:pPr>
              <w:ind w:left="-75"/>
              <w:jc w:val="center"/>
              <w:rPr>
                <w:szCs w:val="22"/>
              </w:rPr>
            </w:pPr>
            <w:r>
              <w:rPr>
                <w:szCs w:val="22"/>
              </w:rPr>
              <w:t>any route</w:t>
            </w:r>
          </w:p>
        </w:tc>
        <w:tc>
          <w:tcPr>
            <w:tcW w:w="1559" w:type="dxa"/>
            <w:shd w:val="clear" w:color="auto" w:fill="FFFFFF" w:themeFill="background1"/>
          </w:tcPr>
          <w:p w14:paraId="4F7C14D8" w14:textId="77777777" w:rsidR="00182E1B" w:rsidRDefault="00182E1B" w:rsidP="00D64E4A">
            <w:pPr>
              <w:ind w:left="-36"/>
              <w:jc w:val="center"/>
              <w:rPr>
                <w:szCs w:val="22"/>
              </w:rPr>
            </w:pPr>
            <w:r>
              <w:rPr>
                <w:szCs w:val="22"/>
              </w:rPr>
              <w:t>any dose</w:t>
            </w:r>
          </w:p>
        </w:tc>
        <w:tc>
          <w:tcPr>
            <w:tcW w:w="1253" w:type="dxa"/>
            <w:shd w:val="clear" w:color="auto" w:fill="FFFFFF" w:themeFill="background1"/>
          </w:tcPr>
          <w:p w14:paraId="6638811A" w14:textId="77777777" w:rsidR="00182E1B" w:rsidRDefault="00182E1B" w:rsidP="00D64E4A">
            <w:pPr>
              <w:ind w:left="33"/>
              <w:jc w:val="center"/>
              <w:rPr>
                <w:szCs w:val="22"/>
              </w:rPr>
            </w:pPr>
            <w:r>
              <w:rPr>
                <w:szCs w:val="22"/>
              </w:rPr>
              <w:t>6 months</w:t>
            </w:r>
          </w:p>
          <w:p w14:paraId="20BDAC19" w14:textId="77777777" w:rsidR="00182E1B" w:rsidRDefault="00182E1B" w:rsidP="00D64E4A">
            <w:pPr>
              <w:ind w:left="33"/>
              <w:jc w:val="center"/>
              <w:rPr>
                <w:szCs w:val="22"/>
              </w:rPr>
            </w:pPr>
          </w:p>
        </w:tc>
      </w:tr>
      <w:tr w:rsidR="00182E1B" w14:paraId="48BAE50C" w14:textId="77777777" w:rsidTr="00D64E4A">
        <w:trPr>
          <w:cantSplit/>
          <w:trHeight w:val="454"/>
          <w:jc w:val="center"/>
        </w:trPr>
        <w:tc>
          <w:tcPr>
            <w:tcW w:w="2097" w:type="dxa"/>
            <w:shd w:val="clear" w:color="auto" w:fill="FFFFFF" w:themeFill="background1"/>
          </w:tcPr>
          <w:p w14:paraId="72966E1E" w14:textId="77777777" w:rsidR="00182E1B" w:rsidRDefault="00182E1B" w:rsidP="00D64E4A">
            <w:pPr>
              <w:ind w:left="11"/>
              <w:rPr>
                <w:szCs w:val="22"/>
              </w:rPr>
            </w:pPr>
            <w:r>
              <w:rPr>
                <w:szCs w:val="22"/>
              </w:rPr>
              <w:lastRenderedPageBreak/>
              <w:t>thyroxine or liothyronine (postmenopausal women only)</w:t>
            </w:r>
          </w:p>
          <w:p w14:paraId="100B6BD0" w14:textId="77777777" w:rsidR="00182E1B" w:rsidRDefault="00182E1B" w:rsidP="00D64E4A">
            <w:pPr>
              <w:ind w:left="11"/>
              <w:rPr>
                <w:szCs w:val="22"/>
              </w:rPr>
            </w:pPr>
          </w:p>
        </w:tc>
        <w:tc>
          <w:tcPr>
            <w:tcW w:w="1417" w:type="dxa"/>
            <w:shd w:val="clear" w:color="auto" w:fill="FFFFFF" w:themeFill="background1"/>
          </w:tcPr>
          <w:p w14:paraId="2133C83B"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5A9545B7" w14:textId="77777777" w:rsidR="00182E1B" w:rsidRDefault="00182E1B" w:rsidP="00D64E4A">
            <w:pPr>
              <w:ind w:left="-36"/>
              <w:jc w:val="center"/>
              <w:rPr>
                <w:szCs w:val="22"/>
              </w:rPr>
            </w:pPr>
            <w:r>
              <w:rPr>
                <w:szCs w:val="22"/>
              </w:rPr>
              <w:t>at a dose that suppresses thyroid-stimulating hormone below the normal range</w:t>
            </w:r>
          </w:p>
        </w:tc>
        <w:tc>
          <w:tcPr>
            <w:tcW w:w="1253" w:type="dxa"/>
            <w:shd w:val="clear" w:color="auto" w:fill="FFFFFF" w:themeFill="background1"/>
          </w:tcPr>
          <w:p w14:paraId="2BA065DB" w14:textId="77777777" w:rsidR="00182E1B" w:rsidRDefault="00182E1B" w:rsidP="00D64E4A">
            <w:pPr>
              <w:ind w:left="33"/>
              <w:jc w:val="center"/>
              <w:rPr>
                <w:szCs w:val="22"/>
              </w:rPr>
            </w:pPr>
            <w:r>
              <w:rPr>
                <w:szCs w:val="22"/>
              </w:rPr>
              <w:t>12 months</w:t>
            </w:r>
          </w:p>
          <w:p w14:paraId="43705D5F" w14:textId="77777777" w:rsidR="00182E1B" w:rsidRDefault="00182E1B" w:rsidP="00D64E4A">
            <w:pPr>
              <w:ind w:left="33"/>
              <w:jc w:val="center"/>
              <w:rPr>
                <w:szCs w:val="22"/>
              </w:rPr>
            </w:pPr>
          </w:p>
        </w:tc>
      </w:tr>
      <w:tr w:rsidR="00182E1B" w14:paraId="15EAB038" w14:textId="77777777" w:rsidTr="00D64E4A">
        <w:trPr>
          <w:cantSplit/>
          <w:trHeight w:val="454"/>
          <w:jc w:val="center"/>
        </w:trPr>
        <w:tc>
          <w:tcPr>
            <w:tcW w:w="2097" w:type="dxa"/>
            <w:shd w:val="clear" w:color="auto" w:fill="FFFFFF" w:themeFill="background1"/>
          </w:tcPr>
          <w:p w14:paraId="44F1C78A" w14:textId="77777777" w:rsidR="00182E1B" w:rsidRDefault="00182E1B" w:rsidP="00D64E4A">
            <w:pPr>
              <w:ind w:left="11"/>
              <w:rPr>
                <w:szCs w:val="22"/>
              </w:rPr>
            </w:pPr>
            <w:r>
              <w:rPr>
                <w:szCs w:val="22"/>
              </w:rPr>
              <w:t xml:space="preserve">cancer chemotherapy including cyproterone </w:t>
            </w:r>
          </w:p>
        </w:tc>
        <w:tc>
          <w:tcPr>
            <w:tcW w:w="1417" w:type="dxa"/>
            <w:shd w:val="clear" w:color="auto" w:fill="FFFFFF" w:themeFill="background1"/>
          </w:tcPr>
          <w:p w14:paraId="0A80CC3B" w14:textId="77777777" w:rsidR="00182E1B" w:rsidRDefault="00182E1B" w:rsidP="00D64E4A">
            <w:pPr>
              <w:ind w:left="-75"/>
              <w:jc w:val="center"/>
              <w:rPr>
                <w:szCs w:val="22"/>
              </w:rPr>
            </w:pPr>
            <w:r>
              <w:rPr>
                <w:szCs w:val="22"/>
              </w:rPr>
              <w:t>any route excluding topical</w:t>
            </w:r>
          </w:p>
        </w:tc>
        <w:tc>
          <w:tcPr>
            <w:tcW w:w="1559" w:type="dxa"/>
            <w:shd w:val="clear" w:color="auto" w:fill="FFFFFF" w:themeFill="background1"/>
          </w:tcPr>
          <w:p w14:paraId="0A27B7C6" w14:textId="77777777" w:rsidR="00182E1B" w:rsidRDefault="00182E1B" w:rsidP="00D64E4A">
            <w:pPr>
              <w:ind w:left="-36"/>
              <w:jc w:val="center"/>
              <w:rPr>
                <w:szCs w:val="22"/>
              </w:rPr>
            </w:pPr>
            <w:r>
              <w:rPr>
                <w:szCs w:val="22"/>
              </w:rPr>
              <w:t>any dose</w:t>
            </w:r>
          </w:p>
        </w:tc>
        <w:tc>
          <w:tcPr>
            <w:tcW w:w="1253" w:type="dxa"/>
            <w:shd w:val="clear" w:color="auto" w:fill="FFFFFF" w:themeFill="background1"/>
          </w:tcPr>
          <w:p w14:paraId="30C1CD38" w14:textId="77777777" w:rsidR="00182E1B" w:rsidRDefault="00182E1B" w:rsidP="00D64E4A">
            <w:pPr>
              <w:ind w:left="33"/>
              <w:jc w:val="center"/>
              <w:rPr>
                <w:szCs w:val="22"/>
              </w:rPr>
            </w:pPr>
            <w:r>
              <w:rPr>
                <w:szCs w:val="22"/>
              </w:rPr>
              <w:t>3 months</w:t>
            </w:r>
          </w:p>
        </w:tc>
      </w:tr>
      <w:tr w:rsidR="00182E1B" w14:paraId="29F9C138" w14:textId="77777777" w:rsidTr="00D64E4A">
        <w:trPr>
          <w:cantSplit/>
          <w:trHeight w:val="454"/>
          <w:jc w:val="center"/>
        </w:trPr>
        <w:tc>
          <w:tcPr>
            <w:tcW w:w="2097" w:type="dxa"/>
            <w:shd w:val="clear" w:color="auto" w:fill="FFFFFF" w:themeFill="background1"/>
          </w:tcPr>
          <w:p w14:paraId="677703C5" w14:textId="77777777" w:rsidR="00182E1B" w:rsidRDefault="00182E1B" w:rsidP="00D64E4A">
            <w:pPr>
              <w:ind w:left="11"/>
              <w:rPr>
                <w:szCs w:val="22"/>
              </w:rPr>
            </w:pPr>
            <w:r>
              <w:rPr>
                <w:szCs w:val="22"/>
              </w:rPr>
              <w:t>methotrexate used for cancer treatment</w:t>
            </w:r>
          </w:p>
        </w:tc>
        <w:tc>
          <w:tcPr>
            <w:tcW w:w="1417" w:type="dxa"/>
            <w:shd w:val="clear" w:color="auto" w:fill="FFFFFF" w:themeFill="background1"/>
          </w:tcPr>
          <w:p w14:paraId="5BD89BF1" w14:textId="77777777" w:rsidR="00182E1B" w:rsidRPr="00CD59C8" w:rsidRDefault="00182E1B" w:rsidP="00D64E4A">
            <w:pPr>
              <w:ind w:left="-75"/>
              <w:jc w:val="center"/>
              <w:rPr>
                <w:szCs w:val="22"/>
              </w:rPr>
            </w:pPr>
            <w:r w:rsidRPr="00CD59C8">
              <w:t>any route excluding topical</w:t>
            </w:r>
          </w:p>
        </w:tc>
        <w:tc>
          <w:tcPr>
            <w:tcW w:w="1559" w:type="dxa"/>
            <w:shd w:val="clear" w:color="auto" w:fill="FFFFFF" w:themeFill="background1"/>
          </w:tcPr>
          <w:p w14:paraId="1FE364AA" w14:textId="77777777" w:rsidR="00182E1B" w:rsidRPr="00CD59C8" w:rsidRDefault="00182E1B" w:rsidP="00D64E4A">
            <w:pPr>
              <w:ind w:left="-36"/>
              <w:jc w:val="center"/>
              <w:rPr>
                <w:szCs w:val="22"/>
              </w:rPr>
            </w:pPr>
            <w:r w:rsidRPr="00CD59C8">
              <w:t>any dose</w:t>
            </w:r>
          </w:p>
        </w:tc>
        <w:tc>
          <w:tcPr>
            <w:tcW w:w="1253" w:type="dxa"/>
            <w:shd w:val="clear" w:color="auto" w:fill="FFFFFF" w:themeFill="background1"/>
          </w:tcPr>
          <w:p w14:paraId="719987C0" w14:textId="77777777" w:rsidR="00182E1B" w:rsidRPr="00CD59C8" w:rsidRDefault="00182E1B" w:rsidP="00D64E4A">
            <w:pPr>
              <w:ind w:left="33"/>
              <w:jc w:val="center"/>
              <w:rPr>
                <w:szCs w:val="22"/>
              </w:rPr>
            </w:pPr>
            <w:r w:rsidRPr="00CD59C8">
              <w:t>3 months</w:t>
            </w:r>
          </w:p>
        </w:tc>
      </w:tr>
      <w:tr w:rsidR="00182E1B" w14:paraId="4BAE6BC8" w14:textId="77777777" w:rsidTr="00D64E4A">
        <w:trPr>
          <w:cantSplit/>
          <w:trHeight w:val="237"/>
          <w:jc w:val="center"/>
        </w:trPr>
        <w:tc>
          <w:tcPr>
            <w:tcW w:w="2097" w:type="dxa"/>
            <w:shd w:val="clear" w:color="auto" w:fill="FFFFFF" w:themeFill="background1"/>
          </w:tcPr>
          <w:p w14:paraId="6D764D8B" w14:textId="77777777" w:rsidR="00182E1B" w:rsidRDefault="00182E1B" w:rsidP="00D64E4A">
            <w:pPr>
              <w:ind w:left="11"/>
              <w:rPr>
                <w:szCs w:val="22"/>
              </w:rPr>
            </w:pPr>
            <w:r>
              <w:rPr>
                <w:szCs w:val="22"/>
              </w:rPr>
              <w:t>tamoxifen (premenopausal women only)</w:t>
            </w:r>
          </w:p>
        </w:tc>
        <w:tc>
          <w:tcPr>
            <w:tcW w:w="1417" w:type="dxa"/>
            <w:shd w:val="clear" w:color="auto" w:fill="FFFFFF" w:themeFill="background1"/>
          </w:tcPr>
          <w:p w14:paraId="6E89C348"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36158FAD"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7435B6B0" w14:textId="77777777" w:rsidR="00182E1B" w:rsidRDefault="00182E1B" w:rsidP="00D64E4A">
            <w:pPr>
              <w:ind w:left="33"/>
              <w:jc w:val="center"/>
              <w:rPr>
                <w:szCs w:val="22"/>
              </w:rPr>
            </w:pPr>
            <w:r>
              <w:rPr>
                <w:szCs w:val="22"/>
              </w:rPr>
              <w:t>60 months</w:t>
            </w:r>
          </w:p>
        </w:tc>
      </w:tr>
      <w:tr w:rsidR="00182E1B" w14:paraId="12F1A6ED" w14:textId="77777777" w:rsidTr="00D64E4A">
        <w:trPr>
          <w:cantSplit/>
          <w:trHeight w:val="227"/>
          <w:jc w:val="center"/>
        </w:trPr>
        <w:tc>
          <w:tcPr>
            <w:tcW w:w="2097" w:type="dxa"/>
            <w:shd w:val="clear" w:color="auto" w:fill="FFFFFF" w:themeFill="background1"/>
          </w:tcPr>
          <w:p w14:paraId="7D69BC95" w14:textId="77777777" w:rsidR="00182E1B" w:rsidRDefault="00182E1B" w:rsidP="00D64E4A">
            <w:pPr>
              <w:ind w:left="11"/>
              <w:rPr>
                <w:szCs w:val="22"/>
              </w:rPr>
            </w:pPr>
            <w:r>
              <w:rPr>
                <w:szCs w:val="22"/>
              </w:rPr>
              <w:t>aromatase inhibitors</w:t>
            </w:r>
          </w:p>
        </w:tc>
        <w:tc>
          <w:tcPr>
            <w:tcW w:w="1417" w:type="dxa"/>
            <w:shd w:val="clear" w:color="auto" w:fill="FFFFFF" w:themeFill="background1"/>
          </w:tcPr>
          <w:p w14:paraId="5C7493AB"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7F51E48E"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03BA08D6" w14:textId="77777777" w:rsidR="00182E1B" w:rsidRDefault="00182E1B" w:rsidP="00D64E4A">
            <w:pPr>
              <w:ind w:left="33"/>
              <w:jc w:val="center"/>
              <w:rPr>
                <w:szCs w:val="22"/>
              </w:rPr>
            </w:pPr>
            <w:r>
              <w:rPr>
                <w:szCs w:val="22"/>
              </w:rPr>
              <w:t>12 months</w:t>
            </w:r>
          </w:p>
        </w:tc>
      </w:tr>
      <w:tr w:rsidR="00182E1B" w14:paraId="1D7365BE" w14:textId="77777777" w:rsidTr="00D64E4A">
        <w:trPr>
          <w:cantSplit/>
          <w:trHeight w:val="454"/>
          <w:jc w:val="center"/>
        </w:trPr>
        <w:tc>
          <w:tcPr>
            <w:tcW w:w="2097" w:type="dxa"/>
            <w:shd w:val="clear" w:color="auto" w:fill="FFFFFF" w:themeFill="background1"/>
          </w:tcPr>
          <w:p w14:paraId="5B9D99E1" w14:textId="77777777" w:rsidR="00182E1B" w:rsidRDefault="00182E1B" w:rsidP="00D64E4A">
            <w:pPr>
              <w:ind w:left="11"/>
              <w:rPr>
                <w:szCs w:val="22"/>
              </w:rPr>
            </w:pPr>
            <w:r>
              <w:rPr>
                <w:szCs w:val="22"/>
              </w:rPr>
              <w:t xml:space="preserve">antiandrogen </w:t>
            </w:r>
          </w:p>
          <w:p w14:paraId="48252707" w14:textId="77777777" w:rsidR="00182E1B" w:rsidRDefault="00182E1B" w:rsidP="00D64E4A">
            <w:pPr>
              <w:ind w:left="11"/>
              <w:rPr>
                <w:szCs w:val="22"/>
              </w:rPr>
            </w:pPr>
            <w:r>
              <w:rPr>
                <w:szCs w:val="22"/>
              </w:rPr>
              <w:t>therapy (males only)</w:t>
            </w:r>
          </w:p>
        </w:tc>
        <w:tc>
          <w:tcPr>
            <w:tcW w:w="1417" w:type="dxa"/>
            <w:shd w:val="clear" w:color="auto" w:fill="FFFFFF" w:themeFill="background1"/>
          </w:tcPr>
          <w:p w14:paraId="54570CA9" w14:textId="77777777" w:rsidR="00182E1B" w:rsidRDefault="00182E1B" w:rsidP="00D64E4A">
            <w:pPr>
              <w:ind w:left="-75"/>
              <w:jc w:val="center"/>
              <w:rPr>
                <w:szCs w:val="22"/>
              </w:rPr>
            </w:pPr>
            <w:r>
              <w:rPr>
                <w:szCs w:val="22"/>
              </w:rPr>
              <w:t>any route</w:t>
            </w:r>
          </w:p>
        </w:tc>
        <w:tc>
          <w:tcPr>
            <w:tcW w:w="1559" w:type="dxa"/>
            <w:shd w:val="clear" w:color="auto" w:fill="FFFFFF" w:themeFill="background1"/>
          </w:tcPr>
          <w:p w14:paraId="2A8D966C"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14D07DB6" w14:textId="77777777" w:rsidR="00182E1B" w:rsidRDefault="00182E1B" w:rsidP="00D64E4A">
            <w:pPr>
              <w:ind w:left="33"/>
              <w:jc w:val="center"/>
              <w:rPr>
                <w:szCs w:val="22"/>
              </w:rPr>
            </w:pPr>
            <w:r>
              <w:rPr>
                <w:szCs w:val="22"/>
              </w:rPr>
              <w:t>12 months</w:t>
            </w:r>
          </w:p>
        </w:tc>
      </w:tr>
      <w:tr w:rsidR="00182E1B" w14:paraId="59E4BF85" w14:textId="77777777" w:rsidTr="00D64E4A">
        <w:trPr>
          <w:cantSplit/>
          <w:trHeight w:val="919"/>
          <w:jc w:val="center"/>
        </w:trPr>
        <w:tc>
          <w:tcPr>
            <w:tcW w:w="2097" w:type="dxa"/>
            <w:shd w:val="clear" w:color="auto" w:fill="FFFFFF" w:themeFill="background1"/>
          </w:tcPr>
          <w:p w14:paraId="6F12ED75" w14:textId="77777777" w:rsidR="00182E1B" w:rsidRDefault="00182E1B" w:rsidP="00D64E4A">
            <w:pPr>
              <w:ind w:left="11"/>
              <w:rPr>
                <w:szCs w:val="22"/>
              </w:rPr>
            </w:pPr>
            <w:r>
              <w:rPr>
                <w:szCs w:val="22"/>
              </w:rPr>
              <w:t>medroxyprogesterone acetate, without any oestrogen supplementation (premenopausal women only)</w:t>
            </w:r>
          </w:p>
        </w:tc>
        <w:tc>
          <w:tcPr>
            <w:tcW w:w="1417" w:type="dxa"/>
            <w:shd w:val="clear" w:color="auto" w:fill="FFFFFF" w:themeFill="background1"/>
          </w:tcPr>
          <w:p w14:paraId="442C8DA0" w14:textId="77777777" w:rsidR="00182E1B" w:rsidRDefault="00182E1B" w:rsidP="00D64E4A">
            <w:pPr>
              <w:ind w:left="-75"/>
              <w:jc w:val="center"/>
              <w:rPr>
                <w:szCs w:val="22"/>
              </w:rPr>
            </w:pPr>
            <w:r>
              <w:rPr>
                <w:szCs w:val="22"/>
              </w:rPr>
              <w:t>oral or intramuscular</w:t>
            </w:r>
          </w:p>
          <w:p w14:paraId="7C421128" w14:textId="77777777" w:rsidR="00182E1B" w:rsidRDefault="00182E1B" w:rsidP="00D64E4A">
            <w:pPr>
              <w:ind w:left="-75"/>
              <w:jc w:val="center"/>
              <w:rPr>
                <w:szCs w:val="22"/>
              </w:rPr>
            </w:pPr>
          </w:p>
        </w:tc>
        <w:tc>
          <w:tcPr>
            <w:tcW w:w="1559" w:type="dxa"/>
            <w:shd w:val="clear" w:color="auto" w:fill="FFFFFF" w:themeFill="background1"/>
          </w:tcPr>
          <w:p w14:paraId="0D992A2A"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47F33FD6" w14:textId="77777777" w:rsidR="00182E1B" w:rsidRDefault="00182E1B" w:rsidP="00D64E4A">
            <w:pPr>
              <w:ind w:left="33"/>
              <w:jc w:val="center"/>
              <w:rPr>
                <w:szCs w:val="22"/>
              </w:rPr>
            </w:pPr>
            <w:r>
              <w:rPr>
                <w:szCs w:val="22"/>
              </w:rPr>
              <w:t>12 months</w:t>
            </w:r>
          </w:p>
        </w:tc>
      </w:tr>
      <w:tr w:rsidR="00182E1B" w14:paraId="03E018C2" w14:textId="77777777" w:rsidTr="00D64E4A">
        <w:trPr>
          <w:cantSplit/>
          <w:trHeight w:val="475"/>
          <w:jc w:val="center"/>
        </w:trPr>
        <w:tc>
          <w:tcPr>
            <w:tcW w:w="2097" w:type="dxa"/>
            <w:shd w:val="clear" w:color="auto" w:fill="FFFFFF" w:themeFill="background1"/>
          </w:tcPr>
          <w:p w14:paraId="379435CC" w14:textId="77777777" w:rsidR="00182E1B" w:rsidRDefault="00182E1B" w:rsidP="00D64E4A">
            <w:pPr>
              <w:ind w:left="11"/>
              <w:rPr>
                <w:szCs w:val="22"/>
              </w:rPr>
            </w:pPr>
            <w:r>
              <w:rPr>
                <w:szCs w:val="22"/>
              </w:rPr>
              <w:t>unfractionated heparin</w:t>
            </w:r>
          </w:p>
        </w:tc>
        <w:tc>
          <w:tcPr>
            <w:tcW w:w="1417" w:type="dxa"/>
            <w:shd w:val="clear" w:color="auto" w:fill="FFFFFF" w:themeFill="background1"/>
          </w:tcPr>
          <w:p w14:paraId="4BE09CD7" w14:textId="77777777" w:rsidR="00182E1B" w:rsidRDefault="00182E1B" w:rsidP="00D64E4A">
            <w:pPr>
              <w:ind w:left="-75"/>
              <w:jc w:val="center"/>
              <w:rPr>
                <w:szCs w:val="22"/>
              </w:rPr>
            </w:pPr>
            <w:r>
              <w:rPr>
                <w:szCs w:val="22"/>
              </w:rPr>
              <w:t>i</w:t>
            </w:r>
            <w:r w:rsidRPr="00F118C2">
              <w:rPr>
                <w:szCs w:val="22"/>
              </w:rPr>
              <w:t>ntravenous</w:t>
            </w:r>
            <w:r>
              <w:rPr>
                <w:szCs w:val="22"/>
              </w:rPr>
              <w:t xml:space="preserve"> or </w:t>
            </w:r>
            <w:r w:rsidRPr="00F118C2">
              <w:rPr>
                <w:szCs w:val="22"/>
              </w:rPr>
              <w:t>subcutaneous</w:t>
            </w:r>
          </w:p>
        </w:tc>
        <w:tc>
          <w:tcPr>
            <w:tcW w:w="1559" w:type="dxa"/>
            <w:shd w:val="clear" w:color="auto" w:fill="FFFFFF" w:themeFill="background1"/>
          </w:tcPr>
          <w:p w14:paraId="02EDB3C2" w14:textId="77777777" w:rsidR="00182E1B" w:rsidRDefault="00182E1B" w:rsidP="00D64E4A">
            <w:pPr>
              <w:ind w:left="-36"/>
              <w:jc w:val="center"/>
              <w:rPr>
                <w:szCs w:val="22"/>
              </w:rPr>
            </w:pPr>
            <w:r>
              <w:rPr>
                <w:szCs w:val="22"/>
              </w:rPr>
              <w:sym w:font="Symbol" w:char="F0B3"/>
            </w:r>
            <w:r>
              <w:rPr>
                <w:szCs w:val="22"/>
              </w:rPr>
              <w:t xml:space="preserve"> 15,000 units/day</w:t>
            </w:r>
          </w:p>
        </w:tc>
        <w:tc>
          <w:tcPr>
            <w:tcW w:w="1253" w:type="dxa"/>
            <w:shd w:val="clear" w:color="auto" w:fill="FFFFFF" w:themeFill="background1"/>
          </w:tcPr>
          <w:p w14:paraId="7415D02C" w14:textId="77777777" w:rsidR="00182E1B" w:rsidRDefault="00182E1B" w:rsidP="00D64E4A">
            <w:pPr>
              <w:ind w:left="33"/>
              <w:jc w:val="center"/>
              <w:rPr>
                <w:szCs w:val="22"/>
              </w:rPr>
            </w:pPr>
            <w:r>
              <w:rPr>
                <w:szCs w:val="22"/>
              </w:rPr>
              <w:t>3 months</w:t>
            </w:r>
          </w:p>
        </w:tc>
      </w:tr>
      <w:tr w:rsidR="00182E1B" w14:paraId="52FF929A" w14:textId="77777777" w:rsidTr="00D64E4A">
        <w:trPr>
          <w:cantSplit/>
          <w:trHeight w:val="454"/>
          <w:jc w:val="center"/>
        </w:trPr>
        <w:tc>
          <w:tcPr>
            <w:tcW w:w="2097" w:type="dxa"/>
            <w:shd w:val="clear" w:color="auto" w:fill="FFFFFF" w:themeFill="background1"/>
          </w:tcPr>
          <w:p w14:paraId="47227CC1" w14:textId="77777777" w:rsidR="00182E1B" w:rsidRDefault="00182E1B" w:rsidP="00D64E4A">
            <w:pPr>
              <w:ind w:left="11"/>
              <w:rPr>
                <w:szCs w:val="22"/>
              </w:rPr>
            </w:pPr>
            <w:r>
              <w:rPr>
                <w:szCs w:val="22"/>
              </w:rPr>
              <w:t xml:space="preserve">low molecular weight heparin </w:t>
            </w:r>
          </w:p>
          <w:p w14:paraId="1118CD63" w14:textId="77777777" w:rsidR="00182E1B" w:rsidRDefault="00182E1B" w:rsidP="00D64E4A">
            <w:pPr>
              <w:ind w:left="11"/>
              <w:rPr>
                <w:szCs w:val="22"/>
              </w:rPr>
            </w:pPr>
          </w:p>
        </w:tc>
        <w:tc>
          <w:tcPr>
            <w:tcW w:w="1417" w:type="dxa"/>
            <w:shd w:val="clear" w:color="auto" w:fill="FFFFFF" w:themeFill="background1"/>
          </w:tcPr>
          <w:p w14:paraId="7F8BF733" w14:textId="77777777" w:rsidR="00182E1B" w:rsidRDefault="00182E1B" w:rsidP="00D64E4A">
            <w:pPr>
              <w:ind w:left="-75"/>
              <w:jc w:val="center"/>
              <w:rPr>
                <w:szCs w:val="22"/>
              </w:rPr>
            </w:pPr>
            <w:r>
              <w:rPr>
                <w:szCs w:val="22"/>
              </w:rPr>
              <w:t>intravenous or subcutaneous</w:t>
            </w:r>
          </w:p>
        </w:tc>
        <w:tc>
          <w:tcPr>
            <w:tcW w:w="1559" w:type="dxa"/>
            <w:shd w:val="clear" w:color="auto" w:fill="FFFFFF" w:themeFill="background1"/>
          </w:tcPr>
          <w:p w14:paraId="37974E1F"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429CD8FF" w14:textId="77777777" w:rsidR="00182E1B" w:rsidRDefault="00182E1B" w:rsidP="00D64E4A">
            <w:pPr>
              <w:ind w:left="33"/>
              <w:jc w:val="center"/>
              <w:rPr>
                <w:szCs w:val="22"/>
              </w:rPr>
            </w:pPr>
            <w:r>
              <w:rPr>
                <w:szCs w:val="22"/>
              </w:rPr>
              <w:t>12 months</w:t>
            </w:r>
          </w:p>
          <w:p w14:paraId="163D9165" w14:textId="77777777" w:rsidR="00182E1B" w:rsidRDefault="00182E1B" w:rsidP="00D64E4A">
            <w:pPr>
              <w:ind w:left="33"/>
              <w:jc w:val="center"/>
              <w:rPr>
                <w:szCs w:val="22"/>
              </w:rPr>
            </w:pPr>
          </w:p>
        </w:tc>
      </w:tr>
      <w:tr w:rsidR="00182E1B" w14:paraId="55636743" w14:textId="77777777" w:rsidTr="00D64E4A">
        <w:trPr>
          <w:cantSplit/>
          <w:trHeight w:val="237"/>
          <w:jc w:val="center"/>
        </w:trPr>
        <w:tc>
          <w:tcPr>
            <w:tcW w:w="2097" w:type="dxa"/>
            <w:shd w:val="clear" w:color="auto" w:fill="FFFFFF" w:themeFill="background1"/>
          </w:tcPr>
          <w:p w14:paraId="31A7FFA7" w14:textId="77777777" w:rsidR="00182E1B" w:rsidRDefault="00182E1B" w:rsidP="00D64E4A">
            <w:pPr>
              <w:ind w:left="11"/>
              <w:rPr>
                <w:szCs w:val="22"/>
              </w:rPr>
            </w:pPr>
            <w:r>
              <w:rPr>
                <w:szCs w:val="22"/>
              </w:rPr>
              <w:t>warfarin</w:t>
            </w:r>
          </w:p>
          <w:p w14:paraId="15077E1D" w14:textId="77777777" w:rsidR="00182E1B" w:rsidRDefault="00182E1B" w:rsidP="00D64E4A">
            <w:pPr>
              <w:ind w:left="11"/>
              <w:rPr>
                <w:szCs w:val="22"/>
              </w:rPr>
            </w:pPr>
          </w:p>
        </w:tc>
        <w:tc>
          <w:tcPr>
            <w:tcW w:w="1417" w:type="dxa"/>
            <w:shd w:val="clear" w:color="auto" w:fill="FFFFFF" w:themeFill="background1"/>
          </w:tcPr>
          <w:p w14:paraId="5B7DED35"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0901FFD2"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2CBFCE8B" w14:textId="77777777" w:rsidR="00182E1B" w:rsidRDefault="00182E1B" w:rsidP="00D64E4A">
            <w:pPr>
              <w:ind w:left="33"/>
              <w:jc w:val="center"/>
              <w:rPr>
                <w:szCs w:val="22"/>
              </w:rPr>
            </w:pPr>
            <w:r>
              <w:rPr>
                <w:szCs w:val="22"/>
              </w:rPr>
              <w:t>12 months</w:t>
            </w:r>
          </w:p>
        </w:tc>
      </w:tr>
      <w:tr w:rsidR="00182E1B" w14:paraId="0D2338ED" w14:textId="77777777" w:rsidTr="00D64E4A">
        <w:trPr>
          <w:cantSplit/>
          <w:trHeight w:val="227"/>
          <w:jc w:val="center"/>
        </w:trPr>
        <w:tc>
          <w:tcPr>
            <w:tcW w:w="2097" w:type="dxa"/>
            <w:shd w:val="clear" w:color="auto" w:fill="FFFFFF" w:themeFill="background1"/>
          </w:tcPr>
          <w:p w14:paraId="617D5B17" w14:textId="77777777" w:rsidR="00182E1B" w:rsidRDefault="00182E1B" w:rsidP="00D64E4A">
            <w:pPr>
              <w:ind w:left="11"/>
              <w:rPr>
                <w:szCs w:val="22"/>
              </w:rPr>
            </w:pPr>
            <w:r>
              <w:rPr>
                <w:szCs w:val="22"/>
              </w:rPr>
              <w:t>anticonvulsants</w:t>
            </w:r>
          </w:p>
        </w:tc>
        <w:tc>
          <w:tcPr>
            <w:tcW w:w="1417" w:type="dxa"/>
            <w:shd w:val="clear" w:color="auto" w:fill="FFFFFF" w:themeFill="background1"/>
          </w:tcPr>
          <w:p w14:paraId="211C74D2"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5BBA729B"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1ACB87BE" w14:textId="77777777" w:rsidR="00182E1B" w:rsidRDefault="00182E1B" w:rsidP="00D64E4A">
            <w:pPr>
              <w:ind w:left="33"/>
              <w:jc w:val="center"/>
              <w:rPr>
                <w:szCs w:val="22"/>
              </w:rPr>
            </w:pPr>
            <w:r>
              <w:rPr>
                <w:szCs w:val="22"/>
              </w:rPr>
              <w:t>24 months</w:t>
            </w:r>
          </w:p>
        </w:tc>
      </w:tr>
      <w:tr w:rsidR="00182E1B" w14:paraId="7C4F4DB9" w14:textId="77777777" w:rsidTr="00D64E4A">
        <w:trPr>
          <w:cantSplit/>
          <w:trHeight w:val="227"/>
          <w:jc w:val="center"/>
        </w:trPr>
        <w:tc>
          <w:tcPr>
            <w:tcW w:w="2097" w:type="dxa"/>
            <w:shd w:val="clear" w:color="auto" w:fill="FFFFFF" w:themeFill="background1"/>
          </w:tcPr>
          <w:p w14:paraId="1B4B98B8" w14:textId="77777777" w:rsidR="00182E1B" w:rsidRDefault="00182E1B" w:rsidP="00D64E4A">
            <w:pPr>
              <w:ind w:left="11"/>
              <w:rPr>
                <w:szCs w:val="22"/>
              </w:rPr>
            </w:pPr>
            <w:r>
              <w:rPr>
                <w:szCs w:val="22"/>
              </w:rPr>
              <w:t>lithium</w:t>
            </w:r>
          </w:p>
        </w:tc>
        <w:tc>
          <w:tcPr>
            <w:tcW w:w="1417" w:type="dxa"/>
            <w:shd w:val="clear" w:color="auto" w:fill="FFFFFF" w:themeFill="background1"/>
          </w:tcPr>
          <w:p w14:paraId="3E2E7C4C"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186344F5"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33591A36" w14:textId="77777777" w:rsidR="00182E1B" w:rsidRDefault="00182E1B" w:rsidP="00D64E4A">
            <w:pPr>
              <w:ind w:left="33"/>
              <w:jc w:val="center"/>
              <w:rPr>
                <w:szCs w:val="22"/>
              </w:rPr>
            </w:pPr>
            <w:r>
              <w:rPr>
                <w:szCs w:val="22"/>
              </w:rPr>
              <w:t>24 months</w:t>
            </w:r>
          </w:p>
        </w:tc>
      </w:tr>
      <w:tr w:rsidR="00182E1B" w14:paraId="4AAA38E2" w14:textId="77777777" w:rsidTr="00D64E4A">
        <w:trPr>
          <w:cantSplit/>
          <w:trHeight w:val="465"/>
          <w:jc w:val="center"/>
        </w:trPr>
        <w:tc>
          <w:tcPr>
            <w:tcW w:w="2097" w:type="dxa"/>
            <w:shd w:val="clear" w:color="auto" w:fill="FFFFFF" w:themeFill="background1"/>
          </w:tcPr>
          <w:p w14:paraId="0965B6AF" w14:textId="77777777" w:rsidR="00182E1B" w:rsidRDefault="00182E1B" w:rsidP="00D64E4A">
            <w:pPr>
              <w:ind w:left="11"/>
              <w:rPr>
                <w:szCs w:val="22"/>
              </w:rPr>
            </w:pPr>
            <w:r>
              <w:rPr>
                <w:szCs w:val="22"/>
              </w:rPr>
              <w:t>aluminium hydroxide</w:t>
            </w:r>
          </w:p>
          <w:p w14:paraId="1E1E1072" w14:textId="77777777" w:rsidR="00182E1B" w:rsidRPr="002931C7" w:rsidRDefault="00182E1B" w:rsidP="00D64E4A">
            <w:pPr>
              <w:ind w:left="11"/>
              <w:rPr>
                <w:b/>
                <w:szCs w:val="22"/>
              </w:rPr>
            </w:pPr>
          </w:p>
        </w:tc>
        <w:tc>
          <w:tcPr>
            <w:tcW w:w="1417" w:type="dxa"/>
            <w:shd w:val="clear" w:color="auto" w:fill="FFFFFF" w:themeFill="background1"/>
          </w:tcPr>
          <w:p w14:paraId="0269BA16"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2D149B36" w14:textId="77777777" w:rsidR="00182E1B" w:rsidRDefault="00182E1B" w:rsidP="00D64E4A">
            <w:pPr>
              <w:ind w:left="-36"/>
              <w:jc w:val="center"/>
              <w:rPr>
                <w:szCs w:val="22"/>
              </w:rPr>
            </w:pPr>
            <w:r>
              <w:rPr>
                <w:szCs w:val="22"/>
              </w:rPr>
              <w:t>daily or most days a week</w:t>
            </w:r>
          </w:p>
        </w:tc>
        <w:tc>
          <w:tcPr>
            <w:tcW w:w="1253" w:type="dxa"/>
            <w:shd w:val="clear" w:color="auto" w:fill="FFFFFF" w:themeFill="background1"/>
          </w:tcPr>
          <w:p w14:paraId="0A932976" w14:textId="77777777" w:rsidR="00182E1B" w:rsidRDefault="00182E1B" w:rsidP="00D64E4A">
            <w:pPr>
              <w:ind w:left="33"/>
              <w:jc w:val="center"/>
              <w:rPr>
                <w:szCs w:val="22"/>
              </w:rPr>
            </w:pPr>
            <w:r>
              <w:rPr>
                <w:szCs w:val="22"/>
              </w:rPr>
              <w:t>12 months</w:t>
            </w:r>
          </w:p>
        </w:tc>
      </w:tr>
      <w:tr w:rsidR="00182E1B" w14:paraId="4A1F1067" w14:textId="77777777" w:rsidTr="00D64E4A">
        <w:trPr>
          <w:cantSplit/>
          <w:trHeight w:val="227"/>
          <w:jc w:val="center"/>
        </w:trPr>
        <w:tc>
          <w:tcPr>
            <w:tcW w:w="2097" w:type="dxa"/>
            <w:shd w:val="clear" w:color="auto" w:fill="FFFFFF" w:themeFill="background1"/>
          </w:tcPr>
          <w:p w14:paraId="7F550599" w14:textId="77777777" w:rsidR="00182E1B" w:rsidRDefault="00182E1B" w:rsidP="00D64E4A">
            <w:pPr>
              <w:ind w:left="11"/>
              <w:rPr>
                <w:szCs w:val="22"/>
              </w:rPr>
            </w:pPr>
            <w:r>
              <w:rPr>
                <w:szCs w:val="22"/>
              </w:rPr>
              <w:t xml:space="preserve">anti-HIV therapy </w:t>
            </w:r>
          </w:p>
        </w:tc>
        <w:tc>
          <w:tcPr>
            <w:tcW w:w="1417" w:type="dxa"/>
            <w:shd w:val="clear" w:color="auto" w:fill="FFFFFF" w:themeFill="background1"/>
          </w:tcPr>
          <w:p w14:paraId="7BC4B411"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443CE92F"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6FCA9766" w14:textId="77777777" w:rsidR="00182E1B" w:rsidRDefault="00182E1B" w:rsidP="00D64E4A">
            <w:pPr>
              <w:ind w:left="33"/>
              <w:jc w:val="center"/>
              <w:rPr>
                <w:szCs w:val="22"/>
              </w:rPr>
            </w:pPr>
            <w:r>
              <w:rPr>
                <w:szCs w:val="22"/>
              </w:rPr>
              <w:t>12 months</w:t>
            </w:r>
          </w:p>
        </w:tc>
      </w:tr>
      <w:tr w:rsidR="00182E1B" w14:paraId="4CEECF92" w14:textId="77777777" w:rsidTr="00D64E4A">
        <w:trPr>
          <w:cantSplit/>
          <w:trHeight w:val="227"/>
          <w:jc w:val="center"/>
        </w:trPr>
        <w:tc>
          <w:tcPr>
            <w:tcW w:w="2097" w:type="dxa"/>
            <w:shd w:val="clear" w:color="auto" w:fill="FFFFFF" w:themeFill="background1"/>
          </w:tcPr>
          <w:p w14:paraId="24C50C12" w14:textId="77777777" w:rsidR="00182E1B" w:rsidRDefault="00182E1B" w:rsidP="00D64E4A">
            <w:pPr>
              <w:ind w:left="11"/>
              <w:rPr>
                <w:szCs w:val="22"/>
              </w:rPr>
            </w:pPr>
            <w:r>
              <w:rPr>
                <w:szCs w:val="22"/>
              </w:rPr>
              <w:t>loop diuretics</w:t>
            </w:r>
          </w:p>
          <w:p w14:paraId="366CE169" w14:textId="77777777" w:rsidR="00182E1B" w:rsidRPr="00BE0203" w:rsidRDefault="00182E1B" w:rsidP="00D64E4A">
            <w:pPr>
              <w:ind w:left="11"/>
              <w:rPr>
                <w:szCs w:val="22"/>
              </w:rPr>
            </w:pPr>
          </w:p>
        </w:tc>
        <w:tc>
          <w:tcPr>
            <w:tcW w:w="1417" w:type="dxa"/>
            <w:shd w:val="clear" w:color="auto" w:fill="FFFFFF" w:themeFill="background1"/>
          </w:tcPr>
          <w:p w14:paraId="0A104EF1"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2EB12634"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5D136AA3" w14:textId="77777777" w:rsidR="00182E1B" w:rsidRDefault="00182E1B" w:rsidP="00D64E4A">
            <w:pPr>
              <w:ind w:left="33"/>
              <w:jc w:val="center"/>
              <w:rPr>
                <w:szCs w:val="22"/>
              </w:rPr>
            </w:pPr>
            <w:r>
              <w:rPr>
                <w:szCs w:val="22"/>
              </w:rPr>
              <w:t>24 months</w:t>
            </w:r>
          </w:p>
        </w:tc>
      </w:tr>
      <w:tr w:rsidR="00182E1B" w14:paraId="440EE80A" w14:textId="77777777" w:rsidTr="00D64E4A">
        <w:trPr>
          <w:cantSplit/>
          <w:trHeight w:val="237"/>
          <w:jc w:val="center"/>
        </w:trPr>
        <w:tc>
          <w:tcPr>
            <w:tcW w:w="2097" w:type="dxa"/>
            <w:shd w:val="clear" w:color="auto" w:fill="FFFFFF" w:themeFill="background1"/>
          </w:tcPr>
          <w:p w14:paraId="009E0483" w14:textId="77777777" w:rsidR="00182E1B" w:rsidRDefault="00182E1B" w:rsidP="00D64E4A">
            <w:pPr>
              <w:ind w:left="11"/>
              <w:rPr>
                <w:szCs w:val="22"/>
              </w:rPr>
            </w:pPr>
            <w:r>
              <w:rPr>
                <w:szCs w:val="22"/>
              </w:rPr>
              <w:t>thiazolidinediones</w:t>
            </w:r>
          </w:p>
        </w:tc>
        <w:tc>
          <w:tcPr>
            <w:tcW w:w="1417" w:type="dxa"/>
            <w:shd w:val="clear" w:color="auto" w:fill="FFFFFF" w:themeFill="background1"/>
          </w:tcPr>
          <w:p w14:paraId="491FBB5A" w14:textId="77777777" w:rsidR="00182E1B" w:rsidRDefault="00182E1B" w:rsidP="00D64E4A">
            <w:pPr>
              <w:ind w:left="-75"/>
              <w:jc w:val="center"/>
              <w:rPr>
                <w:szCs w:val="22"/>
              </w:rPr>
            </w:pPr>
            <w:r>
              <w:rPr>
                <w:szCs w:val="22"/>
              </w:rPr>
              <w:t>oral</w:t>
            </w:r>
          </w:p>
        </w:tc>
        <w:tc>
          <w:tcPr>
            <w:tcW w:w="1559" w:type="dxa"/>
            <w:shd w:val="clear" w:color="auto" w:fill="FFFFFF" w:themeFill="background1"/>
          </w:tcPr>
          <w:p w14:paraId="61635A84" w14:textId="77777777" w:rsidR="00182E1B" w:rsidRDefault="00182E1B" w:rsidP="00D64E4A">
            <w:pPr>
              <w:ind w:left="-36"/>
              <w:jc w:val="center"/>
              <w:rPr>
                <w:szCs w:val="22"/>
              </w:rPr>
            </w:pPr>
            <w:r w:rsidRPr="00F118C2">
              <w:rPr>
                <w:szCs w:val="22"/>
              </w:rPr>
              <w:t>any dose</w:t>
            </w:r>
          </w:p>
        </w:tc>
        <w:tc>
          <w:tcPr>
            <w:tcW w:w="1253" w:type="dxa"/>
            <w:shd w:val="clear" w:color="auto" w:fill="FFFFFF" w:themeFill="background1"/>
          </w:tcPr>
          <w:p w14:paraId="3B9451B2" w14:textId="77777777" w:rsidR="00182E1B" w:rsidRDefault="00182E1B" w:rsidP="00D64E4A">
            <w:pPr>
              <w:ind w:left="33"/>
              <w:jc w:val="center"/>
              <w:rPr>
                <w:szCs w:val="22"/>
              </w:rPr>
            </w:pPr>
            <w:r>
              <w:rPr>
                <w:szCs w:val="22"/>
              </w:rPr>
              <w:t>12 months</w:t>
            </w:r>
          </w:p>
        </w:tc>
      </w:tr>
    </w:tbl>
    <w:p w14:paraId="0AE8A153" w14:textId="77777777" w:rsidR="00182E1B" w:rsidRPr="00182E1B" w:rsidRDefault="00182E1B" w:rsidP="00576E99">
      <w:pPr>
        <w:pStyle w:val="SH3"/>
      </w:pPr>
    </w:p>
    <w:p w14:paraId="1981B0E4"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1F6BD619" w14:textId="77777777" w:rsidR="00885EAB" w:rsidRPr="00513D05" w:rsidRDefault="00513D05" w:rsidP="00984EE9">
      <w:pPr>
        <w:pStyle w:val="SH4"/>
        <w:ind w:left="1418"/>
      </w:pPr>
      <w:r>
        <w:tab/>
      </w:r>
      <w:r w:rsidR="00885EAB" w:rsidRPr="00513D05">
        <w:t>pneumonia;</w:t>
      </w:r>
    </w:p>
    <w:p w14:paraId="07014A90" w14:textId="77777777" w:rsidR="00885EAB" w:rsidRPr="00513D05" w:rsidRDefault="00885EAB" w:rsidP="00984EE9">
      <w:pPr>
        <w:pStyle w:val="SH4"/>
        <w:ind w:left="1418"/>
      </w:pPr>
      <w:r w:rsidRPr="00513D05">
        <w:lastRenderedPageBreak/>
        <w:tab/>
        <w:t>respiratory failure;</w:t>
      </w:r>
    </w:p>
    <w:p w14:paraId="579622BE" w14:textId="77777777" w:rsidR="00885EAB" w:rsidRPr="00513D05" w:rsidRDefault="00885EAB" w:rsidP="00984EE9">
      <w:pPr>
        <w:pStyle w:val="SH4"/>
        <w:ind w:left="1418"/>
      </w:pPr>
      <w:r w:rsidRPr="00513D05">
        <w:tab/>
        <w:t>cardiac arrest;</w:t>
      </w:r>
    </w:p>
    <w:p w14:paraId="35BFC836" w14:textId="77777777" w:rsidR="00885EAB" w:rsidRPr="00513D05" w:rsidRDefault="00885EAB" w:rsidP="00984EE9">
      <w:pPr>
        <w:pStyle w:val="SH4"/>
        <w:ind w:left="1418"/>
      </w:pPr>
      <w:r w:rsidRPr="00513D05">
        <w:tab/>
        <w:t>circulatory failure;</w:t>
      </w:r>
      <w:r w:rsidR="002376A0">
        <w:t xml:space="preserve"> or</w:t>
      </w:r>
    </w:p>
    <w:p w14:paraId="19709CC1" w14:textId="77777777" w:rsidR="00BD3334" w:rsidRPr="00BD3334" w:rsidRDefault="00885EAB" w:rsidP="00984EE9">
      <w:pPr>
        <w:pStyle w:val="SH4"/>
        <w:ind w:left="1418"/>
      </w:pPr>
      <w:r w:rsidRPr="00513D05">
        <w:tab/>
        <w:t>cessation of brain function.</w:t>
      </w:r>
    </w:p>
    <w:p w14:paraId="103A697D"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2BED9DEE" w14:textId="77777777" w:rsidR="00CF2367" w:rsidRPr="00FA33FB" w:rsidRDefault="00CF2367" w:rsidP="00CF2367"/>
    <w:p w14:paraId="55D06BCE"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7C4AE74"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E02C3" w14:textId="77777777" w:rsidR="008C7465" w:rsidRDefault="008C7465" w:rsidP="00715914">
      <w:pPr>
        <w:spacing w:line="240" w:lineRule="auto"/>
      </w:pPr>
      <w:r>
        <w:separator/>
      </w:r>
    </w:p>
  </w:endnote>
  <w:endnote w:type="continuationSeparator" w:id="0">
    <w:p w14:paraId="1EF069D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C55D"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847703B" w14:textId="77777777" w:rsidTr="00CC061E">
      <w:tc>
        <w:tcPr>
          <w:tcW w:w="709" w:type="dxa"/>
          <w:tcBorders>
            <w:top w:val="nil"/>
            <w:left w:val="nil"/>
            <w:bottom w:val="nil"/>
            <w:right w:val="nil"/>
          </w:tcBorders>
          <w:shd w:val="clear" w:color="auto" w:fill="auto"/>
        </w:tcPr>
        <w:p w14:paraId="071145B9"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3CAC81E1" w14:textId="77777777" w:rsidR="004A2007" w:rsidRDefault="004A2007" w:rsidP="004A2007">
          <w:pPr>
            <w:spacing w:line="0" w:lineRule="atLeast"/>
            <w:jc w:val="center"/>
            <w:rPr>
              <w:i/>
              <w:sz w:val="18"/>
            </w:rPr>
          </w:pPr>
          <w:r w:rsidRPr="007C5CE0">
            <w:rPr>
              <w:i/>
              <w:sz w:val="18"/>
            </w:rPr>
            <w:t>Statement of Principles concerning</w:t>
          </w:r>
        </w:p>
        <w:p w14:paraId="40FF6D01" w14:textId="693D8E6E" w:rsidR="004A2007" w:rsidRDefault="008A28C8" w:rsidP="004A2007">
          <w:pPr>
            <w:spacing w:line="0" w:lineRule="atLeast"/>
            <w:jc w:val="center"/>
            <w:rPr>
              <w:i/>
              <w:sz w:val="18"/>
              <w:szCs w:val="18"/>
            </w:rPr>
          </w:pPr>
          <w:r w:rsidRPr="008A28C8">
            <w:rPr>
              <w:i/>
              <w:sz w:val="18"/>
              <w:szCs w:val="18"/>
            </w:rPr>
            <w:t>Osteoporosis</w:t>
          </w:r>
          <w:r w:rsidR="004A2007">
            <w:rPr>
              <w:i/>
              <w:sz w:val="18"/>
              <w:szCs w:val="18"/>
            </w:rPr>
            <w:t xml:space="preserve"> (Reasonable Hypothesis) </w:t>
          </w:r>
          <w:r w:rsidR="004A2007" w:rsidRPr="007C5CE0">
            <w:rPr>
              <w:i/>
              <w:sz w:val="18"/>
            </w:rPr>
            <w:t xml:space="preserve">(No. </w:t>
          </w:r>
          <w:r w:rsidRPr="008A28C8">
            <w:rPr>
              <w:i/>
              <w:sz w:val="18"/>
              <w:szCs w:val="18"/>
            </w:rPr>
            <w:t>66</w:t>
          </w:r>
          <w:r w:rsidR="004A2007" w:rsidRPr="007C5CE0">
            <w:rPr>
              <w:i/>
              <w:sz w:val="18"/>
              <w:szCs w:val="18"/>
            </w:rPr>
            <w:t xml:space="preserve"> of </w:t>
          </w:r>
          <w:r w:rsidRPr="008A28C8">
            <w:rPr>
              <w:i/>
              <w:sz w:val="18"/>
              <w:szCs w:val="18"/>
            </w:rPr>
            <w:t>2024</w:t>
          </w:r>
          <w:r w:rsidR="004A2007" w:rsidRPr="007C5CE0">
            <w:rPr>
              <w:i/>
              <w:sz w:val="18"/>
              <w:szCs w:val="18"/>
            </w:rPr>
            <w:t>)</w:t>
          </w:r>
        </w:p>
        <w:p w14:paraId="22059828"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BAAF35F"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0CD2">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0CD2">
            <w:rPr>
              <w:i/>
              <w:noProof/>
              <w:sz w:val="18"/>
            </w:rPr>
            <w:t>12</w:t>
          </w:r>
          <w:r>
            <w:rPr>
              <w:i/>
              <w:sz w:val="18"/>
            </w:rPr>
            <w:fldChar w:fldCharType="end"/>
          </w:r>
        </w:p>
      </w:tc>
    </w:tr>
  </w:tbl>
  <w:p w14:paraId="67A976C6"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B5E5"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44695E1B" w14:textId="77777777" w:rsidTr="00CC061E">
      <w:tc>
        <w:tcPr>
          <w:tcW w:w="709" w:type="dxa"/>
          <w:tcBorders>
            <w:top w:val="nil"/>
            <w:left w:val="nil"/>
            <w:bottom w:val="nil"/>
            <w:right w:val="nil"/>
          </w:tcBorders>
          <w:shd w:val="clear" w:color="auto" w:fill="auto"/>
        </w:tcPr>
        <w:p w14:paraId="30A1EF7A"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F6CFAA1" w14:textId="77777777" w:rsidR="004A2007" w:rsidRDefault="004A2007" w:rsidP="004A2007">
          <w:pPr>
            <w:spacing w:line="0" w:lineRule="atLeast"/>
            <w:jc w:val="center"/>
            <w:rPr>
              <w:i/>
              <w:sz w:val="18"/>
            </w:rPr>
          </w:pPr>
          <w:r w:rsidRPr="007C5CE0">
            <w:rPr>
              <w:i/>
              <w:sz w:val="18"/>
            </w:rPr>
            <w:t>Statement of Principles concerning</w:t>
          </w:r>
        </w:p>
        <w:p w14:paraId="22D7CE21" w14:textId="143B74EE" w:rsidR="004A2007" w:rsidRDefault="008A28C8" w:rsidP="004A2007">
          <w:pPr>
            <w:spacing w:line="0" w:lineRule="atLeast"/>
            <w:jc w:val="center"/>
            <w:rPr>
              <w:i/>
              <w:sz w:val="18"/>
              <w:szCs w:val="18"/>
            </w:rPr>
          </w:pPr>
          <w:r w:rsidRPr="008A28C8">
            <w:rPr>
              <w:i/>
              <w:sz w:val="18"/>
              <w:szCs w:val="18"/>
            </w:rPr>
            <w:t>Osteoporosis</w:t>
          </w:r>
          <w:r w:rsidR="004A2007">
            <w:rPr>
              <w:i/>
              <w:sz w:val="18"/>
              <w:szCs w:val="18"/>
            </w:rPr>
            <w:t xml:space="preserve"> (Reasonable Hypothesis) </w:t>
          </w:r>
          <w:r w:rsidR="004A2007" w:rsidRPr="007C5CE0">
            <w:rPr>
              <w:i/>
              <w:sz w:val="18"/>
            </w:rPr>
            <w:t xml:space="preserve">(No. </w:t>
          </w:r>
          <w:r w:rsidRPr="008A28C8">
            <w:rPr>
              <w:i/>
              <w:sz w:val="18"/>
              <w:szCs w:val="18"/>
            </w:rPr>
            <w:t>66</w:t>
          </w:r>
          <w:r w:rsidR="004A2007" w:rsidRPr="007C5CE0">
            <w:rPr>
              <w:i/>
              <w:sz w:val="18"/>
              <w:szCs w:val="18"/>
            </w:rPr>
            <w:t xml:space="preserve"> of </w:t>
          </w:r>
          <w:r w:rsidRPr="008A28C8">
            <w:rPr>
              <w:i/>
              <w:sz w:val="18"/>
              <w:szCs w:val="18"/>
            </w:rPr>
            <w:t>2024</w:t>
          </w:r>
          <w:r w:rsidR="004A2007" w:rsidRPr="007C5CE0">
            <w:rPr>
              <w:i/>
              <w:sz w:val="18"/>
              <w:szCs w:val="18"/>
            </w:rPr>
            <w:t>)</w:t>
          </w:r>
        </w:p>
        <w:p w14:paraId="4C0B811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063EC33"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0CD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0CD2">
            <w:rPr>
              <w:i/>
              <w:noProof/>
              <w:sz w:val="18"/>
            </w:rPr>
            <w:t>12</w:t>
          </w:r>
          <w:r>
            <w:rPr>
              <w:i/>
              <w:sz w:val="18"/>
            </w:rPr>
            <w:fldChar w:fldCharType="end"/>
          </w:r>
        </w:p>
      </w:tc>
    </w:tr>
  </w:tbl>
  <w:p w14:paraId="194C1C22"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60FF"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164D"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32A4"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F5FD"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BE5E"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7E1D" w14:textId="77777777" w:rsidR="008C7465" w:rsidRDefault="008C7465" w:rsidP="00715914">
      <w:pPr>
        <w:spacing w:line="240" w:lineRule="auto"/>
      </w:pPr>
      <w:r>
        <w:separator/>
      </w:r>
    </w:p>
  </w:footnote>
  <w:footnote w:type="continuationSeparator" w:id="0">
    <w:p w14:paraId="2AC79719"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1132" w14:textId="5C0C177F"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4029"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B066" w14:textId="77777777" w:rsidR="004A2007" w:rsidRDefault="004A2007" w:rsidP="004A2007">
    <w:pPr>
      <w:rPr>
        <w:sz w:val="20"/>
      </w:rPr>
    </w:pPr>
    <w:r>
      <w:rPr>
        <w:b/>
        <w:noProof/>
        <w:sz w:val="20"/>
      </w:rPr>
      <w:t>Schedule 1</w:t>
    </w:r>
    <w:r>
      <w:rPr>
        <w:sz w:val="20"/>
      </w:rPr>
      <w:t xml:space="preserve"> - </w:t>
    </w:r>
    <w:r>
      <w:rPr>
        <w:noProof/>
        <w:sz w:val="20"/>
      </w:rPr>
      <w:t>Dictionary</w:t>
    </w:r>
  </w:p>
  <w:p w14:paraId="6A06252D"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24B1"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C4FC"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8F76"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364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622344166">
    <w:abstractNumId w:val="15"/>
  </w:num>
  <w:num w:numId="2" w16cid:durableId="2028679587">
    <w:abstractNumId w:val="13"/>
  </w:num>
  <w:num w:numId="3" w16cid:durableId="318507130">
    <w:abstractNumId w:val="11"/>
  </w:num>
  <w:num w:numId="4" w16cid:durableId="1040933389">
    <w:abstractNumId w:val="10"/>
  </w:num>
  <w:num w:numId="5" w16cid:durableId="1284724520">
    <w:abstractNumId w:val="14"/>
  </w:num>
  <w:num w:numId="6" w16cid:durableId="2107116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17061">
    <w:abstractNumId w:val="9"/>
  </w:num>
  <w:num w:numId="8" w16cid:durableId="12461369">
    <w:abstractNumId w:val="7"/>
  </w:num>
  <w:num w:numId="9" w16cid:durableId="2028749920">
    <w:abstractNumId w:val="6"/>
  </w:num>
  <w:num w:numId="10" w16cid:durableId="448091183">
    <w:abstractNumId w:val="5"/>
  </w:num>
  <w:num w:numId="11" w16cid:durableId="577059419">
    <w:abstractNumId w:val="4"/>
  </w:num>
  <w:num w:numId="12" w16cid:durableId="108403083">
    <w:abstractNumId w:val="8"/>
  </w:num>
  <w:num w:numId="13" w16cid:durableId="1970936895">
    <w:abstractNumId w:val="3"/>
  </w:num>
  <w:num w:numId="14" w16cid:durableId="1460106966">
    <w:abstractNumId w:val="2"/>
  </w:num>
  <w:num w:numId="15" w16cid:durableId="346559259">
    <w:abstractNumId w:val="1"/>
  </w:num>
  <w:num w:numId="16" w16cid:durableId="770903515">
    <w:abstractNumId w:val="0"/>
  </w:num>
  <w:num w:numId="17" w16cid:durableId="837421149">
    <w:abstractNumId w:val="10"/>
  </w:num>
  <w:num w:numId="18" w16cid:durableId="1470056258">
    <w:abstractNumId w:val="10"/>
  </w:num>
  <w:num w:numId="19" w16cid:durableId="1156216102">
    <w:abstractNumId w:val="10"/>
  </w:num>
  <w:num w:numId="20" w16cid:durableId="641545407">
    <w:abstractNumId w:val="12"/>
  </w:num>
  <w:num w:numId="21" w16cid:durableId="129336305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47F3C"/>
    <w:rsid w:val="00051B75"/>
    <w:rsid w:val="0005365D"/>
    <w:rsid w:val="00054930"/>
    <w:rsid w:val="00055744"/>
    <w:rsid w:val="000614BF"/>
    <w:rsid w:val="00061E3E"/>
    <w:rsid w:val="00081B7C"/>
    <w:rsid w:val="00085567"/>
    <w:rsid w:val="00086728"/>
    <w:rsid w:val="0008674F"/>
    <w:rsid w:val="00093F89"/>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5906"/>
    <w:rsid w:val="00132CEB"/>
    <w:rsid w:val="00137D25"/>
    <w:rsid w:val="00137FE9"/>
    <w:rsid w:val="00140689"/>
    <w:rsid w:val="00140A58"/>
    <w:rsid w:val="00142B62"/>
    <w:rsid w:val="001514A8"/>
    <w:rsid w:val="0015201F"/>
    <w:rsid w:val="00157B8B"/>
    <w:rsid w:val="00161A8E"/>
    <w:rsid w:val="001648F7"/>
    <w:rsid w:val="00164E0B"/>
    <w:rsid w:val="00166C2F"/>
    <w:rsid w:val="00167D2C"/>
    <w:rsid w:val="00167E0C"/>
    <w:rsid w:val="00173E96"/>
    <w:rsid w:val="001809D7"/>
    <w:rsid w:val="00182E1B"/>
    <w:rsid w:val="001833C8"/>
    <w:rsid w:val="00187DE1"/>
    <w:rsid w:val="0019084F"/>
    <w:rsid w:val="001939E1"/>
    <w:rsid w:val="00194C3E"/>
    <w:rsid w:val="00195382"/>
    <w:rsid w:val="001A1438"/>
    <w:rsid w:val="001A239B"/>
    <w:rsid w:val="001B0F26"/>
    <w:rsid w:val="001B4F0B"/>
    <w:rsid w:val="001C2AD2"/>
    <w:rsid w:val="001C3B98"/>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19DA"/>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B51C9"/>
    <w:rsid w:val="002C7539"/>
    <w:rsid w:val="002D043A"/>
    <w:rsid w:val="002D2AA2"/>
    <w:rsid w:val="002D6224"/>
    <w:rsid w:val="002D74C5"/>
    <w:rsid w:val="002E35CD"/>
    <w:rsid w:val="002E3F4B"/>
    <w:rsid w:val="002F5948"/>
    <w:rsid w:val="002F77A1"/>
    <w:rsid w:val="00301C54"/>
    <w:rsid w:val="00304166"/>
    <w:rsid w:val="00304F8B"/>
    <w:rsid w:val="00314B44"/>
    <w:rsid w:val="0032243F"/>
    <w:rsid w:val="0033221D"/>
    <w:rsid w:val="003354D2"/>
    <w:rsid w:val="00335BC6"/>
    <w:rsid w:val="003415D3"/>
    <w:rsid w:val="00344701"/>
    <w:rsid w:val="00352B0F"/>
    <w:rsid w:val="00356690"/>
    <w:rsid w:val="00360459"/>
    <w:rsid w:val="00365A5F"/>
    <w:rsid w:val="00365E25"/>
    <w:rsid w:val="00372791"/>
    <w:rsid w:val="003734C6"/>
    <w:rsid w:val="00375BB3"/>
    <w:rsid w:val="003802D6"/>
    <w:rsid w:val="0038399F"/>
    <w:rsid w:val="00385187"/>
    <w:rsid w:val="00390F9D"/>
    <w:rsid w:val="003A189F"/>
    <w:rsid w:val="003A2E83"/>
    <w:rsid w:val="003A2FFE"/>
    <w:rsid w:val="003A5C26"/>
    <w:rsid w:val="003B3E42"/>
    <w:rsid w:val="003C4C02"/>
    <w:rsid w:val="003C6231"/>
    <w:rsid w:val="003C6D6E"/>
    <w:rsid w:val="003D0BFE"/>
    <w:rsid w:val="003D380A"/>
    <w:rsid w:val="003D5700"/>
    <w:rsid w:val="003E341B"/>
    <w:rsid w:val="003F39C0"/>
    <w:rsid w:val="003F4535"/>
    <w:rsid w:val="00402ACD"/>
    <w:rsid w:val="004116CD"/>
    <w:rsid w:val="0041386E"/>
    <w:rsid w:val="004144EC"/>
    <w:rsid w:val="00417EB9"/>
    <w:rsid w:val="00420A33"/>
    <w:rsid w:val="0042300E"/>
    <w:rsid w:val="00424CA9"/>
    <w:rsid w:val="00431E9B"/>
    <w:rsid w:val="00436129"/>
    <w:rsid w:val="004379E3"/>
    <w:rsid w:val="0044015E"/>
    <w:rsid w:val="0044291A"/>
    <w:rsid w:val="00444ABD"/>
    <w:rsid w:val="004453FC"/>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5741"/>
    <w:rsid w:val="005268CF"/>
    <w:rsid w:val="0053697E"/>
    <w:rsid w:val="00537FBC"/>
    <w:rsid w:val="0054113C"/>
    <w:rsid w:val="00544AE5"/>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36490"/>
    <w:rsid w:val="0066266D"/>
    <w:rsid w:val="006647B7"/>
    <w:rsid w:val="00667A4E"/>
    <w:rsid w:val="00670CD2"/>
    <w:rsid w:val="00670EA1"/>
    <w:rsid w:val="00677CC2"/>
    <w:rsid w:val="006840B0"/>
    <w:rsid w:val="00684C0E"/>
    <w:rsid w:val="006905DE"/>
    <w:rsid w:val="0069207B"/>
    <w:rsid w:val="0069220C"/>
    <w:rsid w:val="00695023"/>
    <w:rsid w:val="006952CF"/>
    <w:rsid w:val="006A5757"/>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0224"/>
    <w:rsid w:val="0078129A"/>
    <w:rsid w:val="00781DD2"/>
    <w:rsid w:val="00782F4E"/>
    <w:rsid w:val="00783E89"/>
    <w:rsid w:val="007904DB"/>
    <w:rsid w:val="00793915"/>
    <w:rsid w:val="007A15B1"/>
    <w:rsid w:val="007A3989"/>
    <w:rsid w:val="007B132E"/>
    <w:rsid w:val="007B52F6"/>
    <w:rsid w:val="007C1FF7"/>
    <w:rsid w:val="007C2253"/>
    <w:rsid w:val="007C5CE0"/>
    <w:rsid w:val="007C7DEE"/>
    <w:rsid w:val="007D3BA2"/>
    <w:rsid w:val="007E163D"/>
    <w:rsid w:val="007E667A"/>
    <w:rsid w:val="007F2378"/>
    <w:rsid w:val="007F28C9"/>
    <w:rsid w:val="007F6965"/>
    <w:rsid w:val="00803587"/>
    <w:rsid w:val="00806368"/>
    <w:rsid w:val="008117E9"/>
    <w:rsid w:val="00822B2F"/>
    <w:rsid w:val="00824498"/>
    <w:rsid w:val="008321ED"/>
    <w:rsid w:val="00832C32"/>
    <w:rsid w:val="00842EA3"/>
    <w:rsid w:val="00850A63"/>
    <w:rsid w:val="0085384C"/>
    <w:rsid w:val="00856A31"/>
    <w:rsid w:val="00860BB7"/>
    <w:rsid w:val="0086644D"/>
    <w:rsid w:val="00867ABD"/>
    <w:rsid w:val="00867B37"/>
    <w:rsid w:val="00873081"/>
    <w:rsid w:val="00874501"/>
    <w:rsid w:val="008754D0"/>
    <w:rsid w:val="00877AE3"/>
    <w:rsid w:val="008855C9"/>
    <w:rsid w:val="00885EAB"/>
    <w:rsid w:val="00886456"/>
    <w:rsid w:val="00895A67"/>
    <w:rsid w:val="008A28C8"/>
    <w:rsid w:val="008A46E1"/>
    <w:rsid w:val="008A4F43"/>
    <w:rsid w:val="008B170B"/>
    <w:rsid w:val="008B2204"/>
    <w:rsid w:val="008B2706"/>
    <w:rsid w:val="008C7465"/>
    <w:rsid w:val="008D0EE0"/>
    <w:rsid w:val="008D16D3"/>
    <w:rsid w:val="008D1B8B"/>
    <w:rsid w:val="008E6067"/>
    <w:rsid w:val="008E62FD"/>
    <w:rsid w:val="008E76DC"/>
    <w:rsid w:val="008F48EC"/>
    <w:rsid w:val="008F4A11"/>
    <w:rsid w:val="008F54E7"/>
    <w:rsid w:val="008F572A"/>
    <w:rsid w:val="0090262E"/>
    <w:rsid w:val="00903422"/>
    <w:rsid w:val="00904761"/>
    <w:rsid w:val="009056AF"/>
    <w:rsid w:val="00912B55"/>
    <w:rsid w:val="00915DF9"/>
    <w:rsid w:val="0092360D"/>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3C59"/>
    <w:rsid w:val="00A254EA"/>
    <w:rsid w:val="00A36B1A"/>
    <w:rsid w:val="00A515BC"/>
    <w:rsid w:val="00A56C3D"/>
    <w:rsid w:val="00A6070D"/>
    <w:rsid w:val="00A64912"/>
    <w:rsid w:val="00A64BA1"/>
    <w:rsid w:val="00A70A74"/>
    <w:rsid w:val="00A77E0D"/>
    <w:rsid w:val="00A931D7"/>
    <w:rsid w:val="00A97590"/>
    <w:rsid w:val="00AA35F7"/>
    <w:rsid w:val="00AA64D6"/>
    <w:rsid w:val="00AA6D8B"/>
    <w:rsid w:val="00AC5296"/>
    <w:rsid w:val="00AD2DC7"/>
    <w:rsid w:val="00AD5641"/>
    <w:rsid w:val="00AD7889"/>
    <w:rsid w:val="00AD7AC2"/>
    <w:rsid w:val="00AD7DCC"/>
    <w:rsid w:val="00AE67D2"/>
    <w:rsid w:val="00AF021B"/>
    <w:rsid w:val="00AF06CF"/>
    <w:rsid w:val="00AF21C3"/>
    <w:rsid w:val="00B05CF4"/>
    <w:rsid w:val="00B07CDB"/>
    <w:rsid w:val="00B16123"/>
    <w:rsid w:val="00B166C8"/>
    <w:rsid w:val="00B16A31"/>
    <w:rsid w:val="00B177FE"/>
    <w:rsid w:val="00B17DFD"/>
    <w:rsid w:val="00B24368"/>
    <w:rsid w:val="00B27C6B"/>
    <w:rsid w:val="00B308FE"/>
    <w:rsid w:val="00B33709"/>
    <w:rsid w:val="00B33B3C"/>
    <w:rsid w:val="00B50826"/>
    <w:rsid w:val="00B50ADC"/>
    <w:rsid w:val="00B527C0"/>
    <w:rsid w:val="00B566B1"/>
    <w:rsid w:val="00B6351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02B4"/>
    <w:rsid w:val="00BB4E1A"/>
    <w:rsid w:val="00BB51B5"/>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1C8A"/>
    <w:rsid w:val="00C5731E"/>
    <w:rsid w:val="00C670B0"/>
    <w:rsid w:val="00C72B1E"/>
    <w:rsid w:val="00C738B9"/>
    <w:rsid w:val="00C7573B"/>
    <w:rsid w:val="00C77046"/>
    <w:rsid w:val="00C876D3"/>
    <w:rsid w:val="00C935F2"/>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CF7675"/>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97CC0"/>
    <w:rsid w:val="00DA186E"/>
    <w:rsid w:val="00DA3996"/>
    <w:rsid w:val="00DA4116"/>
    <w:rsid w:val="00DA7AC0"/>
    <w:rsid w:val="00DB15BB"/>
    <w:rsid w:val="00DB251C"/>
    <w:rsid w:val="00DB3F17"/>
    <w:rsid w:val="00DB4162"/>
    <w:rsid w:val="00DB4630"/>
    <w:rsid w:val="00DC04C3"/>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7666E"/>
    <w:rsid w:val="00E8075A"/>
    <w:rsid w:val="00E90315"/>
    <w:rsid w:val="00E92D94"/>
    <w:rsid w:val="00E9347E"/>
    <w:rsid w:val="00E93E6F"/>
    <w:rsid w:val="00E94D5E"/>
    <w:rsid w:val="00EA7100"/>
    <w:rsid w:val="00EA7F9F"/>
    <w:rsid w:val="00EB1274"/>
    <w:rsid w:val="00EB2BC4"/>
    <w:rsid w:val="00EC57E8"/>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2001"/>
    <w:rsid w:val="00F4350D"/>
    <w:rsid w:val="00F567F7"/>
    <w:rsid w:val="00F62036"/>
    <w:rsid w:val="00F65B52"/>
    <w:rsid w:val="00F67B67"/>
    <w:rsid w:val="00F67BCA"/>
    <w:rsid w:val="00F72B54"/>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120A"/>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CD5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253D7C"/>
    <w:pPr>
      <w:numPr>
        <w:ilvl w:val="1"/>
        <w:numId w:val="19"/>
      </w:numPr>
    </w:pPr>
  </w:style>
  <w:style w:type="paragraph" w:customStyle="1" w:styleId="LV3">
    <w:name w:val="LV 3"/>
    <w:basedOn w:val="PlainIndent"/>
    <w:autoRedefine/>
    <w:qFormat/>
    <w:rsid w:val="00253D7C"/>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FootnoteText">
    <w:name w:val="footnote text"/>
    <w:basedOn w:val="Normal"/>
    <w:link w:val="FootnoteTextChar"/>
    <w:semiHidden/>
    <w:rsid w:val="00182E1B"/>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182E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2624</Words>
  <Characters>14960</Characters>
  <Application>Microsoft Office Word</Application>
  <DocSecurity>0</DocSecurity>
  <PresentationFormat/>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2024-01-08T00:52:00Z</dcterms:created>
  <dcterms:modified xsi:type="dcterms:W3CDTF">2024-08-21T23:30:00Z</dcterms:modified>
  <cp:category/>
  <cp:contentStatus/>
  <dc:language/>
  <cp:version/>
</cp:coreProperties>
</file>