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E65BB9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314144" w:rsidP="006647B7">
      <w:pPr>
        <w:pStyle w:val="Plainheader"/>
      </w:pPr>
      <w:bookmarkStart w:id="0" w:name="SoP_Name_Title"/>
      <w:r>
        <w:t xml:space="preserve">HEAT-INDUCED </w:t>
      </w:r>
      <w:proofErr w:type="gramStart"/>
      <w:r>
        <w:t>BURN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FB2BF0">
        <w:t>1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314144">
        <w:t>202</w:t>
      </w:r>
      <w:r w:rsidR="00FB2BF0">
        <w:t>4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2A3353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E65BB9" w:rsidRDefault="00F97A62" w:rsidP="00F97A62">
      <w:pPr>
        <w:rPr>
          <w:lang w:eastAsia="en-AU"/>
        </w:rPr>
      </w:pPr>
    </w:p>
    <w:p w:rsidR="00EE4950" w:rsidRPr="00E65BB9" w:rsidRDefault="00EE4950" w:rsidP="00E65BB9">
      <w:pPr>
        <w:pStyle w:val="Plain"/>
        <w:rPr>
          <w:b w:val="0"/>
        </w:rPr>
      </w:pPr>
      <w:r w:rsidRPr="00E65BB9">
        <w:rPr>
          <w:b w:val="0"/>
        </w:rPr>
        <w:t>Dated</w:t>
      </w:r>
      <w:r w:rsidRPr="00E65BB9">
        <w:rPr>
          <w:b w:val="0"/>
        </w:rPr>
        <w:tab/>
      </w:r>
      <w:r w:rsidR="00314144">
        <w:rPr>
          <w:b w:val="0"/>
        </w:rPr>
        <w:t xml:space="preserve">   </w:t>
      </w:r>
      <w:r w:rsidR="00FB2BF0">
        <w:rPr>
          <w:b w:val="0"/>
        </w:rPr>
        <w:t>22 December 2023.</w:t>
      </w: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E4950" w:rsidRPr="00E65BB9" w:rsidTr="0034373D">
        <w:tc>
          <w:tcPr>
            <w:tcW w:w="4116" w:type="dxa"/>
          </w:tcPr>
          <w:p w:rsidR="00EE4950" w:rsidRPr="001A0BF4" w:rsidRDefault="00EE4950" w:rsidP="00E65BB9">
            <w:pPr>
              <w:pStyle w:val="Plain"/>
              <w:rPr>
                <w:b w:val="0"/>
              </w:rPr>
            </w:pPr>
            <w:r w:rsidRPr="001A0BF4">
              <w:rPr>
                <w:b w:val="0"/>
              </w:rPr>
              <w:t>The Common Seal of the</w:t>
            </w:r>
            <w:r w:rsidRPr="001A0BF4">
              <w:rPr>
                <w:b w:val="0"/>
              </w:rPr>
              <w:br/>
              <w:t>Repatriation Medical Authority</w:t>
            </w:r>
            <w:r w:rsidRPr="001A0BF4">
              <w:rPr>
                <w:b w:val="0"/>
              </w:rPr>
              <w:br/>
              <w:t>was affixed to this instrument</w:t>
            </w:r>
            <w:r w:rsidRPr="001A0BF4">
              <w:rPr>
                <w:b w:val="0"/>
              </w:rPr>
              <w:br/>
              <w:t>at the direction of:</w:t>
            </w:r>
          </w:p>
          <w:p w:rsidR="00EE4950" w:rsidRPr="00383536" w:rsidRDefault="00EE4950" w:rsidP="00E65BB9">
            <w:pPr>
              <w:pStyle w:val="Plain"/>
            </w:pPr>
          </w:p>
        </w:tc>
      </w:tr>
      <w:tr w:rsidR="00EE4950" w:rsidTr="0034373D">
        <w:tc>
          <w:tcPr>
            <w:tcW w:w="4116" w:type="dxa"/>
          </w:tcPr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  <w:r w:rsidRPr="00E65BB9">
              <w:rPr>
                <w:b w:val="0"/>
              </w:rPr>
              <w:t xml:space="preserve">Professor </w:t>
            </w:r>
            <w:r w:rsidR="008473F7" w:rsidRPr="008473F7">
              <w:rPr>
                <w:b w:val="0"/>
              </w:rPr>
              <w:t>Terence Campbell AM</w:t>
            </w: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  <w:r w:rsidRPr="00E65BB9">
              <w:rPr>
                <w:b w:val="0"/>
              </w:rPr>
              <w:t>Chairperson</w:t>
            </w:r>
          </w:p>
          <w:p w:rsidR="00EE4950" w:rsidRDefault="00EE4950" w:rsidP="0034373D"/>
        </w:tc>
      </w:tr>
    </w:tbl>
    <w:p w:rsidR="00EE4950" w:rsidRPr="00FA33FB" w:rsidRDefault="00EE4950" w:rsidP="00EE4950"/>
    <w:p w:rsidR="00EE4950" w:rsidRDefault="00EE4950" w:rsidP="00EE4950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9A4373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9A4373">
        <w:rPr>
          <w:noProof/>
        </w:rPr>
        <w:t>1</w:t>
      </w:r>
      <w:r w:rsidR="009A437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9A4373">
        <w:rPr>
          <w:noProof/>
        </w:rPr>
        <w:t>Name</w:t>
      </w:r>
      <w:r w:rsidR="009A4373">
        <w:rPr>
          <w:noProof/>
        </w:rPr>
        <w:tab/>
      </w:r>
      <w:r w:rsidR="009A4373">
        <w:rPr>
          <w:noProof/>
        </w:rPr>
        <w:fldChar w:fldCharType="begin"/>
      </w:r>
      <w:r w:rsidR="009A4373">
        <w:rPr>
          <w:noProof/>
        </w:rPr>
        <w:instrText xml:space="preserve"> PAGEREF _Toc512512501 \h </w:instrText>
      </w:r>
      <w:r w:rsidR="009A4373">
        <w:rPr>
          <w:noProof/>
        </w:rPr>
      </w:r>
      <w:r w:rsidR="009A4373">
        <w:rPr>
          <w:noProof/>
        </w:rPr>
        <w:fldChar w:fldCharType="separate"/>
      </w:r>
      <w:r w:rsidR="00FB2BF0">
        <w:rPr>
          <w:noProof/>
        </w:rPr>
        <w:t>3</w:t>
      </w:r>
      <w:r w:rsidR="009A4373">
        <w:rPr>
          <w:noProof/>
        </w:rPr>
        <w:fldChar w:fldCharType="end"/>
      </w:r>
    </w:p>
    <w:p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_Toc512512502 \h </w:instrText>
      </w:r>
      <w:r>
        <w:rPr>
          <w:noProof/>
        </w:rPr>
      </w:r>
      <w:r>
        <w:rPr>
          <w:noProof/>
        </w:rPr>
        <w:fldChar w:fldCharType="separate"/>
      </w:r>
      <w:r w:rsidR="00FB2BF0">
        <w:rPr>
          <w:noProof/>
        </w:rPr>
        <w:t>3</w:t>
      </w:r>
      <w:r>
        <w:rPr>
          <w:noProof/>
        </w:rPr>
        <w:fldChar w:fldCharType="end"/>
      </w:r>
    </w:p>
    <w:p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_Toc512512503 \h </w:instrText>
      </w:r>
      <w:r>
        <w:rPr>
          <w:noProof/>
        </w:rPr>
      </w:r>
      <w:r>
        <w:rPr>
          <w:noProof/>
        </w:rPr>
        <w:fldChar w:fldCharType="separate"/>
      </w:r>
      <w:r w:rsidR="00FB2BF0">
        <w:rPr>
          <w:noProof/>
        </w:rPr>
        <w:t>3</w:t>
      </w:r>
      <w:r>
        <w:rPr>
          <w:noProof/>
        </w:rPr>
        <w:fldChar w:fldCharType="end"/>
      </w:r>
    </w:p>
    <w:p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_Toc512512504 \h </w:instrText>
      </w:r>
      <w:r>
        <w:rPr>
          <w:noProof/>
        </w:rPr>
      </w:r>
      <w:r>
        <w:rPr>
          <w:noProof/>
        </w:rPr>
        <w:fldChar w:fldCharType="separate"/>
      </w:r>
      <w:r w:rsidR="00FB2BF0">
        <w:rPr>
          <w:noProof/>
        </w:rPr>
        <w:t>3</w:t>
      </w:r>
      <w:r>
        <w:rPr>
          <w:noProof/>
        </w:rPr>
        <w:fldChar w:fldCharType="end"/>
      </w:r>
    </w:p>
    <w:p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_Toc512512505 \h </w:instrText>
      </w:r>
      <w:r>
        <w:rPr>
          <w:noProof/>
        </w:rPr>
      </w:r>
      <w:r>
        <w:rPr>
          <w:noProof/>
        </w:rPr>
        <w:fldChar w:fldCharType="separate"/>
      </w:r>
      <w:r w:rsidR="00FB2BF0">
        <w:rPr>
          <w:noProof/>
        </w:rPr>
        <w:t>3</w:t>
      </w:r>
      <w:r>
        <w:rPr>
          <w:noProof/>
        </w:rPr>
        <w:fldChar w:fldCharType="end"/>
      </w:r>
    </w:p>
    <w:p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_Toc512512506 \h </w:instrText>
      </w:r>
      <w:r>
        <w:rPr>
          <w:noProof/>
        </w:rPr>
      </w:r>
      <w:r>
        <w:rPr>
          <w:noProof/>
        </w:rPr>
        <w:fldChar w:fldCharType="separate"/>
      </w:r>
      <w:r w:rsidR="00FB2BF0">
        <w:rPr>
          <w:noProof/>
        </w:rPr>
        <w:t>3</w:t>
      </w:r>
      <w:r>
        <w:rPr>
          <w:noProof/>
        </w:rPr>
        <w:fldChar w:fldCharType="end"/>
      </w:r>
    </w:p>
    <w:p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_Toc512512507 \h </w:instrText>
      </w:r>
      <w:r>
        <w:rPr>
          <w:noProof/>
        </w:rPr>
      </w:r>
      <w:r>
        <w:rPr>
          <w:noProof/>
        </w:rPr>
        <w:fldChar w:fldCharType="separate"/>
      </w:r>
      <w:r w:rsidR="00FB2BF0">
        <w:rPr>
          <w:noProof/>
        </w:rPr>
        <w:t>3</w:t>
      </w:r>
      <w:r>
        <w:rPr>
          <w:noProof/>
        </w:rPr>
        <w:fldChar w:fldCharType="end"/>
      </w:r>
    </w:p>
    <w:p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_Toc512512508 \h </w:instrText>
      </w:r>
      <w:r>
        <w:rPr>
          <w:noProof/>
        </w:rPr>
      </w:r>
      <w:r>
        <w:rPr>
          <w:noProof/>
        </w:rPr>
        <w:fldChar w:fldCharType="separate"/>
      </w:r>
      <w:r w:rsidR="00FB2BF0">
        <w:rPr>
          <w:noProof/>
        </w:rPr>
        <w:t>4</w:t>
      </w:r>
      <w:r>
        <w:rPr>
          <w:noProof/>
        </w:rPr>
        <w:fldChar w:fldCharType="end"/>
      </w:r>
    </w:p>
    <w:p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_Toc512512509 \h </w:instrText>
      </w:r>
      <w:r>
        <w:rPr>
          <w:noProof/>
        </w:rPr>
      </w:r>
      <w:r>
        <w:rPr>
          <w:noProof/>
        </w:rPr>
        <w:fldChar w:fldCharType="separate"/>
      </w:r>
      <w:r w:rsidR="00FB2BF0">
        <w:rPr>
          <w:noProof/>
        </w:rPr>
        <w:t>4</w:t>
      </w:r>
      <w:r>
        <w:rPr>
          <w:noProof/>
        </w:rPr>
        <w:fldChar w:fldCharType="end"/>
      </w:r>
    </w:p>
    <w:p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_Toc512512510 \h </w:instrText>
      </w:r>
      <w:r>
        <w:rPr>
          <w:noProof/>
        </w:rPr>
      </w:r>
      <w:r>
        <w:rPr>
          <w:noProof/>
        </w:rPr>
        <w:fldChar w:fldCharType="separate"/>
      </w:r>
      <w:r w:rsidR="00FB2BF0">
        <w:rPr>
          <w:noProof/>
        </w:rPr>
        <w:t>5</w:t>
      </w:r>
      <w:r>
        <w:rPr>
          <w:noProof/>
        </w:rPr>
        <w:fldChar w:fldCharType="end"/>
      </w:r>
    </w:p>
    <w:p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_Toc512512511 \h </w:instrText>
      </w:r>
      <w:r>
        <w:rPr>
          <w:noProof/>
        </w:rPr>
      </w:r>
      <w:r>
        <w:rPr>
          <w:noProof/>
        </w:rPr>
        <w:fldChar w:fldCharType="separate"/>
      </w:r>
      <w:r w:rsidR="00FB2BF0">
        <w:rPr>
          <w:noProof/>
        </w:rPr>
        <w:t>5</w:t>
      </w:r>
      <w:r>
        <w:rPr>
          <w:noProof/>
        </w:rPr>
        <w:fldChar w:fldCharType="end"/>
      </w:r>
    </w:p>
    <w:p w:rsidR="009A4373" w:rsidRDefault="009A437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_Toc512512512 \h </w:instrText>
      </w:r>
      <w:r>
        <w:rPr>
          <w:noProof/>
        </w:rPr>
      </w:r>
      <w:r>
        <w:rPr>
          <w:noProof/>
        </w:rPr>
        <w:fldChar w:fldCharType="separate"/>
      </w:r>
      <w:r w:rsidR="00FB2BF0">
        <w:rPr>
          <w:noProof/>
        </w:rPr>
        <w:t>6</w:t>
      </w:r>
      <w:r>
        <w:rPr>
          <w:noProof/>
        </w:rPr>
        <w:fldChar w:fldCharType="end"/>
      </w:r>
    </w:p>
    <w:p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_Toc512512513 \h </w:instrText>
      </w:r>
      <w:r>
        <w:rPr>
          <w:noProof/>
        </w:rPr>
      </w:r>
      <w:r>
        <w:rPr>
          <w:noProof/>
        </w:rPr>
        <w:fldChar w:fldCharType="separate"/>
      </w:r>
      <w:r w:rsidR="00FB2BF0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1709F" w:rsidRDefault="003170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Pr="005D6D98" w:rsidRDefault="00877AE3" w:rsidP="005D6D98">
      <w:pPr>
        <w:pStyle w:val="LV1"/>
      </w:pPr>
      <w:bookmarkStart w:id="4" w:name="_Toc512512501"/>
      <w:r w:rsidRPr="005D6D98">
        <w:lastRenderedPageBreak/>
        <w:t>Name</w:t>
      </w:r>
      <w:bookmarkEnd w:id="4"/>
    </w:p>
    <w:p w:rsidR="00237471" w:rsidRPr="00F97A62" w:rsidRDefault="00715914" w:rsidP="005D6D98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314144">
        <w:rPr>
          <w:i/>
        </w:rPr>
        <w:t>heat-induced burn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FB2BF0">
        <w:t>1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FB2BF0">
        <w:t>2024</w:t>
      </w:r>
      <w:r w:rsidR="00E55F66" w:rsidRPr="00F97A62">
        <w:t>)</w:t>
      </w:r>
      <w:r w:rsidRPr="00F97A62">
        <w:t>.</w:t>
      </w:r>
    </w:p>
    <w:p w:rsidR="00F67B67" w:rsidRPr="00684C0E" w:rsidRDefault="00F67B67" w:rsidP="005D6D98">
      <w:pPr>
        <w:pStyle w:val="LV1"/>
      </w:pPr>
      <w:bookmarkStart w:id="7" w:name="_Toc512512502"/>
      <w:r w:rsidRPr="00684C0E">
        <w:t>Commencement</w:t>
      </w:r>
      <w:bookmarkEnd w:id="7"/>
    </w:p>
    <w:p w:rsidR="00F67B67" w:rsidRPr="007527C1" w:rsidRDefault="007527C1" w:rsidP="005D6D98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FB2BF0">
        <w:t>22 January 2024</w:t>
      </w:r>
      <w:r w:rsidR="00F67B67" w:rsidRPr="007527C1">
        <w:t>.</w:t>
      </w:r>
    </w:p>
    <w:p w:rsidR="00F67B67" w:rsidRPr="00684C0E" w:rsidRDefault="00F67B67" w:rsidP="005D6D98">
      <w:pPr>
        <w:pStyle w:val="LV1"/>
      </w:pPr>
      <w:bookmarkStart w:id="8" w:name="_Toc512512503"/>
      <w:r w:rsidRPr="00684C0E">
        <w:t>Authority</w:t>
      </w:r>
      <w:bookmarkEnd w:id="8"/>
    </w:p>
    <w:p w:rsidR="00F67B67" w:rsidRDefault="00F67B67" w:rsidP="005D6D98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2A3353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5D6D98">
      <w:pPr>
        <w:pStyle w:val="LV1"/>
      </w:pPr>
      <w:bookmarkStart w:id="9" w:name="_Toc512512504"/>
      <w:r>
        <w:t>Re</w:t>
      </w:r>
      <w:r w:rsidR="00285992">
        <w:t>peal</w:t>
      </w:r>
      <w:bookmarkEnd w:id="9"/>
    </w:p>
    <w:p w:rsidR="00DA3996" w:rsidRPr="007527C1" w:rsidRDefault="00DA3996" w:rsidP="005D6D98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1D1106">
        <w:t>external burn No. 110</w:t>
      </w:r>
      <w:r w:rsidRPr="00DA3996">
        <w:t xml:space="preserve"> of</w:t>
      </w:r>
      <w:r w:rsidR="001D1106">
        <w:t xml:space="preserve"> 2015</w:t>
      </w:r>
      <w:r w:rsidR="005E26FD">
        <w:t xml:space="preserve"> </w:t>
      </w:r>
      <w:r w:rsidR="00285992" w:rsidRPr="00786DAE">
        <w:t>(Federal Re</w:t>
      </w:r>
      <w:r w:rsidR="001D1106">
        <w:t>gister of Legislation No. F2015L01330</w:t>
      </w:r>
      <w:r w:rsidR="00285992" w:rsidRPr="00786DAE">
        <w:t xml:space="preserve">) </w:t>
      </w:r>
      <w:r w:rsidR="001D1106">
        <w:t xml:space="preserve">made under subsections </w:t>
      </w:r>
      <w:proofErr w:type="gramStart"/>
      <w:r w:rsidR="001D1106">
        <w:t>196B(</w:t>
      </w:r>
      <w:proofErr w:type="gramEnd"/>
      <w:r w:rsidR="001D1106">
        <w:t xml:space="preserve">2) </w:t>
      </w:r>
      <w:r w:rsidR="00285992" w:rsidRPr="00DA3996">
        <w:t xml:space="preserve">and (8)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E26FD">
        <w:t>pealed</w:t>
      </w:r>
      <w:r>
        <w:t xml:space="preserve">. </w:t>
      </w:r>
    </w:p>
    <w:p w:rsidR="007C7DEE" w:rsidRPr="00684C0E" w:rsidRDefault="007C7DEE" w:rsidP="005D6D98">
      <w:pPr>
        <w:pStyle w:val="LV1"/>
      </w:pPr>
      <w:bookmarkStart w:id="10" w:name="_Toc512512505"/>
      <w:r w:rsidRPr="00684C0E">
        <w:t>Application</w:t>
      </w:r>
      <w:bookmarkEnd w:id="10"/>
    </w:p>
    <w:p w:rsidR="007C7DEE" w:rsidRPr="007527C1" w:rsidRDefault="007C7DEE" w:rsidP="005D6D98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5D6D98">
      <w:pPr>
        <w:pStyle w:val="LV1"/>
      </w:pPr>
      <w:bookmarkStart w:id="11" w:name="_Ref410129949"/>
      <w:bookmarkStart w:id="12" w:name="_Toc512512506"/>
      <w:r w:rsidRPr="00684C0E">
        <w:t>Definitions</w:t>
      </w:r>
      <w:bookmarkEnd w:id="11"/>
      <w:bookmarkEnd w:id="12"/>
    </w:p>
    <w:p w:rsidR="00237471" w:rsidRPr="00D5620B" w:rsidRDefault="007142FB" w:rsidP="005D6D98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5D6D98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12512507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5D6D98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FB2BF0" w:rsidRPr="00FB2BF0">
        <w:t>heat-induced burn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FB2BF0" w:rsidRPr="00FB2BF0">
        <w:t>heat-induced burn</w:t>
      </w:r>
      <w:r w:rsidRPr="00D5620B">
        <w:t>.</w:t>
      </w:r>
      <w:bookmarkEnd w:id="17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FB2BF0" w:rsidRPr="00FB2BF0">
        <w:rPr>
          <w:b/>
        </w:rPr>
        <w:t>heat-induced burn</w:t>
      </w:r>
    </w:p>
    <w:p w:rsidR="002716E4" w:rsidRPr="00237BAF" w:rsidRDefault="007C7DEE" w:rsidP="005D6D98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FB2BF0" w:rsidRPr="00FB2BF0">
        <w:t>heat-induced burn</w:t>
      </w:r>
      <w:r w:rsidR="002716E4" w:rsidRPr="00237BAF">
        <w:t>:</w:t>
      </w:r>
      <w:bookmarkEnd w:id="18"/>
    </w:p>
    <w:bookmarkEnd w:id="19"/>
    <w:p w:rsidR="001D1106" w:rsidRDefault="001D1106" w:rsidP="001D1106">
      <w:pPr>
        <w:pStyle w:val="LV3"/>
      </w:pPr>
      <w:r>
        <w:t xml:space="preserve">means an injury to the skin and external body covering tissues due to transfer of energy into the tissue with external contact with flame, or heat; and </w:t>
      </w:r>
    </w:p>
    <w:p w:rsidR="001D1106" w:rsidRDefault="001D1106" w:rsidP="001D1106">
      <w:pPr>
        <w:pStyle w:val="LV3"/>
      </w:pPr>
      <w:r>
        <w:t xml:space="preserve">includes burns of deep tissues and organs that are part of a multiple burn injury that includes injury to the skin and external body covering tissues; and  </w:t>
      </w:r>
    </w:p>
    <w:p w:rsidR="001D1106" w:rsidRDefault="001D1106" w:rsidP="001D1106">
      <w:pPr>
        <w:pStyle w:val="LV3"/>
      </w:pPr>
      <w:r>
        <w:t>excludes:</w:t>
      </w:r>
    </w:p>
    <w:p w:rsidR="001D1106" w:rsidRDefault="001D1106" w:rsidP="001D1106">
      <w:pPr>
        <w:pStyle w:val="LV4"/>
      </w:pPr>
      <w:r>
        <w:t>freezing cold injury (frostbite);</w:t>
      </w:r>
    </w:p>
    <w:p w:rsidR="001D1106" w:rsidRDefault="001D1106" w:rsidP="001D1106">
      <w:pPr>
        <w:pStyle w:val="LV4"/>
      </w:pPr>
      <w:r>
        <w:t>electrical contact or electrical flash burns (electrical injury);</w:t>
      </w:r>
    </w:p>
    <w:p w:rsidR="001D1106" w:rsidRDefault="001D1106" w:rsidP="001D1106">
      <w:pPr>
        <w:pStyle w:val="LV4"/>
      </w:pPr>
      <w:r>
        <w:lastRenderedPageBreak/>
        <w:t>chemical burns;</w:t>
      </w:r>
    </w:p>
    <w:p w:rsidR="001D1106" w:rsidRDefault="001D1106" w:rsidP="001D1106">
      <w:pPr>
        <w:pStyle w:val="LV4"/>
      </w:pPr>
      <w:r>
        <w:t>radiation burns due to ionising radiation;</w:t>
      </w:r>
    </w:p>
    <w:p w:rsidR="001D1106" w:rsidRDefault="001D1106" w:rsidP="001D1106">
      <w:pPr>
        <w:pStyle w:val="LV4"/>
      </w:pPr>
      <w:r>
        <w:t>isolated retinal burn of the eye;</w:t>
      </w:r>
    </w:p>
    <w:p w:rsidR="001D1106" w:rsidRDefault="001D1106" w:rsidP="001D1106">
      <w:pPr>
        <w:pStyle w:val="LV4"/>
      </w:pPr>
      <w:proofErr w:type="spellStart"/>
      <w:r>
        <w:t>photocontact</w:t>
      </w:r>
      <w:proofErr w:type="spellEnd"/>
      <w:r>
        <w:t xml:space="preserve"> dermatitis;</w:t>
      </w:r>
    </w:p>
    <w:p w:rsidR="001D1106" w:rsidRDefault="001D1106" w:rsidP="001D1106">
      <w:pPr>
        <w:pStyle w:val="LV4"/>
      </w:pPr>
      <w:r>
        <w:t xml:space="preserve">friction burns (abrasion); and </w:t>
      </w:r>
    </w:p>
    <w:p w:rsidR="001D1106" w:rsidRDefault="001D1106" w:rsidP="001D1106">
      <w:pPr>
        <w:pStyle w:val="LV4"/>
      </w:pPr>
      <w:proofErr w:type="gramStart"/>
      <w:r>
        <w:t>isolated</w:t>
      </w:r>
      <w:proofErr w:type="gramEnd"/>
      <w:r>
        <w:t xml:space="preserve"> burn of the internal body organs such as the respiratory tract, gastrointestinal tract and internal genitourinary tract.</w:t>
      </w:r>
    </w:p>
    <w:p w:rsidR="001D1106" w:rsidRDefault="001D1106" w:rsidP="001D1106">
      <w:pPr>
        <w:pStyle w:val="NOTE"/>
      </w:pPr>
      <w:r>
        <w:t xml:space="preserve">Note 1: flame and heat burns may include the effects of incendiary devices such as white phosphorous grenades and rockets. </w:t>
      </w:r>
    </w:p>
    <w:p w:rsidR="001D1106" w:rsidRDefault="001D1106" w:rsidP="001D1106">
      <w:pPr>
        <w:pStyle w:val="NOTE"/>
      </w:pPr>
      <w:r>
        <w:t xml:space="preserve">Note 2: heat-induced burn may include a systemic response of the body with systemic inflammation and vascular shock. 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FB2BF0" w:rsidRPr="00FB2BF0">
        <w:rPr>
          <w:b/>
        </w:rPr>
        <w:t>heat-induced burn</w:t>
      </w:r>
    </w:p>
    <w:p w:rsidR="008F572A" w:rsidRPr="00237BAF" w:rsidRDefault="008F572A" w:rsidP="005D6D98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FB2BF0" w:rsidRPr="00FB2BF0">
        <w:t>heat-induced burn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2A3353">
        <w:t>'</w:t>
      </w:r>
      <w:r w:rsidRPr="00D5620B">
        <w:t>s</w:t>
      </w:r>
      <w:r w:rsidR="002F77A1">
        <w:t xml:space="preserve"> </w:t>
      </w:r>
      <w:r w:rsidR="00FB2BF0" w:rsidRPr="00FB2BF0">
        <w:t>heat-induced burn</w:t>
      </w:r>
      <w:r w:rsidRPr="00D5620B">
        <w:t>.</w:t>
      </w:r>
    </w:p>
    <w:p w:rsidR="007C7DEE" w:rsidRPr="00046E67" w:rsidRDefault="00046E67" w:rsidP="005D6D98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D268C6">
        <w:t>–</w:t>
      </w:r>
      <w:r w:rsidR="00D32F71">
        <w:t xml:space="preserve"> </w:t>
      </w:r>
      <w:r w:rsidR="00885EAB" w:rsidRPr="00046E67">
        <w:t>Dictionary</w:t>
      </w:r>
      <w:r w:rsidR="00D268C6">
        <w:t>.</w:t>
      </w:r>
    </w:p>
    <w:p w:rsidR="007C7DEE" w:rsidRPr="00A20CA1" w:rsidRDefault="007C7DEE" w:rsidP="005D6D98">
      <w:pPr>
        <w:pStyle w:val="LV1"/>
      </w:pPr>
      <w:bookmarkStart w:id="20" w:name="_Toc512512508"/>
      <w:r w:rsidRPr="00A20CA1">
        <w:t>Basis for determining the factors</w:t>
      </w:r>
      <w:bookmarkEnd w:id="20"/>
    </w:p>
    <w:p w:rsidR="007C7DEE" w:rsidRPr="00237BAF" w:rsidRDefault="00F863D4" w:rsidP="005D6D98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FB2BF0" w:rsidRPr="00FB2BF0">
        <w:t>heat-induced burn</w:t>
      </w:r>
      <w:r>
        <w:t xml:space="preserve"> </w:t>
      </w:r>
      <w:r w:rsidRPr="00D5620B">
        <w:t>and death from</w:t>
      </w:r>
      <w:r>
        <w:t xml:space="preserve"> </w:t>
      </w:r>
      <w:r w:rsidR="00FB2BF0" w:rsidRPr="00FB2BF0">
        <w:t>heat-induced burn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5D6D98" w:rsidRPr="00046E67" w:rsidRDefault="005D6D98" w:rsidP="005D6D98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5D6D98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12512509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5D6D98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FB2BF0" w:rsidRPr="00FB2BF0">
        <w:t>heat-induced burn</w:t>
      </w:r>
      <w:r w:rsidR="007A3989">
        <w:t xml:space="preserve"> </w:t>
      </w:r>
      <w:r w:rsidR="007C7DEE" w:rsidRPr="00AA6D8B">
        <w:t xml:space="preserve">or death from </w:t>
      </w:r>
      <w:r w:rsidR="00FB2BF0" w:rsidRPr="00FB2BF0">
        <w:t>heat-induced burn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2A3353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5D6D98" w:rsidRPr="00046E67" w:rsidRDefault="001D1106" w:rsidP="001D1106">
      <w:pPr>
        <w:pStyle w:val="LV2"/>
      </w:pPr>
      <w:bookmarkStart w:id="26" w:name="_Ref402530260"/>
      <w:bookmarkStart w:id="27" w:name="_Ref409598844"/>
      <w:r w:rsidRPr="001D1106">
        <w:t>having exposure to a heat source sufficient to cause at least erythema at the affected area of the body at the time o</w:t>
      </w:r>
      <w:r>
        <w:t>f the clinical onset of heat-induced</w:t>
      </w:r>
      <w:r w:rsidRPr="001D1106">
        <w:t xml:space="preserve"> burn;</w:t>
      </w:r>
      <w:r w:rsidR="005D6D98" w:rsidRPr="00046E67">
        <w:tab/>
      </w:r>
      <w:r w:rsidR="005D6D98">
        <w:t xml:space="preserve"> </w:t>
      </w:r>
    </w:p>
    <w:p w:rsidR="005D6D98" w:rsidRPr="008E76DC" w:rsidRDefault="00174686" w:rsidP="00174686">
      <w:pPr>
        <w:pStyle w:val="LV2"/>
      </w:pPr>
      <w:r w:rsidRPr="00174686">
        <w:t>having exposure to high intensity, focussed ultrasound sufficient to cause at least erythema at the affected area of the body at the time of the clinical onset of heat-induced burn;</w:t>
      </w:r>
    </w:p>
    <w:p w:rsidR="00174686" w:rsidRDefault="00174686" w:rsidP="00174686">
      <w:pPr>
        <w:pStyle w:val="LV2"/>
      </w:pPr>
      <w:r>
        <w:t>having exposure to ultraviolet radiation sufficient to cause at least erythema at the affected area of the body at the time of the clinical onset of heat-induced burn;</w:t>
      </w:r>
    </w:p>
    <w:p w:rsidR="00174686" w:rsidRPr="00174686" w:rsidRDefault="00174686" w:rsidP="00174686">
      <w:pPr>
        <w:pStyle w:val="NOTE"/>
      </w:pPr>
      <w:r w:rsidRPr="00174686">
        <w:t>Note: Some examples of potential ultraviolet radiation exposure include sun exposure, electric welding arc exposure, and PUVA therapy for skin conditions.</w:t>
      </w:r>
    </w:p>
    <w:p w:rsidR="00174686" w:rsidRDefault="00174686" w:rsidP="00174686">
      <w:pPr>
        <w:pStyle w:val="LV2"/>
      </w:pPr>
      <w:r w:rsidRPr="00174686">
        <w:lastRenderedPageBreak/>
        <w:t>having exposure to solar radiation sufficient to cause at least erythema at the affected area of the body at the time of the clinical onset of heat-induced burn;</w:t>
      </w:r>
    </w:p>
    <w:p w:rsidR="00174686" w:rsidRDefault="00174686" w:rsidP="00174686">
      <w:pPr>
        <w:pStyle w:val="LV2"/>
      </w:pPr>
      <w:r w:rsidRPr="00174686">
        <w:t>having laser applied, sufficient to cause at least erythema, at the affected area of the body at the time of the clinical onset of heat-induced burn;</w:t>
      </w:r>
    </w:p>
    <w:p w:rsidR="00174686" w:rsidRDefault="00174686" w:rsidP="00174686">
      <w:pPr>
        <w:pStyle w:val="LV2"/>
      </w:pPr>
      <w:r w:rsidRPr="00174686">
        <w:t>having exposure to infrared radiation sufficient to cause at least erythema at the affected area of the body at the time of the clinical onset of heat-induced burn;</w:t>
      </w:r>
    </w:p>
    <w:p w:rsidR="00174686" w:rsidRDefault="00174686" w:rsidP="00174686">
      <w:pPr>
        <w:pStyle w:val="LV2"/>
      </w:pPr>
      <w:r w:rsidRPr="00174686">
        <w:t>having exposure to radiofrequency or microwave radiation sufficient to cause at least erythema at the affected area of the body at the time of the clinical onset of heat-induced burn;</w:t>
      </w:r>
    </w:p>
    <w:p w:rsidR="007C7DEE" w:rsidRPr="008D1B8B" w:rsidRDefault="007C7DEE" w:rsidP="005D6D98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6"/>
      <w:r w:rsidR="007A3989">
        <w:t xml:space="preserve"> </w:t>
      </w:r>
      <w:r w:rsidR="00FB2BF0" w:rsidRPr="00FB2BF0">
        <w:t>heat-induced burn</w:t>
      </w:r>
      <w:r w:rsidR="00174686">
        <w:t xml:space="preserve"> before the clinical worsening of heat-induced burn</w:t>
      </w:r>
      <w:r w:rsidR="00D5620B" w:rsidRPr="008D1B8B">
        <w:t>.</w:t>
      </w:r>
      <w:bookmarkEnd w:id="27"/>
    </w:p>
    <w:p w:rsidR="000C21A3" w:rsidRPr="00684C0E" w:rsidRDefault="00D32F71" w:rsidP="005D6D98">
      <w:pPr>
        <w:pStyle w:val="LV1"/>
      </w:pPr>
      <w:bookmarkStart w:id="28" w:name="_Toc512512510"/>
      <w:bookmarkStart w:id="29" w:name="_Ref40253005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5D6D98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5D6D98">
      <w:pPr>
        <w:pStyle w:val="LV2"/>
      </w:pPr>
      <w:r w:rsidRPr="00187DE1">
        <w:t xml:space="preserve">The factor set out in </w:t>
      </w:r>
      <w:r w:rsidR="00174686">
        <w:t>subsection</w:t>
      </w:r>
      <w:r w:rsidR="00FF1D47">
        <w:t xml:space="preserve"> </w:t>
      </w:r>
      <w:r w:rsidR="00DA3996">
        <w:t>9</w:t>
      </w:r>
      <w:r w:rsidR="00174686">
        <w:t>(8</w:t>
      </w:r>
      <w:r w:rsidR="00FF1D47">
        <w:t xml:space="preserve">) </w:t>
      </w:r>
      <w:r w:rsidRPr="00187DE1">
        <w:t xml:space="preserve">applies only to material contribution to, or aggravation of, </w:t>
      </w:r>
      <w:r w:rsidR="00FB2BF0" w:rsidRPr="00FB2BF0">
        <w:t>heat-induced burn</w:t>
      </w:r>
      <w:r w:rsidR="007A3989">
        <w:t xml:space="preserve"> </w:t>
      </w:r>
      <w:r w:rsidRPr="00187DE1">
        <w:t>where the person</w:t>
      </w:r>
      <w:r w:rsidR="002A3353">
        <w:t>'</w:t>
      </w:r>
      <w:r w:rsidRPr="00187DE1">
        <w:t xml:space="preserve">s </w:t>
      </w:r>
      <w:r w:rsidR="00FB2BF0" w:rsidRPr="00FB2BF0">
        <w:t>heat-induced burn</w:t>
      </w:r>
      <w:r w:rsidR="007A3989">
        <w:t xml:space="preserve"> </w:t>
      </w:r>
      <w:r w:rsidRPr="00187DE1">
        <w:t>was suffered or contracted before or during (but did not arise out of) the person</w:t>
      </w:r>
      <w:r w:rsidR="002A3353">
        <w:t>'</w:t>
      </w:r>
      <w:r w:rsidRPr="00187DE1">
        <w:t xml:space="preserve">s relevant service. </w:t>
      </w:r>
    </w:p>
    <w:p w:rsidR="00774897" w:rsidRPr="00301C54" w:rsidRDefault="00774897" w:rsidP="005D6D98">
      <w:pPr>
        <w:pStyle w:val="LV1"/>
      </w:pPr>
      <w:bookmarkStart w:id="30" w:name="_Toc512512511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5D6D98">
      <w:pPr>
        <w:pStyle w:val="PlainIndent"/>
      </w:pPr>
      <w:r w:rsidRPr="00E64EE4">
        <w:t>In this Statement of Principles:</w:t>
      </w:r>
    </w:p>
    <w:p w:rsidR="00F03C06" w:rsidRPr="00E64EE4" w:rsidRDefault="00F03C06" w:rsidP="005D6D98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5D6D98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5D6D98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5D6D98">
      <w:pPr>
        <w:pStyle w:val="PlainIndent"/>
      </w:pPr>
    </w:p>
    <w:p w:rsidR="00081B7C" w:rsidRPr="00FA33FB" w:rsidRDefault="00081B7C" w:rsidP="005D6D98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D6D98">
      <w:pPr>
        <w:pStyle w:val="PlainIndent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12512512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4" w:name="_Toc405472918"/>
      <w:bookmarkStart w:id="35" w:name="_Toc512512513"/>
      <w:r w:rsidRPr="00D97BB3">
        <w:t>Definitions</w:t>
      </w:r>
      <w:bookmarkEnd w:id="34"/>
      <w:bookmarkEnd w:id="35"/>
    </w:p>
    <w:p w:rsidR="00702C42" w:rsidRPr="00516768" w:rsidRDefault="00702C42" w:rsidP="005D6D98">
      <w:pPr>
        <w:pStyle w:val="SH2"/>
      </w:pPr>
      <w:r w:rsidRPr="00516768">
        <w:t>In this instrument:</w:t>
      </w:r>
    </w:p>
    <w:p w:rsidR="00260228" w:rsidRPr="00260228" w:rsidRDefault="00FB2BF0" w:rsidP="00260228">
      <w:pPr>
        <w:pStyle w:val="SH3"/>
      </w:pPr>
      <w:bookmarkStart w:id="36" w:name="_Ref402530810"/>
      <w:proofErr w:type="gramStart"/>
      <w:r w:rsidRPr="00FB2BF0">
        <w:rPr>
          <w:b/>
          <w:i/>
        </w:rPr>
        <w:t>heat-induced</w:t>
      </w:r>
      <w:proofErr w:type="gramEnd"/>
      <w:r w:rsidRPr="00FB2BF0">
        <w:rPr>
          <w:b/>
          <w:i/>
        </w:rPr>
        <w:t xml:space="preserve"> burn</w:t>
      </w:r>
      <w:r w:rsidR="00260228" w:rsidRPr="00260228">
        <w:t>—see subsection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90262E" w:rsidRPr="0090262E" w:rsidRDefault="0090262E" w:rsidP="0090262E">
      <w:pPr>
        <w:pStyle w:val="SH3"/>
        <w:ind w:left="851" w:hanging="851"/>
      </w:pPr>
      <w:bookmarkStart w:id="37" w:name="_Ref402529607"/>
      <w:bookmarkEnd w:id="36"/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7C627D" w:rsidRPr="007C627D" w:rsidRDefault="007C627D" w:rsidP="005D6D98">
      <w:pPr>
        <w:pStyle w:val="ScheduleNote"/>
      </w:pPr>
      <w:r w:rsidRPr="007C627D">
        <w:t xml:space="preserve">Note: </w:t>
      </w:r>
      <w:r w:rsidRPr="007C627D">
        <w:rPr>
          <w:b/>
          <w:i/>
        </w:rPr>
        <w:t>MRCA</w:t>
      </w:r>
      <w:r w:rsidRPr="007C627D">
        <w:t xml:space="preserve"> and </w:t>
      </w:r>
      <w:r w:rsidRPr="007C627D">
        <w:rPr>
          <w:b/>
          <w:i/>
        </w:rPr>
        <w:t>VEA</w:t>
      </w:r>
      <w:r w:rsidR="007F1AA0">
        <w:t xml:space="preserve"> are</w:t>
      </w:r>
      <w:r w:rsidRPr="007C627D">
        <w:t xml:space="preserve">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D0417B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  <w:bookmarkStart w:id="38" w:name="_GoBack"/>
      <w:bookmarkEnd w:id="38"/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Pr="00FD775E" w:rsidRDefault="00CF2367" w:rsidP="00FD775E">
      <w:pPr>
        <w:tabs>
          <w:tab w:val="left" w:pos="7485"/>
        </w:tabs>
      </w:pPr>
    </w:p>
    <w:sectPr w:rsidR="00CF2367" w:rsidRP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BE28AA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BE28AA" w:rsidRDefault="00FB2BF0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FB2BF0">
            <w:rPr>
              <w:i/>
              <w:sz w:val="18"/>
              <w:szCs w:val="18"/>
            </w:rPr>
            <w:t>Heat-Induced Burn</w:t>
          </w:r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Pr="00FB2BF0">
            <w:rPr>
              <w:i/>
              <w:sz w:val="18"/>
              <w:szCs w:val="18"/>
            </w:rPr>
            <w:t>1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Pr="00FB2BF0">
            <w:rPr>
              <w:i/>
              <w:sz w:val="18"/>
              <w:szCs w:val="18"/>
            </w:rPr>
            <w:t>2024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D0A2B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7D0A2B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BE28AA" w:rsidRDefault="00F03C06" w:rsidP="00BE2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BE28AA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BE28AA" w:rsidRDefault="00FB2BF0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FB2BF0">
            <w:rPr>
              <w:i/>
              <w:sz w:val="18"/>
              <w:szCs w:val="18"/>
            </w:rPr>
            <w:t>Heat-Induced Burn</w:t>
          </w:r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Pr="00FB2BF0">
            <w:rPr>
              <w:i/>
              <w:sz w:val="18"/>
              <w:szCs w:val="18"/>
            </w:rPr>
            <w:t>1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Pr="00FB2BF0">
            <w:rPr>
              <w:i/>
              <w:sz w:val="18"/>
              <w:szCs w:val="18"/>
            </w:rPr>
            <w:t>2024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D0A2B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7D0A2B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BE28AA" w:rsidRDefault="007F2378" w:rsidP="00BE28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BE28AA" w:rsidRDefault="00997416" w:rsidP="00BE28A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66A6F" w:rsidRDefault="00885EAB" w:rsidP="00A66A6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E4950" w:rsidRDefault="00BE28AA" w:rsidP="00EE495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Default="00BE28AA" w:rsidP="00BE28AA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BE28AA" w:rsidRDefault="00BE28AA" w:rsidP="00BE28AA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C9CC252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60B95976"/>
    <w:multiLevelType w:val="hybridMultilevel"/>
    <w:tmpl w:val="5C4437FE"/>
    <w:lvl w:ilvl="0" w:tplc="6428A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062"/>
    <w:rsid w:val="00032E05"/>
    <w:rsid w:val="000437C1"/>
    <w:rsid w:val="00046B3C"/>
    <w:rsid w:val="00046E67"/>
    <w:rsid w:val="00051B75"/>
    <w:rsid w:val="0005365D"/>
    <w:rsid w:val="000539B6"/>
    <w:rsid w:val="00054930"/>
    <w:rsid w:val="000614BF"/>
    <w:rsid w:val="00061E3E"/>
    <w:rsid w:val="00081B7C"/>
    <w:rsid w:val="00085567"/>
    <w:rsid w:val="0008674F"/>
    <w:rsid w:val="00086762"/>
    <w:rsid w:val="00097FDF"/>
    <w:rsid w:val="000A3D68"/>
    <w:rsid w:val="000B1350"/>
    <w:rsid w:val="000B58FA"/>
    <w:rsid w:val="000C21A3"/>
    <w:rsid w:val="000C664A"/>
    <w:rsid w:val="000C6D96"/>
    <w:rsid w:val="000D05EF"/>
    <w:rsid w:val="000D0A7E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74686"/>
    <w:rsid w:val="001809D7"/>
    <w:rsid w:val="001833C8"/>
    <w:rsid w:val="00187DE1"/>
    <w:rsid w:val="0019084F"/>
    <w:rsid w:val="001939E1"/>
    <w:rsid w:val="00194C3E"/>
    <w:rsid w:val="00195382"/>
    <w:rsid w:val="001A0BF4"/>
    <w:rsid w:val="001A1438"/>
    <w:rsid w:val="001A3746"/>
    <w:rsid w:val="001B0F26"/>
    <w:rsid w:val="001C2AD2"/>
    <w:rsid w:val="001C61C5"/>
    <w:rsid w:val="001C69C4"/>
    <w:rsid w:val="001C77EE"/>
    <w:rsid w:val="001D1106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1530"/>
    <w:rsid w:val="00206C4D"/>
    <w:rsid w:val="0021053C"/>
    <w:rsid w:val="002109B9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0228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85992"/>
    <w:rsid w:val="00297ECB"/>
    <w:rsid w:val="002A1ECC"/>
    <w:rsid w:val="002A3353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3C1B"/>
    <w:rsid w:val="002F5948"/>
    <w:rsid w:val="002F77A1"/>
    <w:rsid w:val="00301C54"/>
    <w:rsid w:val="00304166"/>
    <w:rsid w:val="00304D22"/>
    <w:rsid w:val="00304F8B"/>
    <w:rsid w:val="00314144"/>
    <w:rsid w:val="0031709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353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035"/>
    <w:rsid w:val="00537FBC"/>
    <w:rsid w:val="00545116"/>
    <w:rsid w:val="0055330F"/>
    <w:rsid w:val="005574D1"/>
    <w:rsid w:val="00562115"/>
    <w:rsid w:val="00571FBB"/>
    <w:rsid w:val="00575A90"/>
    <w:rsid w:val="0058442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D6D98"/>
    <w:rsid w:val="005E26FD"/>
    <w:rsid w:val="005E589B"/>
    <w:rsid w:val="005E7FC2"/>
    <w:rsid w:val="005F4EDC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95EFE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0EAC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973D1"/>
    <w:rsid w:val="007A15B1"/>
    <w:rsid w:val="007A3989"/>
    <w:rsid w:val="007B132E"/>
    <w:rsid w:val="007C2253"/>
    <w:rsid w:val="007C5CE0"/>
    <w:rsid w:val="007C627D"/>
    <w:rsid w:val="007C7DEE"/>
    <w:rsid w:val="007D0A2B"/>
    <w:rsid w:val="007D3BA2"/>
    <w:rsid w:val="007E163D"/>
    <w:rsid w:val="007E667A"/>
    <w:rsid w:val="007F1AA0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473F7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3F25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A4373"/>
    <w:rsid w:val="009A7FBD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2ACF"/>
    <w:rsid w:val="00A56C3D"/>
    <w:rsid w:val="00A6070D"/>
    <w:rsid w:val="00A64912"/>
    <w:rsid w:val="00A64BA1"/>
    <w:rsid w:val="00A66A6F"/>
    <w:rsid w:val="00A70A74"/>
    <w:rsid w:val="00A77E0D"/>
    <w:rsid w:val="00A931D7"/>
    <w:rsid w:val="00AA64D6"/>
    <w:rsid w:val="00AA6D8B"/>
    <w:rsid w:val="00AA7E81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93894"/>
    <w:rsid w:val="00BA220B"/>
    <w:rsid w:val="00BA3A57"/>
    <w:rsid w:val="00BA691F"/>
    <w:rsid w:val="00BB040B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28AA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0C3C"/>
    <w:rsid w:val="00C31DF8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417B"/>
    <w:rsid w:val="00D050E6"/>
    <w:rsid w:val="00D13441"/>
    <w:rsid w:val="00D150E7"/>
    <w:rsid w:val="00D268C6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1B09"/>
    <w:rsid w:val="00E3270E"/>
    <w:rsid w:val="00E338EF"/>
    <w:rsid w:val="00E35C4E"/>
    <w:rsid w:val="00E544BB"/>
    <w:rsid w:val="00E55F66"/>
    <w:rsid w:val="00E64EE4"/>
    <w:rsid w:val="00E65BB9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E4950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2BF0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5D6D98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5D6D98"/>
    <w:pPr>
      <w:numPr>
        <w:numId w:val="4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5D6D98"/>
    <w:pPr>
      <w:numPr>
        <w:ilvl w:val="1"/>
        <w:numId w:val="4"/>
      </w:numPr>
      <w:ind w:left="1418"/>
    </w:pPr>
  </w:style>
  <w:style w:type="paragraph" w:customStyle="1" w:styleId="LV3">
    <w:name w:val="LV 3"/>
    <w:basedOn w:val="PlainIndent"/>
    <w:autoRedefine/>
    <w:qFormat/>
    <w:rsid w:val="005D6D98"/>
    <w:pPr>
      <w:numPr>
        <w:ilvl w:val="2"/>
        <w:numId w:val="4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E65BB9"/>
    <w:pPr>
      <w:spacing w:before="200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5D6D98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5D6D98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5D6D98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5D6D98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5D6D98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5D6D98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5D6D98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5D6D98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1109</Words>
  <Characters>6322</Characters>
  <Application>Microsoft Office Word</Application>
  <DocSecurity>0</DocSecurity>
  <PresentationFormat/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2023-12-11T04:13:00Z</dcterms:created>
  <dcterms:modified xsi:type="dcterms:W3CDTF">2023-12-22T00:01:00Z</dcterms:modified>
  <cp:category/>
  <cp:contentStatus/>
  <dc:language/>
  <cp:version/>
</cp:coreProperties>
</file>