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69940" w14:textId="77777777"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1894EE15" wp14:editId="247E5C3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E425" w14:textId="77777777" w:rsidR="00715914" w:rsidRPr="00FA33FB" w:rsidRDefault="00715914" w:rsidP="00715914">
      <w:pPr>
        <w:rPr>
          <w:sz w:val="19"/>
        </w:rPr>
      </w:pPr>
    </w:p>
    <w:p w14:paraId="1BAA4C9D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6F49EF89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2774612" w14:textId="77777777" w:rsidR="00054930" w:rsidRDefault="00D51E0A" w:rsidP="006647B7">
      <w:pPr>
        <w:pStyle w:val="Plainheader"/>
      </w:pPr>
      <w:bookmarkStart w:id="0" w:name="SoP_Name_Title"/>
      <w:r>
        <w:t>ACHILLES TENDIN</w:t>
      </w:r>
      <w:r w:rsidR="00F83264">
        <w:t>OP</w:t>
      </w:r>
      <w:r>
        <w:t>ATHY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34C7D836" w14:textId="5F9A2719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E64476">
        <w:t>86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51E0A">
        <w:t>2024</w:t>
      </w:r>
      <w:bookmarkEnd w:id="2"/>
      <w:r w:rsidRPr="00024911">
        <w:t>)</w:t>
      </w:r>
    </w:p>
    <w:p w14:paraId="71BE67E2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0A438E5" w14:textId="77777777" w:rsidR="00F97A62" w:rsidRPr="00E65BB9" w:rsidRDefault="00F97A62" w:rsidP="00F97A62">
      <w:pPr>
        <w:rPr>
          <w:lang w:eastAsia="en-AU"/>
        </w:rPr>
      </w:pPr>
    </w:p>
    <w:p w14:paraId="27278355" w14:textId="5908AE7E"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E64476">
        <w:rPr>
          <w:b w:val="0"/>
        </w:rPr>
        <w:t xml:space="preserve">  </w:t>
      </w:r>
      <w:r w:rsidRPr="00E65BB9">
        <w:rPr>
          <w:b w:val="0"/>
        </w:rPr>
        <w:tab/>
      </w:r>
      <w:r w:rsidR="00E64476">
        <w:rPr>
          <w:b w:val="0"/>
        </w:rPr>
        <w:t>18 October 2024.</w:t>
      </w:r>
    </w:p>
    <w:p w14:paraId="31E61B10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63A8FDB7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651A4B91" w14:textId="77777777" w:rsidR="00EE4950" w:rsidRPr="00E65BB9" w:rsidRDefault="00EE4950" w:rsidP="00E65BB9">
      <w:pPr>
        <w:pStyle w:val="Plain"/>
        <w:spacing w:before="0"/>
        <w:rPr>
          <w:b w:val="0"/>
        </w:rPr>
      </w:pPr>
    </w:p>
    <w:p w14:paraId="3CD1DDB5" w14:textId="77777777" w:rsidR="00EE4950" w:rsidRDefault="00EE4950" w:rsidP="00E65BB9">
      <w:pPr>
        <w:pStyle w:val="Plain"/>
        <w:spacing w:before="0"/>
        <w:rPr>
          <w:b w:val="0"/>
        </w:rPr>
      </w:pPr>
    </w:p>
    <w:p w14:paraId="5A332F09" w14:textId="77777777" w:rsidR="007D1CF1" w:rsidRDefault="007D1CF1" w:rsidP="00E65BB9">
      <w:pPr>
        <w:pStyle w:val="Plain"/>
        <w:spacing w:before="0"/>
        <w:rPr>
          <w:b w:val="0"/>
        </w:rPr>
      </w:pPr>
    </w:p>
    <w:p w14:paraId="78A054A4" w14:textId="77777777" w:rsidR="007D1CF1" w:rsidRDefault="007D1CF1" w:rsidP="00E65BB9">
      <w:pPr>
        <w:pStyle w:val="Plain"/>
        <w:spacing w:before="0"/>
        <w:rPr>
          <w:b w:val="0"/>
        </w:rPr>
      </w:pPr>
    </w:p>
    <w:p w14:paraId="39DC18C1" w14:textId="77777777" w:rsidR="007D1CF1" w:rsidRDefault="007D1CF1" w:rsidP="00E65BB9">
      <w:pPr>
        <w:pStyle w:val="Plain"/>
        <w:spacing w:before="0"/>
        <w:rPr>
          <w:b w:val="0"/>
        </w:rPr>
      </w:pPr>
    </w:p>
    <w:p w14:paraId="4BAE83A5" w14:textId="77777777" w:rsidR="007D1CF1" w:rsidRDefault="007D1CF1" w:rsidP="00E65BB9">
      <w:pPr>
        <w:pStyle w:val="Plain"/>
        <w:spacing w:before="0"/>
        <w:rPr>
          <w:b w:val="0"/>
        </w:rPr>
      </w:pPr>
    </w:p>
    <w:p w14:paraId="00FD417D" w14:textId="77777777" w:rsidR="007D1CF1" w:rsidRDefault="007D1CF1" w:rsidP="00E65BB9">
      <w:pPr>
        <w:pStyle w:val="Plain"/>
        <w:spacing w:before="0"/>
        <w:rPr>
          <w:b w:val="0"/>
        </w:rPr>
      </w:pPr>
    </w:p>
    <w:p w14:paraId="0EC60525" w14:textId="77777777" w:rsidR="007D1CF1" w:rsidRDefault="007D1CF1" w:rsidP="00E65BB9">
      <w:pPr>
        <w:pStyle w:val="Plain"/>
        <w:spacing w:before="0"/>
        <w:rPr>
          <w:b w:val="0"/>
        </w:rPr>
      </w:pPr>
    </w:p>
    <w:p w14:paraId="5DC020C7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2EB64A73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Chairperson</w:t>
      </w:r>
    </w:p>
    <w:p w14:paraId="2252D8F9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by and on behalf of</w:t>
      </w:r>
    </w:p>
    <w:p w14:paraId="5F5A8EF7" w14:textId="77777777" w:rsidR="007D1CF1" w:rsidRPr="007D1CF1" w:rsidRDefault="007D1CF1" w:rsidP="007D1CF1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7D1CF1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302B70A6" w14:textId="77777777" w:rsidR="007D1CF1" w:rsidRPr="00E65BB9" w:rsidRDefault="007D1CF1" w:rsidP="00E65BB9">
      <w:pPr>
        <w:pStyle w:val="Plain"/>
        <w:spacing w:before="0"/>
        <w:rPr>
          <w:b w:val="0"/>
        </w:rPr>
      </w:pPr>
    </w:p>
    <w:p w14:paraId="0D8D5EC2" w14:textId="77777777" w:rsidR="00EE4950" w:rsidRPr="00FA33FB" w:rsidRDefault="00EE4950" w:rsidP="00EE4950"/>
    <w:p w14:paraId="0378F2C6" w14:textId="77777777"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14:paraId="5206558B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580C9780" w14:textId="70B99DCF" w:rsidR="009A43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A4373">
        <w:rPr>
          <w:noProof/>
        </w:rPr>
        <w:t>1</w:t>
      </w:r>
      <w:r w:rsidR="009A43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A4373">
        <w:rPr>
          <w:noProof/>
        </w:rPr>
        <w:t>Name</w:t>
      </w:r>
      <w:r w:rsidR="009A4373">
        <w:rPr>
          <w:noProof/>
        </w:rPr>
        <w:tab/>
      </w:r>
      <w:r w:rsidR="009A4373">
        <w:rPr>
          <w:noProof/>
        </w:rPr>
        <w:fldChar w:fldCharType="begin"/>
      </w:r>
      <w:r w:rsidR="009A4373">
        <w:rPr>
          <w:noProof/>
        </w:rPr>
        <w:instrText xml:space="preserve"> PAGEREF _Toc512512501 \h </w:instrText>
      </w:r>
      <w:r w:rsidR="009A4373">
        <w:rPr>
          <w:noProof/>
        </w:rPr>
      </w:r>
      <w:r w:rsidR="009A4373">
        <w:rPr>
          <w:noProof/>
        </w:rPr>
        <w:fldChar w:fldCharType="separate"/>
      </w:r>
      <w:r w:rsidR="00F05F04">
        <w:rPr>
          <w:noProof/>
        </w:rPr>
        <w:t>3</w:t>
      </w:r>
      <w:r w:rsidR="009A4373">
        <w:rPr>
          <w:noProof/>
        </w:rPr>
        <w:fldChar w:fldCharType="end"/>
      </w:r>
    </w:p>
    <w:p w14:paraId="761CF9D1" w14:textId="311E4FEC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_Toc512512502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3</w:t>
      </w:r>
      <w:r>
        <w:rPr>
          <w:noProof/>
        </w:rPr>
        <w:fldChar w:fldCharType="end"/>
      </w:r>
    </w:p>
    <w:p w14:paraId="50A8AB7B" w14:textId="06D2F0DC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_Toc512512503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3</w:t>
      </w:r>
      <w:r>
        <w:rPr>
          <w:noProof/>
        </w:rPr>
        <w:fldChar w:fldCharType="end"/>
      </w:r>
    </w:p>
    <w:p w14:paraId="71C75E87" w14:textId="6BC9485C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_Toc512512504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3</w:t>
      </w:r>
      <w:r>
        <w:rPr>
          <w:noProof/>
        </w:rPr>
        <w:fldChar w:fldCharType="end"/>
      </w:r>
    </w:p>
    <w:p w14:paraId="088260E0" w14:textId="5CBA08FB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_Toc512512505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3</w:t>
      </w:r>
      <w:r>
        <w:rPr>
          <w:noProof/>
        </w:rPr>
        <w:fldChar w:fldCharType="end"/>
      </w:r>
    </w:p>
    <w:p w14:paraId="0CCB205C" w14:textId="18C5D230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_Toc512512506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3</w:t>
      </w:r>
      <w:r>
        <w:rPr>
          <w:noProof/>
        </w:rPr>
        <w:fldChar w:fldCharType="end"/>
      </w:r>
    </w:p>
    <w:p w14:paraId="67A518A0" w14:textId="1729C44E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_Toc512512507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3</w:t>
      </w:r>
      <w:r>
        <w:rPr>
          <w:noProof/>
        </w:rPr>
        <w:fldChar w:fldCharType="end"/>
      </w:r>
    </w:p>
    <w:p w14:paraId="43AE9C99" w14:textId="5601B829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_Toc512512508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4</w:t>
      </w:r>
      <w:r>
        <w:rPr>
          <w:noProof/>
        </w:rPr>
        <w:fldChar w:fldCharType="end"/>
      </w:r>
    </w:p>
    <w:p w14:paraId="1CBA77B2" w14:textId="58F464F3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_Toc512512509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4</w:t>
      </w:r>
      <w:r>
        <w:rPr>
          <w:noProof/>
        </w:rPr>
        <w:fldChar w:fldCharType="end"/>
      </w:r>
    </w:p>
    <w:p w14:paraId="388EA089" w14:textId="2D02115E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_Toc512512510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6</w:t>
      </w:r>
      <w:r>
        <w:rPr>
          <w:noProof/>
        </w:rPr>
        <w:fldChar w:fldCharType="end"/>
      </w:r>
    </w:p>
    <w:p w14:paraId="52B17C70" w14:textId="7B915665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_Toc512512511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6</w:t>
      </w:r>
      <w:r>
        <w:rPr>
          <w:noProof/>
        </w:rPr>
        <w:fldChar w:fldCharType="end"/>
      </w:r>
    </w:p>
    <w:p w14:paraId="7DFFB844" w14:textId="1C560B38" w:rsidR="009A4373" w:rsidRDefault="009A43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_Toc512512512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7</w:t>
      </w:r>
      <w:r>
        <w:rPr>
          <w:noProof/>
        </w:rPr>
        <w:fldChar w:fldCharType="end"/>
      </w:r>
    </w:p>
    <w:p w14:paraId="564CF1E7" w14:textId="0E2F64FD" w:rsidR="009A4373" w:rsidRDefault="009A43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_Toc512512513 \h </w:instrText>
      </w:r>
      <w:r>
        <w:rPr>
          <w:noProof/>
        </w:rPr>
      </w:r>
      <w:r>
        <w:rPr>
          <w:noProof/>
        </w:rPr>
        <w:fldChar w:fldCharType="separate"/>
      </w:r>
      <w:r w:rsidR="00F05F04">
        <w:rPr>
          <w:noProof/>
        </w:rPr>
        <w:t>7</w:t>
      </w:r>
      <w:r>
        <w:rPr>
          <w:noProof/>
        </w:rPr>
        <w:fldChar w:fldCharType="end"/>
      </w:r>
    </w:p>
    <w:p w14:paraId="60E905A8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668AD698" w14:textId="77777777" w:rsidR="003A2FFE" w:rsidRDefault="003A2FFE" w:rsidP="003A2FFE">
      <w:pPr>
        <w:tabs>
          <w:tab w:val="left" w:pos="3631"/>
        </w:tabs>
      </w:pPr>
    </w:p>
    <w:p w14:paraId="775779E1" w14:textId="77777777"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71EBA5D2" w14:textId="77777777" w:rsidR="00877AE3" w:rsidRPr="005D6D98" w:rsidRDefault="00877AE3" w:rsidP="005D6D98">
      <w:pPr>
        <w:pStyle w:val="LV1"/>
      </w:pPr>
      <w:bookmarkStart w:id="4" w:name="_Toc512512501"/>
      <w:r w:rsidRPr="005D6D98">
        <w:lastRenderedPageBreak/>
        <w:t>Name</w:t>
      </w:r>
      <w:bookmarkEnd w:id="4"/>
    </w:p>
    <w:p w14:paraId="78455781" w14:textId="612D1590"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A82517">
        <w:rPr>
          <w:i/>
        </w:rPr>
        <w:t>A</w:t>
      </w:r>
      <w:r w:rsidR="00D51E0A">
        <w:rPr>
          <w:i/>
        </w:rPr>
        <w:t>chilles tendinopathy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64476">
        <w:t>86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64476">
        <w:t>2024</w:t>
      </w:r>
      <w:r w:rsidR="00E55F66" w:rsidRPr="00F97A62">
        <w:t>)</w:t>
      </w:r>
      <w:r w:rsidRPr="00F97A62">
        <w:t>.</w:t>
      </w:r>
    </w:p>
    <w:p w14:paraId="173AF790" w14:textId="77777777" w:rsidR="00F67B67" w:rsidRPr="00684C0E" w:rsidRDefault="00F67B67" w:rsidP="005D6D98">
      <w:pPr>
        <w:pStyle w:val="LV1"/>
      </w:pPr>
      <w:bookmarkStart w:id="7" w:name="_Toc512512502"/>
      <w:r w:rsidRPr="00684C0E">
        <w:t>Commencement</w:t>
      </w:r>
      <w:bookmarkEnd w:id="7"/>
    </w:p>
    <w:p w14:paraId="4C3800FD" w14:textId="769ACCF6"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E64476" w:rsidRPr="00E64476">
        <w:t>19 November 2024.</w:t>
      </w:r>
    </w:p>
    <w:p w14:paraId="1B8AD429" w14:textId="77777777" w:rsidR="00F67B67" w:rsidRPr="00684C0E" w:rsidRDefault="00F67B67" w:rsidP="005D6D98">
      <w:pPr>
        <w:pStyle w:val="LV1"/>
      </w:pPr>
      <w:bookmarkStart w:id="8" w:name="_Toc512512503"/>
      <w:r w:rsidRPr="00684C0E">
        <w:t>Authority</w:t>
      </w:r>
      <w:bookmarkEnd w:id="8"/>
    </w:p>
    <w:p w14:paraId="37F9F21A" w14:textId="77777777"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AC994AF" w14:textId="77777777" w:rsidR="00DA3996" w:rsidRPr="00684C0E" w:rsidRDefault="00DA3996" w:rsidP="005D6D98">
      <w:pPr>
        <w:pStyle w:val="LV1"/>
      </w:pPr>
      <w:bookmarkStart w:id="9" w:name="_Toc512512504"/>
      <w:r>
        <w:t>Re</w:t>
      </w:r>
      <w:r w:rsidR="00285992">
        <w:t>peal</w:t>
      </w:r>
      <w:bookmarkEnd w:id="9"/>
    </w:p>
    <w:p w14:paraId="7259AAC1" w14:textId="0E0A3EC7"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05F04">
        <w:t>A</w:t>
      </w:r>
      <w:r w:rsidR="00E64476" w:rsidRPr="00E64476">
        <w:t>chilles tendinopathy</w:t>
      </w:r>
      <w:r w:rsidR="00D51E0A">
        <w:t xml:space="preserve"> and bursitis (</w:t>
      </w:r>
      <w:r w:rsidR="00F05F04">
        <w:t>R</w:t>
      </w:r>
      <w:r w:rsidR="00D51E0A">
        <w:t xml:space="preserve">easonable </w:t>
      </w:r>
      <w:r w:rsidR="00F05F04">
        <w:t>H</w:t>
      </w:r>
      <w:r w:rsidR="00D51E0A">
        <w:t xml:space="preserve">ypothesis) </w:t>
      </w:r>
      <w:r w:rsidR="00F05F04">
        <w:t>(</w:t>
      </w:r>
      <w:r w:rsidR="00D51E0A">
        <w:t>No. 96</w:t>
      </w:r>
      <w:r w:rsidRPr="00DA3996">
        <w:t xml:space="preserve"> of</w:t>
      </w:r>
      <w:r w:rsidR="00D51E0A">
        <w:t xml:space="preserve"> 2015</w:t>
      </w:r>
      <w:r w:rsidR="00F05F04">
        <w:t>)</w:t>
      </w:r>
      <w:r w:rsidR="005E26FD">
        <w:t xml:space="preserve"> </w:t>
      </w:r>
      <w:r w:rsidR="00285992" w:rsidRPr="00786DAE">
        <w:t>(Federal Re</w:t>
      </w:r>
      <w:r w:rsidR="00D51E0A">
        <w:t>gister of Legislation No. F2015L01336</w:t>
      </w:r>
      <w:r w:rsidR="00285992" w:rsidRPr="00786DAE">
        <w:t xml:space="preserve">) </w:t>
      </w:r>
      <w:r w:rsidR="00D51E0A">
        <w:t>made under subsection 196B(2)</w:t>
      </w:r>
      <w:r w:rsidR="00285992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14:paraId="74F89C41" w14:textId="77777777" w:rsidR="007C7DEE" w:rsidRPr="00684C0E" w:rsidRDefault="007C7DEE" w:rsidP="005D6D98">
      <w:pPr>
        <w:pStyle w:val="LV1"/>
      </w:pPr>
      <w:bookmarkStart w:id="10" w:name="_Toc512512505"/>
      <w:r w:rsidRPr="00684C0E">
        <w:t>Application</w:t>
      </w:r>
      <w:bookmarkEnd w:id="10"/>
    </w:p>
    <w:p w14:paraId="008F6A6B" w14:textId="77777777"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8F247A4" w14:textId="77777777" w:rsidR="007C7DEE" w:rsidRPr="00684C0E" w:rsidRDefault="007C7DEE" w:rsidP="005D6D98">
      <w:pPr>
        <w:pStyle w:val="LV1"/>
      </w:pPr>
      <w:bookmarkStart w:id="11" w:name="_Ref410129949"/>
      <w:bookmarkStart w:id="12" w:name="_Toc512512506"/>
      <w:r w:rsidRPr="00684C0E">
        <w:t>Definitions</w:t>
      </w:r>
      <w:bookmarkEnd w:id="11"/>
      <w:bookmarkEnd w:id="12"/>
    </w:p>
    <w:p w14:paraId="21B31DF9" w14:textId="77777777"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6F918BB2" w14:textId="77777777"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25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3DA910A1" w14:textId="0D58C2F4"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E64476" w:rsidRPr="00E64476">
        <w:t>Achilles tendinopathy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64476" w:rsidRPr="00E64476">
        <w:t>Achilles tendinopathy</w:t>
      </w:r>
      <w:r w:rsidRPr="00D5620B">
        <w:t>.</w:t>
      </w:r>
      <w:bookmarkEnd w:id="17"/>
    </w:p>
    <w:p w14:paraId="19EFD45F" w14:textId="489D6444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64476" w:rsidRPr="00E64476">
        <w:rPr>
          <w:b/>
        </w:rPr>
        <w:t>Achilles tendinopathy</w:t>
      </w:r>
    </w:p>
    <w:p w14:paraId="20B2F8DC" w14:textId="5897EAA2" w:rsidR="002716E4" w:rsidRPr="00237BAF" w:rsidRDefault="007C7DEE" w:rsidP="005D6D98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E64476" w:rsidRPr="00E64476">
        <w:t>Achilles tendinopathy</w:t>
      </w:r>
      <w:r w:rsidR="002716E4" w:rsidRPr="00237BAF">
        <w:t>:</w:t>
      </w:r>
      <w:bookmarkEnd w:id="18"/>
    </w:p>
    <w:bookmarkEnd w:id="19"/>
    <w:p w14:paraId="0D01DA2E" w14:textId="77777777" w:rsidR="00AE564B" w:rsidRDefault="00AE564B" w:rsidP="00AE564B">
      <w:pPr>
        <w:pStyle w:val="LV3"/>
      </w:pPr>
      <w:r>
        <w:t>means a symptomatic inflammatory or degenerative disease of the Achilles tendon or paratendon; and</w:t>
      </w:r>
    </w:p>
    <w:p w14:paraId="1B1BCA6A" w14:textId="77777777" w:rsidR="00AE564B" w:rsidRDefault="00AE564B" w:rsidP="00AE564B">
      <w:pPr>
        <w:pStyle w:val="LV3"/>
      </w:pPr>
      <w:r>
        <w:t>includes:</w:t>
      </w:r>
    </w:p>
    <w:p w14:paraId="143104B9" w14:textId="77777777" w:rsidR="00AE564B" w:rsidRDefault="00AE564B" w:rsidP="00AE564B">
      <w:pPr>
        <w:pStyle w:val="LV4"/>
      </w:pPr>
      <w:r>
        <w:t xml:space="preserve">insertional tendinopathy of the Achilles </w:t>
      </w:r>
      <w:proofErr w:type="gramStart"/>
      <w:r>
        <w:t>tendon;</w:t>
      </w:r>
      <w:proofErr w:type="gramEnd"/>
    </w:p>
    <w:p w14:paraId="378EFA3C" w14:textId="77777777" w:rsidR="00AE564B" w:rsidRDefault="00AE564B" w:rsidP="00AE564B">
      <w:pPr>
        <w:pStyle w:val="LV4"/>
      </w:pPr>
      <w:r>
        <w:t xml:space="preserve">mid portion tendinopathy of the Achilles </w:t>
      </w:r>
      <w:proofErr w:type="gramStart"/>
      <w:r>
        <w:t>tendon;</w:t>
      </w:r>
      <w:proofErr w:type="gramEnd"/>
    </w:p>
    <w:p w14:paraId="03229F26" w14:textId="77777777" w:rsidR="00AE564B" w:rsidRDefault="00AE564B" w:rsidP="00AE564B">
      <w:pPr>
        <w:pStyle w:val="LV4"/>
      </w:pPr>
      <w:r>
        <w:t xml:space="preserve">degenerative tears of the Achilles tendon; and </w:t>
      </w:r>
    </w:p>
    <w:p w14:paraId="624035FE" w14:textId="77777777" w:rsidR="00AE564B" w:rsidRDefault="00AE564B" w:rsidP="00AE564B">
      <w:pPr>
        <w:pStyle w:val="LV4"/>
      </w:pPr>
      <w:r>
        <w:t xml:space="preserve">Achilles enthesopathy or enthesitis. </w:t>
      </w:r>
    </w:p>
    <w:p w14:paraId="54642C2A" w14:textId="77777777" w:rsidR="00AE564B" w:rsidRDefault="00AE564B" w:rsidP="00AE564B">
      <w:pPr>
        <w:pStyle w:val="NOTE"/>
      </w:pPr>
      <w:r>
        <w:t xml:space="preserve">Note: Achilles tendinopathy is also known as Achilles tendonitis or </w:t>
      </w:r>
      <w:proofErr w:type="spellStart"/>
      <w:r>
        <w:t>paratendonitis</w:t>
      </w:r>
      <w:proofErr w:type="spellEnd"/>
      <w:r>
        <w:t xml:space="preserve">, Achilles tendinosis or </w:t>
      </w:r>
      <w:proofErr w:type="spellStart"/>
      <w:r>
        <w:t>paratendinosis</w:t>
      </w:r>
      <w:proofErr w:type="spellEnd"/>
      <w:r>
        <w:t xml:space="preserve">. Insertional Achilles tendinopathy is less than 2 cm proximal to the calcaneus and is a separate disease from Achilles enthesopathy, and mid portion Achilles tendinopathy is 2-7 cm proximal to the calcaneal insertion.   </w:t>
      </w:r>
    </w:p>
    <w:p w14:paraId="21FF1E67" w14:textId="19F9623E" w:rsidR="00FD775E" w:rsidRDefault="00237BAF" w:rsidP="00AE564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E64476">
        <w:t>Achilles tendinopathy</w:t>
      </w:r>
    </w:p>
    <w:p w14:paraId="533E1269" w14:textId="4227DA64"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64476" w:rsidRPr="00E64476">
        <w:t>Achilles tendinopathy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E64476" w:rsidRPr="00E64476">
        <w:t>Achilles tendinopathy</w:t>
      </w:r>
      <w:r w:rsidRPr="00D5620B">
        <w:t>.</w:t>
      </w:r>
    </w:p>
    <w:p w14:paraId="0F551A71" w14:textId="77777777"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14:paraId="4EE421CA" w14:textId="77777777" w:rsidR="007C7DEE" w:rsidRPr="00A20CA1" w:rsidRDefault="007C7DEE" w:rsidP="005D6D98">
      <w:pPr>
        <w:pStyle w:val="LV1"/>
      </w:pPr>
      <w:bookmarkStart w:id="20" w:name="_Toc512512508"/>
      <w:r w:rsidRPr="00A20CA1">
        <w:t>Basis for determining the factors</w:t>
      </w:r>
      <w:bookmarkEnd w:id="20"/>
    </w:p>
    <w:p w14:paraId="20F119D4" w14:textId="50C4E4D1"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E64476" w:rsidRPr="00E64476">
        <w:t>Achilles tendinopathy</w:t>
      </w:r>
      <w:r>
        <w:t xml:space="preserve"> </w:t>
      </w:r>
      <w:r w:rsidRPr="00D5620B">
        <w:t>and death from</w:t>
      </w:r>
      <w:r>
        <w:t xml:space="preserve"> </w:t>
      </w:r>
      <w:r w:rsidR="00E64476" w:rsidRPr="00E64476">
        <w:t>Achilles tendinopathy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5C788C84" w14:textId="77777777"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7B38E21" w14:textId="77777777"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250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5E604A39" w14:textId="062CCB9A"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64476" w:rsidRPr="00E64476">
        <w:t>Achilles tendinopathy</w:t>
      </w:r>
      <w:r w:rsidR="007A3989">
        <w:t xml:space="preserve"> </w:t>
      </w:r>
      <w:r w:rsidR="007C7DEE" w:rsidRPr="00AA6D8B">
        <w:t xml:space="preserve">or death from </w:t>
      </w:r>
      <w:r w:rsidR="00E64476" w:rsidRPr="00E64476">
        <w:t>Achilles tendinopathy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2F0C5C6D" w14:textId="10084CBD" w:rsidR="005D6D98" w:rsidRPr="008D1B8B" w:rsidRDefault="00265CD6" w:rsidP="00265CD6">
      <w:pPr>
        <w:pStyle w:val="LV2"/>
      </w:pPr>
      <w:bookmarkStart w:id="26" w:name="_Ref402530260"/>
      <w:bookmarkStart w:id="27" w:name="_Ref409598844"/>
      <w:r w:rsidRPr="00265CD6">
        <w:t>running or jogging an</w:t>
      </w:r>
      <w:r>
        <w:t xml:space="preserve"> average of at least 30</w:t>
      </w:r>
      <w:r w:rsidRPr="00265CD6">
        <w:t xml:space="preserve"> kilometres per week for the 4 </w:t>
      </w:r>
      <w:r>
        <w:t xml:space="preserve">weeks before clinical onset or clinical </w:t>
      </w:r>
      <w:proofErr w:type="gramStart"/>
      <w:r w:rsidRPr="00265CD6">
        <w:t>worsening;</w:t>
      </w:r>
      <w:proofErr w:type="gramEnd"/>
    </w:p>
    <w:p w14:paraId="084294C6" w14:textId="77777777" w:rsidR="00265CD6" w:rsidRDefault="00265CD6" w:rsidP="00265CD6">
      <w:pPr>
        <w:pStyle w:val="LV2"/>
      </w:pPr>
      <w:r>
        <w:t xml:space="preserve">undertaking weight bearing exercise involving repeated activity of the ankle joint on the affected side for: </w:t>
      </w:r>
    </w:p>
    <w:p w14:paraId="7D5214DE" w14:textId="77777777" w:rsidR="00265CD6" w:rsidRDefault="00265CD6" w:rsidP="00265CD6">
      <w:pPr>
        <w:pStyle w:val="LV3"/>
      </w:pPr>
      <w:r>
        <w:t xml:space="preserve">a minimum intensity of 5 METS; and </w:t>
      </w:r>
    </w:p>
    <w:p w14:paraId="50F7778B" w14:textId="77777777" w:rsidR="00265CD6" w:rsidRDefault="00265CD6" w:rsidP="00265CD6">
      <w:pPr>
        <w:pStyle w:val="LV3"/>
      </w:pPr>
      <w:r>
        <w:t xml:space="preserve">for at least 4 hours per week; and </w:t>
      </w:r>
    </w:p>
    <w:p w14:paraId="40B1E2BE" w14:textId="44EAB988" w:rsidR="00265CD6" w:rsidRDefault="00265CD6" w:rsidP="00265CD6">
      <w:pPr>
        <w:pStyle w:val="LV3"/>
      </w:pPr>
      <w:r>
        <w:t xml:space="preserve">for at least the 4 weeks before clinical onset or clinical </w:t>
      </w:r>
      <w:proofErr w:type="gramStart"/>
      <w:r>
        <w:t>worsening;</w:t>
      </w:r>
      <w:proofErr w:type="gramEnd"/>
    </w:p>
    <w:p w14:paraId="0354654C" w14:textId="77777777" w:rsidR="00265CD6" w:rsidRDefault="00265CD6" w:rsidP="00265CD6">
      <w:pPr>
        <w:pStyle w:val="NOTE"/>
      </w:pPr>
      <w:r>
        <w:t>Note 1: Examples of weight bearing exercise involving repeated activity of the ankle joint at a minimum intensity of 5 METS include marching, playing basketball, football, volleyball, and track and field (especially those activities that involve jumping).</w:t>
      </w:r>
    </w:p>
    <w:p w14:paraId="57BED905" w14:textId="77777777" w:rsidR="00265CD6" w:rsidRDefault="0082594C" w:rsidP="00265CD6">
      <w:pPr>
        <w:pStyle w:val="NOTE"/>
      </w:pPr>
      <w:r>
        <w:t xml:space="preserve">Note 2: </w:t>
      </w:r>
      <w:r w:rsidRPr="0082594C">
        <w:t>MET (metabolic equivalent) is a unit of measure of the level of physical capability of the cardiorespiratory system. For example, 1 MET = cardiorespiratory effort associated with a person sitting, 3-4 METs = cardiorespiratory effort associated with a person walking at average walking pa</w:t>
      </w:r>
      <w:r>
        <w:t>ce (5 km/h) or light gardening.</w:t>
      </w:r>
    </w:p>
    <w:p w14:paraId="4F986870" w14:textId="77777777" w:rsidR="00265CD6" w:rsidRDefault="00265CD6" w:rsidP="00265CD6">
      <w:pPr>
        <w:pStyle w:val="LV2"/>
      </w:pPr>
      <w:r>
        <w:t xml:space="preserve">increasing the frequency, duration or intensity of activity involving the ankle joint on the affected side: </w:t>
      </w:r>
    </w:p>
    <w:p w14:paraId="24EB7671" w14:textId="77777777" w:rsidR="00265CD6" w:rsidRDefault="00265CD6" w:rsidP="00265CD6">
      <w:pPr>
        <w:pStyle w:val="LV3"/>
      </w:pPr>
      <w:r>
        <w:t xml:space="preserve">by at least 100 percent; and </w:t>
      </w:r>
    </w:p>
    <w:p w14:paraId="782B9A26" w14:textId="77777777" w:rsidR="00265CD6" w:rsidRDefault="00265CD6" w:rsidP="00265CD6">
      <w:pPr>
        <w:pStyle w:val="LV3"/>
      </w:pPr>
      <w:r>
        <w:t>to a minimum intensity of 5 METs; and</w:t>
      </w:r>
    </w:p>
    <w:p w14:paraId="3BC5A07C" w14:textId="77777777" w:rsidR="00265CD6" w:rsidRDefault="00265CD6" w:rsidP="00265CD6">
      <w:pPr>
        <w:pStyle w:val="LV3"/>
      </w:pPr>
      <w:r>
        <w:t xml:space="preserve">for at least 2 hours per </w:t>
      </w:r>
      <w:proofErr w:type="gramStart"/>
      <w:r>
        <w:t>day;</w:t>
      </w:r>
      <w:proofErr w:type="gramEnd"/>
      <w:r>
        <w:t xml:space="preserve"> </w:t>
      </w:r>
    </w:p>
    <w:p w14:paraId="27AA987B" w14:textId="77777777" w:rsidR="00265CD6" w:rsidRDefault="00265CD6" w:rsidP="00265CD6">
      <w:pPr>
        <w:pStyle w:val="LV2"/>
        <w:numPr>
          <w:ilvl w:val="0"/>
          <w:numId w:val="0"/>
        </w:numPr>
        <w:ind w:left="1418"/>
      </w:pPr>
      <w:r>
        <w:t xml:space="preserve">within the 1 week before the clinical onset or clinical </w:t>
      </w:r>
      <w:proofErr w:type="gramStart"/>
      <w:r>
        <w:t>worsening;</w:t>
      </w:r>
      <w:proofErr w:type="gramEnd"/>
      <w:r>
        <w:t xml:space="preserve"> </w:t>
      </w:r>
    </w:p>
    <w:p w14:paraId="56A85B95" w14:textId="77777777" w:rsidR="0082594C" w:rsidRDefault="0082594C" w:rsidP="0082594C">
      <w:pPr>
        <w:pStyle w:val="NOTE"/>
      </w:pPr>
      <w:r>
        <w:t xml:space="preserve">Note: </w:t>
      </w:r>
      <w:r w:rsidRPr="00822598">
        <w:t xml:space="preserve"> MET (metabolic equivalent) is a unit of measure of the level of physical capability of the cardiorespiratory system. For example, 1 MET = cardiorespiratory effort associated </w:t>
      </w:r>
      <w:r w:rsidRPr="00822598">
        <w:lastRenderedPageBreak/>
        <w:t>with a person sitting, 3-4 METs = cardiorespiratory effort associated with a person walking at average walking pace (5 km/h) or light gardening.</w:t>
      </w:r>
    </w:p>
    <w:p w14:paraId="13CE461D" w14:textId="3E2C9288" w:rsidR="00265CD6" w:rsidRDefault="00265CD6" w:rsidP="00265CD6">
      <w:pPr>
        <w:pStyle w:val="LV2"/>
      </w:pPr>
      <w:r>
        <w:t>having one or more of the following conditions involving the affected lower limb at the time of clinical onset or clinical worsening:</w:t>
      </w:r>
    </w:p>
    <w:p w14:paraId="6B6477FC" w14:textId="77777777" w:rsidR="00265CD6" w:rsidRDefault="00354396" w:rsidP="009878B8">
      <w:pPr>
        <w:pStyle w:val="LV3"/>
      </w:pPr>
      <w:r>
        <w:t xml:space="preserve">pes </w:t>
      </w:r>
      <w:proofErr w:type="gramStart"/>
      <w:r>
        <w:t>planus;</w:t>
      </w:r>
      <w:proofErr w:type="gramEnd"/>
      <w:r>
        <w:t xml:space="preserve"> </w:t>
      </w:r>
    </w:p>
    <w:p w14:paraId="085BFA42" w14:textId="77777777" w:rsidR="00265CD6" w:rsidRDefault="00354396" w:rsidP="009878B8">
      <w:pPr>
        <w:pStyle w:val="LV3"/>
      </w:pPr>
      <w:r>
        <w:t xml:space="preserve">pes </w:t>
      </w:r>
      <w:proofErr w:type="gramStart"/>
      <w:r>
        <w:t>cavus;</w:t>
      </w:r>
      <w:proofErr w:type="gramEnd"/>
      <w:r>
        <w:t xml:space="preserve"> </w:t>
      </w:r>
    </w:p>
    <w:p w14:paraId="4B9C6542" w14:textId="77777777" w:rsidR="00265CD6" w:rsidRDefault="00265CD6" w:rsidP="009878B8">
      <w:pPr>
        <w:pStyle w:val="LV3"/>
      </w:pPr>
      <w:r>
        <w:t xml:space="preserve">decreased ankle or forefoot </w:t>
      </w:r>
      <w:proofErr w:type="gramStart"/>
      <w:r>
        <w:t>flexibility;</w:t>
      </w:r>
      <w:proofErr w:type="gramEnd"/>
    </w:p>
    <w:p w14:paraId="49E5600E" w14:textId="77777777" w:rsidR="00265CD6" w:rsidRDefault="00354396" w:rsidP="009878B8">
      <w:pPr>
        <w:pStyle w:val="LV3"/>
      </w:pPr>
      <w:r>
        <w:t xml:space="preserve">forefoot </w:t>
      </w:r>
      <w:proofErr w:type="gramStart"/>
      <w:r>
        <w:t>varus;</w:t>
      </w:r>
      <w:proofErr w:type="gramEnd"/>
      <w:r w:rsidR="00265CD6">
        <w:t xml:space="preserve"> </w:t>
      </w:r>
    </w:p>
    <w:p w14:paraId="7FA2D312" w14:textId="77777777" w:rsidR="00265CD6" w:rsidRDefault="00265CD6" w:rsidP="009878B8">
      <w:pPr>
        <w:pStyle w:val="LV3"/>
      </w:pPr>
      <w:r>
        <w:t>lateral an</w:t>
      </w:r>
      <w:r w:rsidR="00354396">
        <w:t xml:space="preserve">kle joint </w:t>
      </w:r>
      <w:proofErr w:type="gramStart"/>
      <w:r w:rsidR="00354396">
        <w:t>instability;</w:t>
      </w:r>
      <w:proofErr w:type="gramEnd"/>
    </w:p>
    <w:p w14:paraId="24885F83" w14:textId="4988717B" w:rsidR="008B390E" w:rsidRDefault="008B390E" w:rsidP="008B390E">
      <w:pPr>
        <w:pStyle w:val="LV2"/>
      </w:pPr>
      <w:r>
        <w:t>having one of the following systemic arthritic diseases at the time of clinical onset or clinical worsening:</w:t>
      </w:r>
    </w:p>
    <w:p w14:paraId="1EC4F5BD" w14:textId="77777777" w:rsidR="008B390E" w:rsidRDefault="008B390E" w:rsidP="008B390E">
      <w:pPr>
        <w:pStyle w:val="LV3"/>
      </w:pPr>
      <w:r>
        <w:t xml:space="preserve">ankylosing </w:t>
      </w:r>
      <w:proofErr w:type="gramStart"/>
      <w:r>
        <w:t>spondylitis;</w:t>
      </w:r>
      <w:proofErr w:type="gramEnd"/>
    </w:p>
    <w:p w14:paraId="051422A3" w14:textId="77777777" w:rsidR="008B390E" w:rsidRDefault="008B390E" w:rsidP="008B390E">
      <w:pPr>
        <w:pStyle w:val="LV3"/>
      </w:pPr>
      <w:r>
        <w:t xml:space="preserve">Behcet </w:t>
      </w:r>
      <w:proofErr w:type="gramStart"/>
      <w:r>
        <w:t>syndrome;</w:t>
      </w:r>
      <w:proofErr w:type="gramEnd"/>
      <w:r>
        <w:t xml:space="preserve"> </w:t>
      </w:r>
    </w:p>
    <w:p w14:paraId="70818BEC" w14:textId="77777777" w:rsidR="008B390E" w:rsidRDefault="008B390E" w:rsidP="008B390E">
      <w:pPr>
        <w:pStyle w:val="LV3"/>
      </w:pPr>
      <w:r>
        <w:t>enteropathic spondyloarthropathy (arthritis associated with inflammatory bowel disease</w:t>
      </w:r>
      <w:proofErr w:type="gramStart"/>
      <w:r>
        <w:t>);</w:t>
      </w:r>
      <w:proofErr w:type="gramEnd"/>
      <w:r>
        <w:t xml:space="preserve"> </w:t>
      </w:r>
    </w:p>
    <w:p w14:paraId="34E1CC3B" w14:textId="77777777" w:rsidR="008B390E" w:rsidRDefault="008B390E" w:rsidP="008B390E">
      <w:pPr>
        <w:pStyle w:val="LV3"/>
      </w:pPr>
      <w:proofErr w:type="gramStart"/>
      <w:r>
        <w:t>gout;</w:t>
      </w:r>
      <w:proofErr w:type="gramEnd"/>
      <w:r>
        <w:t xml:space="preserve"> </w:t>
      </w:r>
    </w:p>
    <w:p w14:paraId="5564B1B3" w14:textId="77777777" w:rsidR="008B390E" w:rsidRDefault="008B390E" w:rsidP="008B390E">
      <w:pPr>
        <w:pStyle w:val="LV3"/>
      </w:pPr>
      <w:r>
        <w:t xml:space="preserve">pseudogout (calcium pyrophosphate dihydrate) or crystal-induced arthropathy from the deposition of calcium hydroxyapatite or calcium </w:t>
      </w:r>
      <w:proofErr w:type="gramStart"/>
      <w:r>
        <w:t>oxalate;</w:t>
      </w:r>
      <w:proofErr w:type="gramEnd"/>
      <w:r>
        <w:t xml:space="preserve"> </w:t>
      </w:r>
    </w:p>
    <w:p w14:paraId="1301F7B2" w14:textId="77777777" w:rsidR="008B390E" w:rsidRDefault="008B390E" w:rsidP="008B390E">
      <w:pPr>
        <w:pStyle w:val="LV3"/>
      </w:pPr>
      <w:r>
        <w:t>psoriatic arthropathy</w:t>
      </w:r>
    </w:p>
    <w:p w14:paraId="4D882F12" w14:textId="77777777" w:rsidR="008B390E" w:rsidRDefault="008B390E" w:rsidP="008B390E">
      <w:pPr>
        <w:pStyle w:val="LV3"/>
      </w:pPr>
      <w:r>
        <w:t xml:space="preserve">reactive </w:t>
      </w:r>
      <w:proofErr w:type="gramStart"/>
      <w:r>
        <w:t>arthritis;</w:t>
      </w:r>
      <w:proofErr w:type="gramEnd"/>
    </w:p>
    <w:p w14:paraId="7C82A359" w14:textId="77777777" w:rsidR="008B390E" w:rsidRDefault="008B390E" w:rsidP="008B390E">
      <w:pPr>
        <w:pStyle w:val="LV3"/>
      </w:pPr>
      <w:r>
        <w:t>rheumatoid arthritis; or</w:t>
      </w:r>
    </w:p>
    <w:p w14:paraId="3AC1770E" w14:textId="77777777" w:rsidR="008B390E" w:rsidRDefault="008B390E" w:rsidP="008B390E">
      <w:pPr>
        <w:pStyle w:val="LV3"/>
      </w:pPr>
      <w:r>
        <w:t xml:space="preserve">undifferentiated </w:t>
      </w:r>
      <w:proofErr w:type="gramStart"/>
      <w:r>
        <w:t>spondyloarthropathy;</w:t>
      </w:r>
      <w:proofErr w:type="gramEnd"/>
    </w:p>
    <w:p w14:paraId="2B013951" w14:textId="77777777" w:rsidR="0082594C" w:rsidRDefault="008B390E" w:rsidP="0082594C">
      <w:pPr>
        <w:pStyle w:val="LV2"/>
      </w:pPr>
      <w:r>
        <w:t>having chronic renal failure within the 10 years before clinical onset or clinical worsening</w:t>
      </w:r>
      <w:r w:rsidR="0082594C" w:rsidRPr="0082594C">
        <w:t xml:space="preserve"> </w:t>
      </w:r>
      <w:r w:rsidR="0082594C">
        <w:t>as indicated by:</w:t>
      </w:r>
    </w:p>
    <w:p w14:paraId="69009B1C" w14:textId="77777777" w:rsidR="0082594C" w:rsidRDefault="0082594C" w:rsidP="0082594C">
      <w:pPr>
        <w:pStyle w:val="LV3"/>
      </w:pPr>
      <w:r>
        <w:t>a glomerular filtration rate of less than 15 mL/min/1.73 m</w:t>
      </w:r>
      <w:r w:rsidRPr="00143463">
        <w:rPr>
          <w:vertAlign w:val="superscript"/>
        </w:rPr>
        <w:t>2</w:t>
      </w:r>
      <w:r>
        <w:t xml:space="preserve"> for a period of at least 3 months; or</w:t>
      </w:r>
    </w:p>
    <w:p w14:paraId="574B7456" w14:textId="77777777" w:rsidR="0082594C" w:rsidRDefault="0082594C" w:rsidP="0082594C">
      <w:pPr>
        <w:pStyle w:val="LV3"/>
      </w:pPr>
      <w:r>
        <w:t xml:space="preserve">undergoing chronic dialysis for renal </w:t>
      </w:r>
      <w:proofErr w:type="gramStart"/>
      <w:r>
        <w:t>failure;</w:t>
      </w:r>
      <w:proofErr w:type="gramEnd"/>
    </w:p>
    <w:p w14:paraId="04BAE80E" w14:textId="77777777" w:rsidR="008B390E" w:rsidRDefault="008B390E" w:rsidP="008B390E">
      <w:pPr>
        <w:pStyle w:val="LV2"/>
      </w:pPr>
      <w:r>
        <w:t>being treated with a fluoroquinolone antibiotic within the 30</w:t>
      </w:r>
      <w:r w:rsidR="00705034">
        <w:t xml:space="preserve"> days before clinical onset or clinical </w:t>
      </w:r>
      <w:proofErr w:type="gramStart"/>
      <w:r>
        <w:t>worsening;</w:t>
      </w:r>
      <w:proofErr w:type="gramEnd"/>
      <w:r>
        <w:t xml:space="preserve"> </w:t>
      </w:r>
    </w:p>
    <w:p w14:paraId="11650847" w14:textId="77777777" w:rsidR="007D1CF1" w:rsidRDefault="008B390E" w:rsidP="008B390E">
      <w:pPr>
        <w:pStyle w:val="NOTE"/>
      </w:pPr>
      <w:r>
        <w:t>Note: Examples of fluoroquinolone antibiotics include ciprofloxacin, moxifloxacin, norfloxacin and ofloxacin.</w:t>
      </w:r>
    </w:p>
    <w:p w14:paraId="6BFB3F31" w14:textId="77777777" w:rsidR="00BF10C9" w:rsidRDefault="00BF10C9" w:rsidP="00BF10C9">
      <w:pPr>
        <w:pStyle w:val="LV2"/>
      </w:pPr>
      <w:r>
        <w:t>being treated with a glucocortic</w:t>
      </w:r>
      <w:r w:rsidR="00D63825">
        <w:t>oid drug as specified before</w:t>
      </w:r>
      <w:r>
        <w:t xml:space="preserve"> clinical onset or clinical </w:t>
      </w:r>
      <w:proofErr w:type="gramStart"/>
      <w:r>
        <w:t>worsening;</w:t>
      </w:r>
      <w:proofErr w:type="gramEnd"/>
    </w:p>
    <w:p w14:paraId="20B42BDF" w14:textId="259E0CD3" w:rsidR="00705034" w:rsidRDefault="00BF10C9" w:rsidP="00BF10C9">
      <w:pPr>
        <w:pStyle w:val="NOTE"/>
      </w:pPr>
      <w:r>
        <w:t xml:space="preserve">Note: </w:t>
      </w:r>
      <w:r w:rsidR="006A4E40" w:rsidRPr="006A4E40">
        <w:rPr>
          <w:b/>
          <w:bCs/>
          <w:i/>
          <w:iCs/>
        </w:rPr>
        <w:t>being treated with a</w:t>
      </w:r>
      <w:r w:rsidR="006A4E40">
        <w:t xml:space="preserve"> </w:t>
      </w:r>
      <w:r w:rsidRPr="00BF10C9">
        <w:rPr>
          <w:b/>
          <w:i/>
        </w:rPr>
        <w:t>glucocorticoid drug as specified</w:t>
      </w:r>
      <w:r>
        <w:t xml:space="preserve"> is defined in the Schedule 1 - Dictionary.</w:t>
      </w:r>
    </w:p>
    <w:p w14:paraId="3B03C13C" w14:textId="77777777" w:rsidR="00705034" w:rsidRDefault="004A1FA3" w:rsidP="004A1FA3">
      <w:pPr>
        <w:pStyle w:val="LV2"/>
      </w:pPr>
      <w:r w:rsidRPr="004A1FA3">
        <w:t xml:space="preserve">having a glucocorticoid injection into the Achilles tendon, in the region of the Achilles tendon or in the retrocalcaneal bursa, before the rupture of the Achilles </w:t>
      </w:r>
      <w:proofErr w:type="gramStart"/>
      <w:r w:rsidRPr="004A1FA3">
        <w:t>tendon;</w:t>
      </w:r>
      <w:proofErr w:type="gramEnd"/>
    </w:p>
    <w:p w14:paraId="1A18EF9E" w14:textId="77777777" w:rsidR="00681DD1" w:rsidRDefault="00681DD1" w:rsidP="00681DD1">
      <w:pPr>
        <w:pStyle w:val="NOTE"/>
      </w:pPr>
      <w:r>
        <w:t>Note:</w:t>
      </w:r>
      <w:r w:rsidRPr="00681DD1">
        <w:t xml:space="preserve"> rupture of </w:t>
      </w:r>
      <w:r>
        <w:t xml:space="preserve">the </w:t>
      </w:r>
      <w:r w:rsidRPr="00681DD1">
        <w:t>Achilles tendon can constitute clinical onset or clinical worsening of Achilles tendinopathy</w:t>
      </w:r>
      <w:r>
        <w:t>.</w:t>
      </w:r>
    </w:p>
    <w:p w14:paraId="49AD4B8D" w14:textId="5D109787" w:rsidR="004A1FA3" w:rsidRDefault="004A1FA3" w:rsidP="004A1FA3">
      <w:pPr>
        <w:pStyle w:val="LV2"/>
      </w:pPr>
      <w:r>
        <w:lastRenderedPageBreak/>
        <w:t xml:space="preserve">being treated with an aromatase inhibitor for at least 4 weeks within the 1 year before clinical onset or clinical </w:t>
      </w:r>
      <w:proofErr w:type="gramStart"/>
      <w:r>
        <w:t>worsening;</w:t>
      </w:r>
      <w:proofErr w:type="gramEnd"/>
      <w:r>
        <w:t xml:space="preserve"> </w:t>
      </w:r>
    </w:p>
    <w:p w14:paraId="1838412F" w14:textId="77777777" w:rsidR="00705034" w:rsidRDefault="004A1FA3" w:rsidP="004A1FA3">
      <w:pPr>
        <w:pStyle w:val="NOTE"/>
      </w:pPr>
      <w:r>
        <w:t>Note: Examples of aromatase inhibitors include anastrozole, exemestane and letrozole.</w:t>
      </w:r>
    </w:p>
    <w:p w14:paraId="41295D33" w14:textId="0A5A82B7" w:rsidR="004A1FA3" w:rsidRDefault="004A1FA3" w:rsidP="004A1FA3">
      <w:pPr>
        <w:pStyle w:val="LV2"/>
      </w:pPr>
      <w:r>
        <w:t xml:space="preserve">having a Body Mass Index (BMI) of 30 or greater at the time of  clinical onset or clinical </w:t>
      </w:r>
      <w:proofErr w:type="gramStart"/>
      <w:r>
        <w:t>worsening;</w:t>
      </w:r>
      <w:proofErr w:type="gramEnd"/>
      <w:r>
        <w:t xml:space="preserve"> </w:t>
      </w:r>
    </w:p>
    <w:p w14:paraId="6AE93F0C" w14:textId="77777777" w:rsidR="004A1FA3" w:rsidRDefault="004A1FA3" w:rsidP="004A1FA3">
      <w:pPr>
        <w:pStyle w:val="NOTE"/>
      </w:pPr>
      <w:r>
        <w:t xml:space="preserve">Note: </w:t>
      </w:r>
      <w:r w:rsidRPr="004A1FA3">
        <w:rPr>
          <w:b/>
          <w:i/>
        </w:rPr>
        <w:t>BMI</w:t>
      </w:r>
      <w:r>
        <w:t xml:space="preserve"> is defined in the Schedule 1 – Dictionary.</w:t>
      </w:r>
    </w:p>
    <w:p w14:paraId="1124A12E" w14:textId="268FA93C" w:rsidR="004A1FA3" w:rsidRDefault="004A1FA3" w:rsidP="004A1FA3">
      <w:pPr>
        <w:pStyle w:val="LV2"/>
      </w:pPr>
      <w:r w:rsidRPr="004A1FA3">
        <w:t>having diabetes mellitus at the time of clinical o</w:t>
      </w:r>
      <w:r>
        <w:t xml:space="preserve">nset or clinical </w:t>
      </w:r>
      <w:proofErr w:type="gramStart"/>
      <w:r w:rsidRPr="004A1FA3">
        <w:t>worsening;</w:t>
      </w:r>
      <w:proofErr w:type="gramEnd"/>
    </w:p>
    <w:p w14:paraId="454811E4" w14:textId="7E5E34CF" w:rsidR="007C7DEE" w:rsidRPr="008D1B8B" w:rsidRDefault="007C7DEE" w:rsidP="005D6D98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E64476" w:rsidRPr="00E64476">
        <w:t>Achilles tendinopathy</w:t>
      </w:r>
      <w:r w:rsidR="004A1FA3">
        <w:t xml:space="preserve"> before clinical worsening</w:t>
      </w:r>
      <w:r w:rsidR="00D5620B" w:rsidRPr="008D1B8B">
        <w:t>.</w:t>
      </w:r>
      <w:bookmarkEnd w:id="27"/>
    </w:p>
    <w:p w14:paraId="78E329CC" w14:textId="77777777" w:rsidR="000C21A3" w:rsidRPr="00684C0E" w:rsidRDefault="00D32F71" w:rsidP="005D6D98">
      <w:pPr>
        <w:pStyle w:val="LV1"/>
      </w:pPr>
      <w:bookmarkStart w:id="28" w:name="_Toc512512510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3DC76C5F" w14:textId="77777777"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26955CB1" w14:textId="0607D2B2" w:rsidR="00CF2367" w:rsidRPr="00187DE1" w:rsidRDefault="004A1FA3" w:rsidP="005D6D98">
      <w:pPr>
        <w:pStyle w:val="LV2"/>
      </w:pPr>
      <w:r>
        <w:t>The clinical worsening aspects of factors</w:t>
      </w:r>
      <w:r w:rsidR="00F03C06" w:rsidRPr="00187DE1">
        <w:t xml:space="preserve"> set out in </w:t>
      </w:r>
      <w:r>
        <w:t>section</w:t>
      </w:r>
      <w:r w:rsidR="00FF1D47">
        <w:t xml:space="preserve"> </w:t>
      </w:r>
      <w:r w:rsidR="00DA3996">
        <w:t>9</w:t>
      </w:r>
      <w:r w:rsidR="00FF1D47">
        <w:t xml:space="preserve"> </w:t>
      </w:r>
      <w:r w:rsidR="00F03C06" w:rsidRPr="00187DE1">
        <w:t>appl</w:t>
      </w:r>
      <w:r>
        <w:t>y</w:t>
      </w:r>
      <w:r w:rsidR="00F03C06" w:rsidRPr="00187DE1">
        <w:t xml:space="preserve"> only to material contribution to, or aggravation of, </w:t>
      </w:r>
      <w:r w:rsidR="00E64476" w:rsidRPr="00E64476">
        <w:t>Achilles tendinopathy</w:t>
      </w:r>
      <w:r w:rsidR="007A3989">
        <w:t xml:space="preserve"> </w:t>
      </w:r>
      <w:r w:rsidR="00F03C06" w:rsidRPr="00187DE1">
        <w:t>where the person</w:t>
      </w:r>
      <w:r w:rsidR="002A3353">
        <w:t>'</w:t>
      </w:r>
      <w:r w:rsidR="00F03C06" w:rsidRPr="00187DE1">
        <w:t xml:space="preserve">s </w:t>
      </w:r>
      <w:r w:rsidR="00E64476" w:rsidRPr="00E64476">
        <w:t>Achilles tendinopathy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2A3353">
        <w:t>'</w:t>
      </w:r>
      <w:r w:rsidR="00F03C06" w:rsidRPr="00187DE1">
        <w:t xml:space="preserve">s relevant service. </w:t>
      </w:r>
    </w:p>
    <w:p w14:paraId="4B11C685" w14:textId="77777777" w:rsidR="00774897" w:rsidRPr="00301C54" w:rsidRDefault="00774897" w:rsidP="005D6D98">
      <w:pPr>
        <w:pStyle w:val="LV1"/>
      </w:pPr>
      <w:bookmarkStart w:id="30" w:name="_Toc51251251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03F9BC74" w14:textId="77777777" w:rsidR="00F03C06" w:rsidRPr="00E64EE4" w:rsidRDefault="00F03C06" w:rsidP="005D6D98">
      <w:pPr>
        <w:pStyle w:val="PlainIndent"/>
      </w:pPr>
      <w:r w:rsidRPr="00E64EE4">
        <w:t>In this Statement of Principles:</w:t>
      </w:r>
    </w:p>
    <w:p w14:paraId="1EBF6358" w14:textId="77777777"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F52D919" w14:textId="77777777"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185F5B6B" w14:textId="77777777"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D42C85A" w14:textId="77777777" w:rsidR="00782F4E" w:rsidRPr="00E64EE4" w:rsidRDefault="00782F4E" w:rsidP="005D6D98">
      <w:pPr>
        <w:pStyle w:val="PlainIndent"/>
      </w:pPr>
    </w:p>
    <w:p w14:paraId="260CEC2E" w14:textId="77777777"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D2762E7" w14:textId="77777777" w:rsidR="008105EA" w:rsidRPr="008105EA" w:rsidRDefault="008105EA" w:rsidP="002A3436">
      <w:pPr>
        <w:pStyle w:val="SHHeader"/>
        <w:rPr>
          <w:rStyle w:val="CharAmSchNo"/>
          <w:sz w:val="22"/>
          <w:szCs w:val="22"/>
        </w:rPr>
      </w:pPr>
      <w:bookmarkStart w:id="31" w:name="opcAmSched"/>
      <w:bookmarkStart w:id="32" w:name="opcCurrentFind"/>
      <w:bookmarkStart w:id="33" w:name="_Toc512512512"/>
    </w:p>
    <w:p w14:paraId="59C7343A" w14:textId="781DE000" w:rsidR="00CF2367" w:rsidRPr="00FA33FB" w:rsidRDefault="00CF2367" w:rsidP="002A3436">
      <w:pPr>
        <w:pStyle w:val="SHHeader"/>
      </w:pPr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A2B7A99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010B1E25" w14:textId="77777777" w:rsidR="00BD3334" w:rsidRDefault="00702C42" w:rsidP="00516768">
      <w:pPr>
        <w:pStyle w:val="SH1"/>
      </w:pPr>
      <w:bookmarkStart w:id="34" w:name="_Toc405472918"/>
      <w:bookmarkStart w:id="35" w:name="_Toc512512513"/>
      <w:r w:rsidRPr="00D97BB3">
        <w:t>Definitions</w:t>
      </w:r>
      <w:bookmarkEnd w:id="34"/>
      <w:bookmarkEnd w:id="35"/>
    </w:p>
    <w:p w14:paraId="22902DC3" w14:textId="77777777" w:rsidR="00702C42" w:rsidRPr="00516768" w:rsidRDefault="00702C42" w:rsidP="005D6D98">
      <w:pPr>
        <w:pStyle w:val="SH2"/>
      </w:pPr>
      <w:r w:rsidRPr="00516768">
        <w:t>In this instrument:</w:t>
      </w:r>
    </w:p>
    <w:p w14:paraId="10384DC9" w14:textId="422D2AC6" w:rsidR="0082594C" w:rsidRPr="00513D05" w:rsidRDefault="00E64476" w:rsidP="0082594C">
      <w:pPr>
        <w:pStyle w:val="SH3"/>
        <w:ind w:left="851" w:hanging="851"/>
      </w:pPr>
      <w:bookmarkStart w:id="36" w:name="_Ref402530810"/>
      <w:proofErr w:type="spellStart"/>
      <w:r w:rsidRPr="00E64476">
        <w:rPr>
          <w:b/>
          <w:i/>
        </w:rPr>
        <w:t>achilles</w:t>
      </w:r>
      <w:proofErr w:type="spellEnd"/>
      <w:r w:rsidRPr="00E64476">
        <w:rPr>
          <w:b/>
          <w:i/>
        </w:rPr>
        <w:t xml:space="preserve"> tendinopathy</w:t>
      </w:r>
      <w:r w:rsidR="0082594C" w:rsidRPr="00513D05">
        <w:t>—see subsection</w:t>
      </w:r>
      <w:r w:rsidR="0082594C">
        <w:t xml:space="preserve"> 7(2).</w:t>
      </w:r>
    </w:p>
    <w:p w14:paraId="5B0CE2FC" w14:textId="77777777" w:rsidR="00BF10C9" w:rsidRDefault="00BF10C9" w:rsidP="00BF10C9">
      <w:pPr>
        <w:pStyle w:val="SH3"/>
      </w:pPr>
      <w:r w:rsidRPr="00BF10C9">
        <w:rPr>
          <w:b/>
          <w:i/>
        </w:rPr>
        <w:t>being treated with a glucocorticoid drug as specified</w:t>
      </w:r>
      <w:r>
        <w:t xml:space="preserve"> means: </w:t>
      </w:r>
    </w:p>
    <w:p w14:paraId="186CC045" w14:textId="1BE93EE7" w:rsidR="00BF10C9" w:rsidRDefault="00BF10C9" w:rsidP="004C5E3B">
      <w:pPr>
        <w:pStyle w:val="SH4"/>
      </w:pPr>
      <w:r>
        <w:t>being treated with prednisolone, in the combinations of mode of administration, dose, duration of treatment and proximity to the clinical onset or worsening of A</w:t>
      </w:r>
      <w:r w:rsidR="00143463">
        <w:t>chilles tendinopathy</w:t>
      </w:r>
      <w:r>
        <w:t xml:space="preserve">, as specified in Table 1 below; or </w:t>
      </w:r>
    </w:p>
    <w:p w14:paraId="1F18C347" w14:textId="74B806C8" w:rsidR="00BF10C9" w:rsidRDefault="00BF10C9" w:rsidP="004C5E3B">
      <w:pPr>
        <w:pStyle w:val="SH4"/>
      </w:pPr>
      <w:r>
        <w:t>being treated as specified in Table 1 with a glucocorticoid drug other than prednisolone in doses having an efficacy equivalent to prednisolone, that being calculated for the drugs listed in accordance with Table 2 below.</w:t>
      </w:r>
    </w:p>
    <w:p w14:paraId="297FFB43" w14:textId="77777777" w:rsidR="00B553D9" w:rsidRDefault="00B553D9" w:rsidP="00B553D9">
      <w:pPr>
        <w:pStyle w:val="SH4"/>
        <w:numPr>
          <w:ilvl w:val="0"/>
          <w:numId w:val="0"/>
        </w:numPr>
        <w:ind w:left="1474"/>
      </w:pPr>
    </w:p>
    <w:p w14:paraId="264C6BB4" w14:textId="77777777" w:rsidR="00B553D9" w:rsidRDefault="00B553D9" w:rsidP="00B553D9">
      <w:pPr>
        <w:ind w:left="851"/>
        <w:rPr>
          <w:b/>
        </w:rPr>
      </w:pPr>
      <w:r w:rsidRPr="00C178B8">
        <w:rPr>
          <w:b/>
        </w:rPr>
        <w:t>Table 1</w:t>
      </w:r>
    </w:p>
    <w:tbl>
      <w:tblPr>
        <w:tblW w:w="7573" w:type="dxa"/>
        <w:tblInd w:w="9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850"/>
        <w:gridCol w:w="991"/>
        <w:gridCol w:w="1275"/>
        <w:gridCol w:w="1165"/>
      </w:tblGrid>
      <w:tr w:rsidR="00B553D9" w14:paraId="796498DB" w14:textId="77777777" w:rsidTr="00B553D9">
        <w:trPr>
          <w:cantSplit/>
          <w:tblHeader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5CCC9ED2" w14:textId="77777777" w:rsidR="00B553D9" w:rsidRDefault="00B553D9" w:rsidP="005F157D">
            <w:pPr>
              <w:rPr>
                <w:b/>
              </w:rPr>
            </w:pPr>
            <w:r>
              <w:rPr>
                <w:b/>
              </w:rPr>
              <w:t>Drug or Class of Drugs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30F5D49A" w14:textId="77777777" w:rsidR="00B553D9" w:rsidRDefault="00B553D9" w:rsidP="005F157D">
            <w:pPr>
              <w:rPr>
                <w:b/>
              </w:rPr>
            </w:pPr>
            <w:r>
              <w:rPr>
                <w:b/>
              </w:rPr>
              <w:t>Mode*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61E9EA84" w14:textId="77777777" w:rsidR="00B553D9" w:rsidRDefault="00B553D9" w:rsidP="005F157D">
            <w:pPr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5D6AA3C" w14:textId="77777777" w:rsidR="00B553D9" w:rsidRDefault="00B553D9" w:rsidP="005F157D">
            <w:pPr>
              <w:rPr>
                <w:b/>
              </w:rPr>
            </w:pPr>
            <w:r>
              <w:rPr>
                <w:b/>
              </w:rPr>
              <w:t>Minimum Duration of Treatment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74DA94B" w14:textId="77777777" w:rsidR="00B553D9" w:rsidRDefault="00B553D9" w:rsidP="005F157D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B553D9" w14:paraId="78F1467D" w14:textId="77777777" w:rsidTr="00B553D9">
        <w:trPr>
          <w:cantSplit/>
        </w:trPr>
        <w:tc>
          <w:tcPr>
            <w:tcW w:w="3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8F814" w14:textId="77777777" w:rsidR="00B553D9" w:rsidRDefault="00B553D9" w:rsidP="005F157D">
            <w:r>
              <w:t>prednisolone or</w:t>
            </w:r>
          </w:p>
          <w:p w14:paraId="4161EE1C" w14:textId="77777777" w:rsidR="00B553D9" w:rsidRDefault="00B553D9" w:rsidP="005F157D">
            <w:r>
              <w:t>pharmacologically equivalent glucocorticoid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6FA7" w14:textId="77777777" w:rsidR="00B553D9" w:rsidRDefault="00B553D9" w:rsidP="005F157D">
            <w:r>
              <w:t>IV, IM, O</w:t>
            </w:r>
          </w:p>
          <w:p w14:paraId="29E03E73" w14:textId="77777777" w:rsidR="00B553D9" w:rsidRDefault="00B553D9" w:rsidP="005F157D"/>
          <w:p w14:paraId="1AC88105" w14:textId="77777777" w:rsidR="00B553D9" w:rsidRDefault="00B553D9" w:rsidP="005F157D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A5BFC" w14:textId="77777777" w:rsidR="00B553D9" w:rsidRDefault="00B553D9" w:rsidP="005F157D">
            <w:r>
              <w:sym w:font="Symbol" w:char="F0B3"/>
            </w:r>
            <w:r>
              <w:t xml:space="preserve"> 0.5 grams over 6 months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8ABE" w14:textId="77777777" w:rsidR="00B553D9" w:rsidRDefault="00B553D9" w:rsidP="005F157D">
            <w:r>
              <w:t>6 months</w:t>
            </w:r>
          </w:p>
          <w:p w14:paraId="2E127DB5" w14:textId="77777777" w:rsidR="00B553D9" w:rsidRDefault="00B553D9" w:rsidP="005F157D"/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D44B3" w14:textId="77777777" w:rsidR="00B553D9" w:rsidRDefault="00B553D9" w:rsidP="005F157D">
            <w:r>
              <w:t>within the 3 years</w:t>
            </w:r>
          </w:p>
        </w:tc>
      </w:tr>
      <w:tr w:rsidR="00B553D9" w14:paraId="02B909F3" w14:textId="77777777" w:rsidTr="00B553D9">
        <w:trPr>
          <w:cantSplit/>
          <w:trHeight w:val="735"/>
        </w:trPr>
        <w:tc>
          <w:tcPr>
            <w:tcW w:w="3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A23D7" w14:textId="77777777" w:rsidR="00B553D9" w:rsidRDefault="00B553D9" w:rsidP="005F157D">
            <w:pPr>
              <w:rPr>
                <w:kern w:val="2"/>
                <w:szCs w:val="22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DE7D0" w14:textId="77777777" w:rsidR="00B553D9" w:rsidRDefault="00B553D9" w:rsidP="005F157D">
            <w:pPr>
              <w:rPr>
                <w:kern w:val="2"/>
                <w:szCs w:val="22"/>
                <w14:ligatures w14:val="standardContextual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3084D" w14:textId="77777777" w:rsidR="00B553D9" w:rsidRDefault="00B553D9" w:rsidP="005F157D">
            <w:r>
              <w:sym w:font="Symbol" w:char="F0B3"/>
            </w:r>
            <w:r>
              <w:t xml:space="preserve"> 3 grams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267FD" w14:textId="77777777" w:rsidR="00B553D9" w:rsidRDefault="00B553D9" w:rsidP="005F157D">
            <w:r>
              <w:t>NS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0BAF" w14:textId="77777777" w:rsidR="00B553D9" w:rsidRDefault="00B553D9" w:rsidP="005F157D">
            <w:r>
              <w:t>within the 5 years</w:t>
            </w:r>
          </w:p>
        </w:tc>
      </w:tr>
      <w:tr w:rsidR="00B553D9" w14:paraId="5F5C2FDF" w14:textId="77777777" w:rsidTr="00B553D9">
        <w:trPr>
          <w:cantSplit/>
          <w:trHeight w:val="735"/>
        </w:trPr>
        <w:tc>
          <w:tcPr>
            <w:tcW w:w="32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F6CCC" w14:textId="77777777" w:rsidR="00B553D9" w:rsidRDefault="00B553D9" w:rsidP="005F157D">
            <w:pPr>
              <w:rPr>
                <w:kern w:val="2"/>
                <w:szCs w:val="22"/>
                <w14:ligatures w14:val="standardContextual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D8675" w14:textId="77777777" w:rsidR="00B553D9" w:rsidRDefault="00B553D9" w:rsidP="005F157D">
            <w:pPr>
              <w:rPr>
                <w:kern w:val="2"/>
                <w:szCs w:val="22"/>
                <w14:ligatures w14:val="standardContextual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17C3" w14:textId="77777777" w:rsidR="00B553D9" w:rsidRDefault="00B553D9" w:rsidP="005F157D">
            <w:r>
              <w:sym w:font="Symbol" w:char="F0B3"/>
            </w:r>
            <w:r>
              <w:t xml:space="preserve"> 10 grams</w:t>
            </w:r>
          </w:p>
          <w:p w14:paraId="588864D6" w14:textId="77777777" w:rsidR="00B553D9" w:rsidRDefault="00B553D9" w:rsidP="005F157D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4D26" w14:textId="77777777" w:rsidR="00B553D9" w:rsidRDefault="00B553D9" w:rsidP="005F157D">
            <w:r>
              <w:t>NS</w:t>
            </w:r>
          </w:p>
          <w:p w14:paraId="78495164" w14:textId="77777777" w:rsidR="00B553D9" w:rsidRDefault="00B553D9" w:rsidP="005F157D"/>
          <w:p w14:paraId="2FC45813" w14:textId="77777777" w:rsidR="00B553D9" w:rsidRDefault="00B553D9" w:rsidP="005F157D"/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3965D" w14:textId="77777777" w:rsidR="00B553D9" w:rsidRDefault="00B553D9" w:rsidP="005F157D">
            <w:r>
              <w:t>NS</w:t>
            </w:r>
          </w:p>
        </w:tc>
      </w:tr>
    </w:tbl>
    <w:p w14:paraId="6EA55FCA" w14:textId="77777777" w:rsidR="00B553D9" w:rsidRPr="008105EA" w:rsidRDefault="00B553D9" w:rsidP="00B553D9">
      <w:pPr>
        <w:spacing w:after="160" w:line="256" w:lineRule="auto"/>
        <w:ind w:left="851"/>
        <w:rPr>
          <w:rFonts w:eastAsia="Aptos"/>
          <w:kern w:val="2"/>
          <w:szCs w:val="22"/>
          <w14:ligatures w14:val="standardContextual"/>
        </w:rPr>
      </w:pPr>
      <w:r w:rsidRPr="008105EA">
        <w:rPr>
          <w:rFonts w:eastAsia="Aptos"/>
          <w:kern w:val="2"/>
          <w:szCs w:val="22"/>
          <w14:ligatures w14:val="standardContextual"/>
        </w:rPr>
        <w:t>Abbreviations: IV = intravenous; IM = intramuscular; O = oral; NS = not specified.</w:t>
      </w:r>
    </w:p>
    <w:p w14:paraId="62C831C3" w14:textId="77777777" w:rsidR="00BF10C9" w:rsidRDefault="00BF10C9" w:rsidP="00B553D9">
      <w:pPr>
        <w:ind w:left="851"/>
        <w:rPr>
          <w:b/>
          <w:szCs w:val="24"/>
          <w:lang w:val="en-US"/>
        </w:rPr>
      </w:pPr>
      <w:r w:rsidRPr="00C178B8">
        <w:rPr>
          <w:b/>
          <w:szCs w:val="24"/>
          <w:lang w:val="en-US"/>
        </w:rPr>
        <w:t>Table 2</w:t>
      </w: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8"/>
        <w:gridCol w:w="4446"/>
      </w:tblGrid>
      <w:tr w:rsidR="00B553D9" w:rsidRPr="00C178B8" w14:paraId="538A7677" w14:textId="77777777" w:rsidTr="005B0786">
        <w:trPr>
          <w:trHeight w:val="558"/>
        </w:trPr>
        <w:tc>
          <w:tcPr>
            <w:tcW w:w="3208" w:type="dxa"/>
            <w:shd w:val="clear" w:color="auto" w:fill="auto"/>
          </w:tcPr>
          <w:p w14:paraId="780C817A" w14:textId="77777777" w:rsidR="00B553D9" w:rsidRPr="00C178B8" w:rsidRDefault="00B553D9" w:rsidP="005B0786">
            <w:pPr>
              <w:ind w:left="175"/>
              <w:rPr>
                <w:b/>
              </w:rPr>
            </w:pPr>
            <w:r w:rsidRPr="00C178B8">
              <w:rPr>
                <w:b/>
              </w:rPr>
              <w:t xml:space="preserve">Glucocorticoid </w:t>
            </w:r>
          </w:p>
        </w:tc>
        <w:tc>
          <w:tcPr>
            <w:tcW w:w="4446" w:type="dxa"/>
            <w:shd w:val="clear" w:color="auto" w:fill="auto"/>
          </w:tcPr>
          <w:p w14:paraId="12D0138B" w14:textId="77777777" w:rsidR="00B553D9" w:rsidRPr="00C178B8" w:rsidRDefault="00B553D9" w:rsidP="005B0786">
            <w:pPr>
              <w:spacing w:after="60"/>
              <w:ind w:left="-164"/>
              <w:jc w:val="center"/>
              <w:rPr>
                <w:b/>
              </w:rPr>
            </w:pPr>
            <w:r w:rsidRPr="00C178B8">
              <w:rPr>
                <w:b/>
              </w:rPr>
              <w:t>Dose ratio equivalence with respect to prednisolone</w:t>
            </w:r>
          </w:p>
        </w:tc>
      </w:tr>
      <w:tr w:rsidR="00B553D9" w:rsidRPr="00C178B8" w14:paraId="0B9E42BF" w14:textId="77777777" w:rsidTr="005B0786">
        <w:tc>
          <w:tcPr>
            <w:tcW w:w="3208" w:type="dxa"/>
            <w:shd w:val="clear" w:color="auto" w:fill="auto"/>
            <w:vAlign w:val="bottom"/>
          </w:tcPr>
          <w:p w14:paraId="01EF8B33" w14:textId="77777777" w:rsidR="00B553D9" w:rsidRPr="00C178B8" w:rsidRDefault="00B553D9" w:rsidP="005B0786">
            <w:pPr>
              <w:ind w:left="175"/>
            </w:pPr>
            <w:r w:rsidRPr="00C178B8">
              <w:t>cortisone</w:t>
            </w:r>
          </w:p>
        </w:tc>
        <w:tc>
          <w:tcPr>
            <w:tcW w:w="4446" w:type="dxa"/>
            <w:shd w:val="clear" w:color="auto" w:fill="auto"/>
          </w:tcPr>
          <w:p w14:paraId="5DBBE071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5</w:t>
            </w:r>
          </w:p>
        </w:tc>
      </w:tr>
      <w:tr w:rsidR="00B553D9" w:rsidRPr="00C178B8" w14:paraId="346B3A71" w14:textId="77777777" w:rsidTr="005B0786">
        <w:tc>
          <w:tcPr>
            <w:tcW w:w="3208" w:type="dxa"/>
            <w:shd w:val="clear" w:color="auto" w:fill="auto"/>
            <w:vAlign w:val="bottom"/>
          </w:tcPr>
          <w:p w14:paraId="51734EE3" w14:textId="77777777" w:rsidR="00B553D9" w:rsidRPr="00C178B8" w:rsidRDefault="00B553D9" w:rsidP="005B0786">
            <w:pPr>
              <w:ind w:left="175"/>
            </w:pPr>
            <w:r w:rsidRPr="00C178B8">
              <w:t>hydrocortisone</w:t>
            </w:r>
          </w:p>
        </w:tc>
        <w:tc>
          <w:tcPr>
            <w:tcW w:w="4446" w:type="dxa"/>
            <w:shd w:val="clear" w:color="auto" w:fill="auto"/>
          </w:tcPr>
          <w:p w14:paraId="4FA62877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4</w:t>
            </w:r>
          </w:p>
        </w:tc>
      </w:tr>
      <w:tr w:rsidR="00B553D9" w:rsidRPr="00C178B8" w14:paraId="6F8B7813" w14:textId="77777777" w:rsidTr="005B0786">
        <w:tc>
          <w:tcPr>
            <w:tcW w:w="3208" w:type="dxa"/>
            <w:shd w:val="clear" w:color="auto" w:fill="auto"/>
            <w:vAlign w:val="bottom"/>
          </w:tcPr>
          <w:p w14:paraId="10ADD965" w14:textId="77777777" w:rsidR="00B553D9" w:rsidRPr="00C178B8" w:rsidRDefault="00B553D9" w:rsidP="005B0786">
            <w:pPr>
              <w:ind w:left="175"/>
            </w:pPr>
            <w:r w:rsidRPr="00C178B8">
              <w:t>prednisolone</w:t>
            </w:r>
          </w:p>
        </w:tc>
        <w:tc>
          <w:tcPr>
            <w:tcW w:w="4446" w:type="dxa"/>
            <w:shd w:val="clear" w:color="auto" w:fill="auto"/>
          </w:tcPr>
          <w:p w14:paraId="7879B115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1</w:t>
            </w:r>
          </w:p>
        </w:tc>
      </w:tr>
      <w:tr w:rsidR="00B553D9" w:rsidRPr="00C178B8" w14:paraId="6C5319B7" w14:textId="77777777" w:rsidTr="005B0786">
        <w:tc>
          <w:tcPr>
            <w:tcW w:w="3208" w:type="dxa"/>
            <w:shd w:val="clear" w:color="auto" w:fill="auto"/>
            <w:vAlign w:val="bottom"/>
          </w:tcPr>
          <w:p w14:paraId="548A5E12" w14:textId="77777777" w:rsidR="00B553D9" w:rsidRPr="00C178B8" w:rsidRDefault="00B553D9" w:rsidP="005B0786">
            <w:pPr>
              <w:ind w:left="175"/>
            </w:pPr>
            <w:r w:rsidRPr="00C178B8">
              <w:t>prednisone</w:t>
            </w:r>
          </w:p>
        </w:tc>
        <w:tc>
          <w:tcPr>
            <w:tcW w:w="4446" w:type="dxa"/>
            <w:shd w:val="clear" w:color="auto" w:fill="auto"/>
          </w:tcPr>
          <w:p w14:paraId="5B47CB67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1</w:t>
            </w:r>
          </w:p>
        </w:tc>
      </w:tr>
      <w:tr w:rsidR="00B553D9" w:rsidRPr="00C178B8" w14:paraId="391DD401" w14:textId="77777777" w:rsidTr="005B0786">
        <w:tc>
          <w:tcPr>
            <w:tcW w:w="3208" w:type="dxa"/>
            <w:shd w:val="clear" w:color="auto" w:fill="auto"/>
            <w:vAlign w:val="bottom"/>
          </w:tcPr>
          <w:p w14:paraId="4B0E5F84" w14:textId="77777777" w:rsidR="00B553D9" w:rsidRPr="00C178B8" w:rsidRDefault="00B553D9" w:rsidP="005B0786">
            <w:pPr>
              <w:ind w:left="175"/>
            </w:pPr>
            <w:r w:rsidRPr="00C178B8">
              <w:t>methylprednisolone</w:t>
            </w:r>
          </w:p>
        </w:tc>
        <w:tc>
          <w:tcPr>
            <w:tcW w:w="4446" w:type="dxa"/>
            <w:shd w:val="clear" w:color="auto" w:fill="auto"/>
          </w:tcPr>
          <w:p w14:paraId="0173234C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0.8</w:t>
            </w:r>
          </w:p>
        </w:tc>
      </w:tr>
      <w:tr w:rsidR="00B553D9" w:rsidRPr="00C178B8" w14:paraId="2729FE43" w14:textId="77777777" w:rsidTr="005B0786">
        <w:tc>
          <w:tcPr>
            <w:tcW w:w="3208" w:type="dxa"/>
            <w:shd w:val="clear" w:color="auto" w:fill="auto"/>
            <w:vAlign w:val="bottom"/>
          </w:tcPr>
          <w:p w14:paraId="485B0973" w14:textId="77777777" w:rsidR="00B553D9" w:rsidRPr="00C178B8" w:rsidRDefault="00B553D9" w:rsidP="005B0786">
            <w:pPr>
              <w:ind w:left="175"/>
            </w:pPr>
            <w:r w:rsidRPr="00C178B8">
              <w:t>triamcinolone</w:t>
            </w:r>
          </w:p>
        </w:tc>
        <w:tc>
          <w:tcPr>
            <w:tcW w:w="4446" w:type="dxa"/>
            <w:shd w:val="clear" w:color="auto" w:fill="auto"/>
          </w:tcPr>
          <w:p w14:paraId="678652F9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0.8</w:t>
            </w:r>
          </w:p>
        </w:tc>
      </w:tr>
      <w:tr w:rsidR="00B553D9" w:rsidRPr="00C178B8" w14:paraId="02240C0E" w14:textId="77777777" w:rsidTr="005B0786">
        <w:tc>
          <w:tcPr>
            <w:tcW w:w="3208" w:type="dxa"/>
            <w:shd w:val="clear" w:color="auto" w:fill="auto"/>
            <w:vAlign w:val="bottom"/>
          </w:tcPr>
          <w:p w14:paraId="110C2816" w14:textId="77777777" w:rsidR="00B553D9" w:rsidRPr="00C178B8" w:rsidRDefault="00B553D9" w:rsidP="005B0786">
            <w:pPr>
              <w:ind w:left="175"/>
            </w:pPr>
            <w:r w:rsidRPr="00C178B8">
              <w:t>paramethasone</w:t>
            </w:r>
          </w:p>
        </w:tc>
        <w:tc>
          <w:tcPr>
            <w:tcW w:w="4446" w:type="dxa"/>
            <w:shd w:val="clear" w:color="auto" w:fill="auto"/>
          </w:tcPr>
          <w:p w14:paraId="1A6A7C02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0.4</w:t>
            </w:r>
          </w:p>
        </w:tc>
      </w:tr>
      <w:tr w:rsidR="00B553D9" w:rsidRPr="00C178B8" w14:paraId="02AD8F38" w14:textId="77777777" w:rsidTr="005B0786">
        <w:tc>
          <w:tcPr>
            <w:tcW w:w="3208" w:type="dxa"/>
            <w:shd w:val="clear" w:color="auto" w:fill="auto"/>
            <w:vAlign w:val="bottom"/>
          </w:tcPr>
          <w:p w14:paraId="3BEF38D2" w14:textId="77777777" w:rsidR="00B553D9" w:rsidRPr="00C178B8" w:rsidRDefault="00B553D9" w:rsidP="005B0786">
            <w:pPr>
              <w:ind w:left="175"/>
            </w:pPr>
            <w:r w:rsidRPr="00C178B8">
              <w:t>dexamethasone</w:t>
            </w:r>
          </w:p>
        </w:tc>
        <w:tc>
          <w:tcPr>
            <w:tcW w:w="4446" w:type="dxa"/>
            <w:shd w:val="clear" w:color="auto" w:fill="auto"/>
          </w:tcPr>
          <w:p w14:paraId="6363B1EC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0.15</w:t>
            </w:r>
          </w:p>
        </w:tc>
      </w:tr>
      <w:tr w:rsidR="00B553D9" w:rsidRPr="00C178B8" w14:paraId="70A13E44" w14:textId="77777777" w:rsidTr="005B0786">
        <w:tc>
          <w:tcPr>
            <w:tcW w:w="3208" w:type="dxa"/>
            <w:shd w:val="clear" w:color="auto" w:fill="auto"/>
            <w:vAlign w:val="bottom"/>
          </w:tcPr>
          <w:p w14:paraId="575BFAB5" w14:textId="77777777" w:rsidR="00B553D9" w:rsidRPr="00C178B8" w:rsidRDefault="00B553D9" w:rsidP="005B0786">
            <w:pPr>
              <w:ind w:left="175"/>
            </w:pPr>
            <w:r w:rsidRPr="00C178B8">
              <w:t>betamethasone</w:t>
            </w:r>
          </w:p>
        </w:tc>
        <w:tc>
          <w:tcPr>
            <w:tcW w:w="4446" w:type="dxa"/>
            <w:shd w:val="clear" w:color="auto" w:fill="auto"/>
          </w:tcPr>
          <w:p w14:paraId="7EADE7C4" w14:textId="77777777" w:rsidR="00B553D9" w:rsidRPr="00C178B8" w:rsidRDefault="00B553D9" w:rsidP="005B0786">
            <w:pPr>
              <w:ind w:left="-163"/>
              <w:jc w:val="center"/>
            </w:pPr>
            <w:r w:rsidRPr="00C178B8">
              <w:t>0.12</w:t>
            </w:r>
          </w:p>
        </w:tc>
      </w:tr>
    </w:tbl>
    <w:p w14:paraId="3529F0D7" w14:textId="77777777" w:rsidR="00BF10C9" w:rsidRPr="00C178B8" w:rsidRDefault="00BF10C9" w:rsidP="00BF10C9">
      <w:pPr>
        <w:rPr>
          <w:b/>
          <w:szCs w:val="24"/>
          <w:lang w:val="en-US"/>
        </w:rPr>
      </w:pPr>
    </w:p>
    <w:p w14:paraId="19F183B8" w14:textId="77777777" w:rsidR="00BF10C9" w:rsidRPr="00C178B8" w:rsidRDefault="00BF10C9" w:rsidP="00BF10C9">
      <w:pPr>
        <w:rPr>
          <w:szCs w:val="24"/>
          <w:lang w:val="en-US"/>
        </w:rPr>
      </w:pPr>
    </w:p>
    <w:p w14:paraId="6156E8EF" w14:textId="77777777" w:rsidR="004A1FA3" w:rsidRDefault="004A1FA3" w:rsidP="00B553D9">
      <w:pPr>
        <w:pStyle w:val="SH3"/>
        <w:keepNext/>
      </w:pPr>
      <w:r w:rsidRPr="004A1FA3">
        <w:rPr>
          <w:b/>
          <w:i/>
        </w:rPr>
        <w:lastRenderedPageBreak/>
        <w:t xml:space="preserve">BMI </w:t>
      </w:r>
      <w:r>
        <w:t>means W/H</w:t>
      </w:r>
      <w:r w:rsidRPr="004A1FA3">
        <w:rPr>
          <w:vertAlign w:val="superscript"/>
        </w:rPr>
        <w:t>2</w:t>
      </w:r>
      <w:r>
        <w:t xml:space="preserve"> where: </w:t>
      </w:r>
    </w:p>
    <w:p w14:paraId="5E32F06A" w14:textId="77777777" w:rsidR="004A1FA3" w:rsidRDefault="004A1FA3" w:rsidP="00B553D9">
      <w:pPr>
        <w:pStyle w:val="SH4"/>
        <w:keepNext/>
      </w:pPr>
      <w:r>
        <w:t xml:space="preserve">W is the person's weight in kilograms; and </w:t>
      </w:r>
    </w:p>
    <w:p w14:paraId="633DF94F" w14:textId="77777777" w:rsidR="004A1FA3" w:rsidRPr="004A1FA3" w:rsidRDefault="004A1FA3" w:rsidP="00B553D9">
      <w:pPr>
        <w:pStyle w:val="SH4"/>
        <w:keepNext/>
      </w:pPr>
      <w:r>
        <w:t>H is the person's height in metres.</w:t>
      </w:r>
    </w:p>
    <w:p w14:paraId="5B922DA1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14:paraId="11ED62D7" w14:textId="77777777"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6"/>
      <w:r w:rsidRPr="0090262E">
        <w:rPr>
          <w:b/>
          <w:i/>
        </w:rPr>
        <w:t>relevant service</w:t>
      </w:r>
      <w:r w:rsidRPr="0090262E">
        <w:t xml:space="preserve"> means:</w:t>
      </w:r>
    </w:p>
    <w:p w14:paraId="5AF5946A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A4B9D32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61DA5636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02A47A9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410BE367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001FCB6D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ECBC261" w14:textId="77777777"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="007F1AA0">
        <w:t xml:space="preserve"> are</w:t>
      </w:r>
      <w:r w:rsidRPr="007C627D">
        <w:t xml:space="preserve"> defined in the Schedule 1 - Dictionary.</w:t>
      </w:r>
    </w:p>
    <w:p w14:paraId="49ECDC67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1ED0497D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37A013BB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1321C62D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11BC6CA4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04A07D37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1BF04BD9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6C9A8564" w14:textId="77777777" w:rsidR="00CF2367" w:rsidRPr="00FA33FB" w:rsidRDefault="00CF2367" w:rsidP="00CF2367"/>
    <w:p w14:paraId="7EFC4B0E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FD8507F" w14:textId="77777777"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6036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B76BBCC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93D3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56C2EA2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E4EA95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082362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A42247E" w14:textId="729BA41E" w:rsidR="00BE28AA" w:rsidRDefault="00E6447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64476">
            <w:rPr>
              <w:i/>
              <w:sz w:val="18"/>
              <w:szCs w:val="18"/>
            </w:rPr>
            <w:t>Achilles Tendinopathy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E64476">
            <w:rPr>
              <w:i/>
              <w:sz w:val="18"/>
              <w:szCs w:val="18"/>
            </w:rPr>
            <w:t>86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E64476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167ED0F7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234962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81DD1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81DD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0E9E9552" w14:textId="77777777"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0E7" w14:textId="77777777"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14:paraId="50827F2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14F685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424CE6" w14:textId="77777777"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78CBB58" w14:textId="466AFD02" w:rsidR="00BE28AA" w:rsidRDefault="00E64476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64476">
            <w:rPr>
              <w:i/>
              <w:sz w:val="18"/>
              <w:szCs w:val="18"/>
            </w:rPr>
            <w:t>Achilles Tendinopathy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E64476">
            <w:rPr>
              <w:i/>
              <w:sz w:val="18"/>
              <w:szCs w:val="18"/>
            </w:rPr>
            <w:t>86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E64476">
            <w:rPr>
              <w:i/>
              <w:sz w:val="18"/>
              <w:szCs w:val="18"/>
            </w:rPr>
            <w:t>2024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14:paraId="2CFBE3C1" w14:textId="77777777"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5D3336" w14:textId="77777777"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81DD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81DD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3953C6AB" w14:textId="77777777"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9E1C2" w14:textId="77777777"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17BF" w14:textId="77777777"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04C3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2D9E" w14:textId="77777777"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C7CC6" w14:textId="77777777"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9FA51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CAACCA8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29AB" w14:textId="52182A85"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DFEF" w14:textId="77777777"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EA7FE" w14:textId="77777777"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56FA96C" w14:textId="77777777"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53C8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A0CB" w14:textId="77777777"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161C" w14:textId="77777777"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C7ED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760505">
    <w:abstractNumId w:val="14"/>
  </w:num>
  <w:num w:numId="2" w16cid:durableId="983267891">
    <w:abstractNumId w:val="12"/>
  </w:num>
  <w:num w:numId="3" w16cid:durableId="1636597329">
    <w:abstractNumId w:val="11"/>
  </w:num>
  <w:num w:numId="4" w16cid:durableId="2043942609">
    <w:abstractNumId w:val="10"/>
  </w:num>
  <w:num w:numId="5" w16cid:durableId="787312463">
    <w:abstractNumId w:val="13"/>
  </w:num>
  <w:num w:numId="6" w16cid:durableId="48654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764623">
    <w:abstractNumId w:val="9"/>
  </w:num>
  <w:num w:numId="8" w16cid:durableId="416710147">
    <w:abstractNumId w:val="7"/>
  </w:num>
  <w:num w:numId="9" w16cid:durableId="893782637">
    <w:abstractNumId w:val="6"/>
  </w:num>
  <w:num w:numId="10" w16cid:durableId="51736972">
    <w:abstractNumId w:val="5"/>
  </w:num>
  <w:num w:numId="11" w16cid:durableId="694354207">
    <w:abstractNumId w:val="4"/>
  </w:num>
  <w:num w:numId="12" w16cid:durableId="2121947774">
    <w:abstractNumId w:val="8"/>
  </w:num>
  <w:num w:numId="13" w16cid:durableId="319769495">
    <w:abstractNumId w:val="3"/>
  </w:num>
  <w:num w:numId="14" w16cid:durableId="1727102408">
    <w:abstractNumId w:val="2"/>
  </w:num>
  <w:num w:numId="15" w16cid:durableId="528448938">
    <w:abstractNumId w:val="1"/>
  </w:num>
  <w:num w:numId="16" w16cid:durableId="454175603">
    <w:abstractNumId w:val="0"/>
  </w:num>
  <w:num w:numId="17" w16cid:durableId="2123379076">
    <w:abstractNumId w:val="10"/>
  </w:num>
  <w:num w:numId="18" w16cid:durableId="730076230">
    <w:abstractNumId w:val="10"/>
  </w:num>
  <w:num w:numId="19" w16cid:durableId="2027519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6076926">
    <w:abstractNumId w:val="15"/>
  </w:num>
  <w:num w:numId="21" w16cid:durableId="21060735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33C2E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D7B87"/>
    <w:rsid w:val="000E2261"/>
    <w:rsid w:val="000E4183"/>
    <w:rsid w:val="000E68E3"/>
    <w:rsid w:val="000F21C1"/>
    <w:rsid w:val="000F76FA"/>
    <w:rsid w:val="00101F89"/>
    <w:rsid w:val="001058EA"/>
    <w:rsid w:val="0010745C"/>
    <w:rsid w:val="00127C33"/>
    <w:rsid w:val="00132CEB"/>
    <w:rsid w:val="00137D25"/>
    <w:rsid w:val="00137FE9"/>
    <w:rsid w:val="00142B62"/>
    <w:rsid w:val="00143463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5CD6"/>
    <w:rsid w:val="0026736C"/>
    <w:rsid w:val="002716E4"/>
    <w:rsid w:val="0027179B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4396"/>
    <w:rsid w:val="00356690"/>
    <w:rsid w:val="00360459"/>
    <w:rsid w:val="00365E25"/>
    <w:rsid w:val="003734C6"/>
    <w:rsid w:val="00375BB3"/>
    <w:rsid w:val="003761F7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681C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1FA3"/>
    <w:rsid w:val="004A4764"/>
    <w:rsid w:val="004A5E4B"/>
    <w:rsid w:val="004C5E3B"/>
    <w:rsid w:val="004C6AE8"/>
    <w:rsid w:val="004C6D55"/>
    <w:rsid w:val="004D10CF"/>
    <w:rsid w:val="004D4BCA"/>
    <w:rsid w:val="004E063A"/>
    <w:rsid w:val="004E7BEC"/>
    <w:rsid w:val="004F23E0"/>
    <w:rsid w:val="00502521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786"/>
    <w:rsid w:val="005B4067"/>
    <w:rsid w:val="005C2A4E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DD1"/>
    <w:rsid w:val="006840B0"/>
    <w:rsid w:val="00684C0E"/>
    <w:rsid w:val="006905DE"/>
    <w:rsid w:val="0069207B"/>
    <w:rsid w:val="0069220C"/>
    <w:rsid w:val="00695023"/>
    <w:rsid w:val="00695EFE"/>
    <w:rsid w:val="006A4E4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6F644F"/>
    <w:rsid w:val="0070017E"/>
    <w:rsid w:val="00700B2C"/>
    <w:rsid w:val="007012DB"/>
    <w:rsid w:val="00702C42"/>
    <w:rsid w:val="00704703"/>
    <w:rsid w:val="00705034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1CF1"/>
    <w:rsid w:val="007D3BA2"/>
    <w:rsid w:val="007E163D"/>
    <w:rsid w:val="007E667A"/>
    <w:rsid w:val="007F1AA0"/>
    <w:rsid w:val="007F2378"/>
    <w:rsid w:val="007F28C9"/>
    <w:rsid w:val="00803587"/>
    <w:rsid w:val="00806368"/>
    <w:rsid w:val="008105EA"/>
    <w:rsid w:val="008117E9"/>
    <w:rsid w:val="00824498"/>
    <w:rsid w:val="0082594C"/>
    <w:rsid w:val="008321ED"/>
    <w:rsid w:val="00832C32"/>
    <w:rsid w:val="00842EA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B390E"/>
    <w:rsid w:val="008C7465"/>
    <w:rsid w:val="008D0E39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3BF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878B8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82517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564B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53D9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07ED"/>
    <w:rsid w:val="00BE2155"/>
    <w:rsid w:val="00BE2213"/>
    <w:rsid w:val="00BE28AA"/>
    <w:rsid w:val="00BE6EDA"/>
    <w:rsid w:val="00BE719A"/>
    <w:rsid w:val="00BE720A"/>
    <w:rsid w:val="00BF0D73"/>
    <w:rsid w:val="00BF10C9"/>
    <w:rsid w:val="00BF2465"/>
    <w:rsid w:val="00BF43B4"/>
    <w:rsid w:val="00BF525F"/>
    <w:rsid w:val="00C01863"/>
    <w:rsid w:val="00C11D03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6391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2430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1E0A"/>
    <w:rsid w:val="00D527C9"/>
    <w:rsid w:val="00D52DC2"/>
    <w:rsid w:val="00D53BCC"/>
    <w:rsid w:val="00D5599D"/>
    <w:rsid w:val="00D5620B"/>
    <w:rsid w:val="00D60FC8"/>
    <w:rsid w:val="00D63825"/>
    <w:rsid w:val="00D70DFB"/>
    <w:rsid w:val="00D71633"/>
    <w:rsid w:val="00D766DF"/>
    <w:rsid w:val="00D9100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47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5F04"/>
    <w:rsid w:val="00F072A7"/>
    <w:rsid w:val="00F078DC"/>
    <w:rsid w:val="00F11821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1C1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2E33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9165</Characters>
  <Application>Microsoft Office Word</Application>
  <DocSecurity>0</DocSecurity>
  <PresentationFormat/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2024-05-27T04:03:00Z</dcterms:created>
  <dcterms:modified xsi:type="dcterms:W3CDTF">2024-10-21T02:40:00Z</dcterms:modified>
  <cp:category/>
  <cp:contentStatus/>
  <dc:language/>
  <cp:version/>
</cp:coreProperties>
</file>