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16362B">
        <w:t>EBORRH</w:t>
      </w:r>
      <w:r w:rsidR="00735428">
        <w:t>O</w:t>
      </w:r>
      <w:r w:rsidR="0016362B">
        <w:t xml:space="preserve">EIC </w:t>
      </w:r>
      <w:proofErr w:type="gramStart"/>
      <w:r w:rsidR="0016362B">
        <w:t>KERATOSIS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D5E01">
        <w:t>19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6362B">
        <w:t>2024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4D5E01">
        <w:rPr>
          <w:b w:val="0"/>
        </w:rPr>
        <w:t>22 February 2024.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4D5E01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4D5E0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12513134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16362B">
        <w:rPr>
          <w:i/>
        </w:rPr>
        <w:t>eborrh</w:t>
      </w:r>
      <w:r w:rsidR="00735428">
        <w:rPr>
          <w:i/>
        </w:rPr>
        <w:t>o</w:t>
      </w:r>
      <w:r w:rsidR="0016362B">
        <w:rPr>
          <w:i/>
        </w:rPr>
        <w:t>eic keratosis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D5E01">
        <w:t>19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D5E01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12513135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D5E01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D5E01" w:rsidRPr="004D5E01">
        <w:t>seborrhoeic keratosis</w:t>
      </w:r>
      <w:r w:rsidR="00577C03">
        <w:t xml:space="preserve"> No. 55 </w:t>
      </w:r>
      <w:r w:rsidRPr="00DA3996">
        <w:t>of</w:t>
      </w:r>
      <w:r w:rsidR="00577C03">
        <w:t xml:space="preserve"> 2015</w:t>
      </w:r>
      <w:r w:rsidR="005962C4">
        <w:t xml:space="preserve"> </w:t>
      </w:r>
      <w:r w:rsidR="005962C4" w:rsidRPr="00786DAE">
        <w:t>(Federal Re</w:t>
      </w:r>
      <w:r w:rsidR="00577C03">
        <w:t>gister of Legislation No. F2015L00250</w:t>
      </w:r>
      <w:r w:rsidR="005962C4" w:rsidRPr="00786DAE">
        <w:t xml:space="preserve">) </w:t>
      </w:r>
      <w:r w:rsidR="005962C4" w:rsidRPr="00DA3996">
        <w:t>made und</w:t>
      </w:r>
      <w:r w:rsidR="00577C03">
        <w:t xml:space="preserve">er subsection </w:t>
      </w:r>
      <w:proofErr w:type="gramStart"/>
      <w:r w:rsidR="00577C03">
        <w:t>196B(</w:t>
      </w:r>
      <w:proofErr w:type="gramEnd"/>
      <w:r w:rsidR="00577C03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D5E01" w:rsidRPr="004D5E01">
        <w:t>seborrhoeic keratosis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D5E01" w:rsidRPr="004D5E01">
        <w:t>seborrhoeic keratosis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D5E01" w:rsidRPr="004D5E01">
        <w:rPr>
          <w:b/>
        </w:rPr>
        <w:t>seborrhoeic keratosis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D5E01" w:rsidRPr="004D5E01">
        <w:t>seborrhoeic keratosis</w:t>
      </w:r>
      <w:r w:rsidR="002716E4" w:rsidRPr="00237BAF">
        <w:t>:</w:t>
      </w:r>
      <w:bookmarkEnd w:id="19"/>
    </w:p>
    <w:bookmarkEnd w:id="20"/>
    <w:p w:rsidR="004C07E0" w:rsidRDefault="004C07E0" w:rsidP="004C07E0">
      <w:pPr>
        <w:pStyle w:val="LV3"/>
      </w:pPr>
      <w:r>
        <w:t>means a benign intra-epidermal skin tumour arising from the  proliferation of basaloid keratinocytes with histopathological architecture of a papilloma with a flat base and a hyperkeratotic crown; and</w:t>
      </w:r>
    </w:p>
    <w:p w:rsidR="004C07E0" w:rsidRDefault="004C07E0" w:rsidP="004C07E0">
      <w:pPr>
        <w:pStyle w:val="LV3"/>
      </w:pPr>
      <w:r>
        <w:t>includes:</w:t>
      </w:r>
    </w:p>
    <w:p w:rsidR="004C07E0" w:rsidRDefault="004C07E0" w:rsidP="004C07E0">
      <w:pPr>
        <w:pStyle w:val="LV4"/>
      </w:pPr>
      <w:r>
        <w:t>basal cell papilloma;</w:t>
      </w:r>
    </w:p>
    <w:p w:rsidR="004C07E0" w:rsidRDefault="004C07E0" w:rsidP="004C07E0">
      <w:pPr>
        <w:pStyle w:val="LV4"/>
      </w:pPr>
      <w:r>
        <w:t xml:space="preserve">dermatosis papulosa nigra; </w:t>
      </w:r>
    </w:p>
    <w:p w:rsidR="004C07E0" w:rsidRDefault="004C07E0" w:rsidP="004C07E0">
      <w:pPr>
        <w:pStyle w:val="LV4"/>
      </w:pPr>
      <w:r>
        <w:t>pigmented seborrhoeic keratosis;</w:t>
      </w:r>
    </w:p>
    <w:p w:rsidR="004C07E0" w:rsidRDefault="004C07E0" w:rsidP="004C07E0">
      <w:pPr>
        <w:pStyle w:val="LV4"/>
      </w:pPr>
      <w:r>
        <w:t>seborrhoeic wart;</w:t>
      </w:r>
    </w:p>
    <w:p w:rsidR="004C07E0" w:rsidRDefault="004C07E0" w:rsidP="004C07E0">
      <w:pPr>
        <w:pStyle w:val="LV4"/>
      </w:pPr>
      <w:r>
        <w:t>stucco keratosis; and</w:t>
      </w:r>
    </w:p>
    <w:p w:rsidR="004C07E0" w:rsidRDefault="004C07E0" w:rsidP="004C07E0">
      <w:pPr>
        <w:pStyle w:val="LV4"/>
      </w:pPr>
      <w:r>
        <w:lastRenderedPageBreak/>
        <w:t xml:space="preserve"> </w:t>
      </w:r>
      <w:proofErr w:type="spellStart"/>
      <w:r>
        <w:t>Leser-Trélat</w:t>
      </w:r>
      <w:proofErr w:type="spellEnd"/>
      <w:r>
        <w:t xml:space="preserve"> sign/disease; and</w:t>
      </w:r>
    </w:p>
    <w:p w:rsidR="004C07E0" w:rsidRDefault="004C07E0" w:rsidP="004C07E0">
      <w:pPr>
        <w:pStyle w:val="LV3"/>
      </w:pPr>
      <w:r>
        <w:t>excludes:</w:t>
      </w:r>
    </w:p>
    <w:p w:rsidR="004C07E0" w:rsidRDefault="004C07E0" w:rsidP="004C07E0">
      <w:pPr>
        <w:pStyle w:val="LV4"/>
      </w:pPr>
      <w:r>
        <w:t xml:space="preserve">seborrhoeic dermatitis;  </w:t>
      </w:r>
    </w:p>
    <w:p w:rsidR="004C07E0" w:rsidRDefault="004C07E0" w:rsidP="004C07E0">
      <w:pPr>
        <w:pStyle w:val="LV4"/>
      </w:pPr>
      <w:r>
        <w:t>seborrhoeic psoriasis; and</w:t>
      </w:r>
    </w:p>
    <w:p w:rsidR="004C07E0" w:rsidRDefault="004C07E0" w:rsidP="004C07E0">
      <w:pPr>
        <w:pStyle w:val="LV4"/>
      </w:pPr>
      <w:proofErr w:type="gramStart"/>
      <w:r>
        <w:t>solar</w:t>
      </w:r>
      <w:proofErr w:type="gramEnd"/>
      <w:r>
        <w:t xml:space="preserve"> keratosis.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4D5E01" w:rsidRPr="004D5E01">
        <w:t>seborrhoeic keratosis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C07E0">
        <w:t>L82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D5E01" w:rsidRPr="004D5E01">
        <w:t>seborrhoeic keratosis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D5E01" w:rsidRPr="004D5E01">
        <w:rPr>
          <w:b/>
        </w:rPr>
        <w:t>seborrhoeic keratosis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D5E01" w:rsidRPr="004D5E01">
        <w:t>seborrhoeic keratosis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D5E01" w:rsidRPr="004D5E01">
        <w:t>seborrhoeic keratosis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4D5E01" w:rsidRPr="004D5E01">
        <w:t>seborrhoeic keratosis</w:t>
      </w:r>
      <w:r>
        <w:t xml:space="preserve"> </w:t>
      </w:r>
      <w:r w:rsidRPr="00D5620B">
        <w:t>and death from</w:t>
      </w:r>
      <w:r>
        <w:t xml:space="preserve"> </w:t>
      </w:r>
      <w:r w:rsidR="004D5E01" w:rsidRPr="004D5E01">
        <w:t>seborrhoeic keratosis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D5E01" w:rsidRPr="004D5E01">
        <w:t>seborrhoeic keratosis</w:t>
      </w:r>
      <w:r w:rsidR="007A3989">
        <w:t xml:space="preserve"> </w:t>
      </w:r>
      <w:r w:rsidR="007C7DEE" w:rsidRPr="00AA6D8B">
        <w:t xml:space="preserve">or death from </w:t>
      </w:r>
      <w:r w:rsidR="004D5E01" w:rsidRPr="004D5E01">
        <w:t>seborrhoeic keratosis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C07E0" w:rsidRDefault="004C07E0" w:rsidP="004C07E0">
      <w:pPr>
        <w:pStyle w:val="LV2"/>
      </w:pPr>
      <w:bookmarkStart w:id="27" w:name="_Ref402530260"/>
      <w:bookmarkStart w:id="28" w:name="_Ref409598844"/>
      <w:r>
        <w:t>having sunlight exposure to unprotected skin at the affected site for at least 2,250 hours while in a tropical area, or having equivalent sunlight exposure in other latitude zones (latitu</w:t>
      </w:r>
      <w:r w:rsidR="00D40FB3">
        <w:t>de equivalent hours), before</w:t>
      </w:r>
      <w:r>
        <w:t xml:space="preserve"> clinica</w:t>
      </w:r>
      <w:r w:rsidR="00D40FB3">
        <w:t>l onset</w:t>
      </w:r>
      <w:r>
        <w:t xml:space="preserve">; </w:t>
      </w:r>
    </w:p>
    <w:p w:rsidR="00253D7C" w:rsidRPr="00046E67" w:rsidRDefault="004C07E0" w:rsidP="004C07E0">
      <w:pPr>
        <w:pStyle w:val="NOTE"/>
      </w:pPr>
      <w:r>
        <w:t xml:space="preserve">Note: </w:t>
      </w:r>
      <w:r w:rsidRPr="004C07E0">
        <w:rPr>
          <w:b/>
          <w:i/>
        </w:rPr>
        <w:t xml:space="preserve">latitude equivalent hours </w:t>
      </w:r>
      <w:r>
        <w:t>are defined in the Schedule 1 - Dictionary.</w:t>
      </w:r>
    </w:p>
    <w:p w:rsidR="00253D7C" w:rsidRPr="008E76DC" w:rsidRDefault="00056528" w:rsidP="00056528">
      <w:pPr>
        <w:pStyle w:val="LV2"/>
      </w:pPr>
      <w:r w:rsidRPr="00056528">
        <w:t xml:space="preserve">for the </w:t>
      </w:r>
      <w:proofErr w:type="spellStart"/>
      <w:r w:rsidRPr="00056528">
        <w:t>Leser-Trélat</w:t>
      </w:r>
      <w:proofErr w:type="spellEnd"/>
      <w:r w:rsidRPr="00056528">
        <w:t xml:space="preserve"> sign only (sudden onset of &gt;20 new seborrhoeic keratoses within 6 months), having a malignancy excluding non-</w:t>
      </w:r>
      <w:r w:rsidRPr="00056528">
        <w:lastRenderedPageBreak/>
        <w:t>melanotic malignant neoplasm of t</w:t>
      </w:r>
      <w:r w:rsidR="00D40FB3">
        <w:t xml:space="preserve">he skin, within 1 year before </w:t>
      </w:r>
      <w:r w:rsidRPr="00056528">
        <w:t xml:space="preserve"> clinica</w:t>
      </w:r>
      <w:r w:rsidR="00D40FB3">
        <w:t>l</w:t>
      </w:r>
      <w:r w:rsidRPr="00056528">
        <w:t>;</w:t>
      </w:r>
    </w:p>
    <w:p w:rsidR="00253D7C" w:rsidRPr="008E76DC" w:rsidRDefault="00056528" w:rsidP="00056528">
      <w:pPr>
        <w:pStyle w:val="LV2"/>
      </w:pPr>
      <w:r w:rsidRPr="00056528">
        <w:t xml:space="preserve">taking a course of </w:t>
      </w:r>
      <w:proofErr w:type="spellStart"/>
      <w:r w:rsidRPr="00056528">
        <w:t>dabrafenib</w:t>
      </w:r>
      <w:proofErr w:type="spellEnd"/>
      <w:r w:rsidRPr="00056528">
        <w:t xml:space="preserve"> or </w:t>
      </w:r>
      <w:proofErr w:type="spellStart"/>
      <w:r w:rsidRPr="00056528">
        <w:t>vemurafenib</w:t>
      </w:r>
      <w:proofErr w:type="spellEnd"/>
      <w:r w:rsidRPr="00056528">
        <w:t xml:space="preserve"> for the treatment of</w:t>
      </w:r>
      <w:r>
        <w:t xml:space="preserve"> cancer within 1 year before</w:t>
      </w:r>
      <w:r w:rsidRPr="00056528">
        <w:t xml:space="preserve"> clinica</w:t>
      </w:r>
      <w:r>
        <w:t>l onset</w:t>
      </w:r>
      <w:r w:rsidRPr="00056528">
        <w:t>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D5E01" w:rsidRPr="004D5E01">
        <w:t>seborrhoeic keratosis</w:t>
      </w:r>
      <w:r w:rsidR="00056528">
        <w:t xml:space="preserve"> before clinical worsening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1251314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056528">
        <w:t>subsection</w:t>
      </w:r>
      <w:r w:rsidR="00FF1D47">
        <w:t xml:space="preserve"> </w:t>
      </w:r>
      <w:r w:rsidR="00DA3996">
        <w:t>9</w:t>
      </w:r>
      <w:r w:rsidR="00056528">
        <w:t>(4</w:t>
      </w:r>
      <w:r w:rsidR="00FF1D47">
        <w:t xml:space="preserve">) </w:t>
      </w:r>
      <w:r w:rsidRPr="00187DE1">
        <w:t xml:space="preserve">applies only to material contribution to, or aggravation of, </w:t>
      </w:r>
      <w:r w:rsidR="004D5E01" w:rsidRPr="004D5E01">
        <w:t>seborrhoeic keratosis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D5E01" w:rsidRPr="004D5E01">
        <w:t>seborrhoeic keratosis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4C07E0" w:rsidRDefault="004C07E0" w:rsidP="004C07E0">
      <w:pPr>
        <w:ind w:left="851"/>
      </w:pPr>
      <w:bookmarkStart w:id="37" w:name="_Ref402530810"/>
      <w:proofErr w:type="gramStart"/>
      <w:r w:rsidRPr="000932B4">
        <w:rPr>
          <w:b/>
          <w:i/>
        </w:rPr>
        <w:t>latitude</w:t>
      </w:r>
      <w:proofErr w:type="gramEnd"/>
      <w:r w:rsidRPr="000932B4">
        <w:rPr>
          <w:b/>
          <w:i/>
        </w:rPr>
        <w:t xml:space="preserve"> equivalent hours</w:t>
      </w:r>
      <w:r>
        <w:t xml:space="preserve"> means hours of exposure multiplied by the appropriate latitude weighting factor shown below.</w:t>
      </w:r>
    </w:p>
    <w:tbl>
      <w:tblPr>
        <w:tblStyle w:val="TableGrid"/>
        <w:tblW w:w="0" w:type="auto"/>
        <w:tblInd w:w="566" w:type="dxa"/>
        <w:tblLayout w:type="fixed"/>
        <w:tblLook w:val="04A0" w:firstRow="1" w:lastRow="0" w:firstColumn="1" w:lastColumn="0" w:noHBand="0" w:noVBand="1"/>
      </w:tblPr>
      <w:tblGrid>
        <w:gridCol w:w="1856"/>
        <w:gridCol w:w="2908"/>
        <w:gridCol w:w="2383"/>
      </w:tblGrid>
      <w:tr w:rsidR="004C07E0" w:rsidRPr="00710366" w:rsidTr="0017020A">
        <w:tc>
          <w:tcPr>
            <w:tcW w:w="4764" w:type="dxa"/>
            <w:gridSpan w:val="2"/>
            <w:tcBorders>
              <w:bottom w:val="single" w:sz="4" w:space="0" w:color="auto"/>
            </w:tcBorders>
          </w:tcPr>
          <w:p w:rsidR="004C07E0" w:rsidRPr="00710366" w:rsidRDefault="004C07E0" w:rsidP="00CB6707">
            <w:pPr>
              <w:jc w:val="center"/>
              <w:rPr>
                <w:b/>
              </w:rPr>
            </w:pPr>
            <w:r w:rsidRPr="00710366">
              <w:rPr>
                <w:b/>
              </w:rPr>
              <w:t>Latitude</w:t>
            </w:r>
          </w:p>
        </w:tc>
        <w:tc>
          <w:tcPr>
            <w:tcW w:w="2383" w:type="dxa"/>
          </w:tcPr>
          <w:p w:rsidR="004C07E0" w:rsidRPr="00710366" w:rsidRDefault="004C07E0" w:rsidP="00CB6707">
            <w:pPr>
              <w:jc w:val="center"/>
              <w:rPr>
                <w:b/>
              </w:rPr>
            </w:pPr>
            <w:r w:rsidRPr="00710366">
              <w:rPr>
                <w:b/>
              </w:rPr>
              <w:t>Latitude weighting factor</w:t>
            </w:r>
          </w:p>
        </w:tc>
      </w:tr>
      <w:tr w:rsidR="004C07E0" w:rsidTr="0017020A">
        <w:tc>
          <w:tcPr>
            <w:tcW w:w="1856" w:type="dxa"/>
            <w:tcBorders>
              <w:right w:val="nil"/>
            </w:tcBorders>
          </w:tcPr>
          <w:p w:rsidR="004C07E0" w:rsidRDefault="004C07E0" w:rsidP="00CB6707">
            <w:r>
              <w:t>Tropical</w:t>
            </w:r>
          </w:p>
        </w:tc>
        <w:tc>
          <w:tcPr>
            <w:tcW w:w="2908" w:type="dxa"/>
            <w:tcBorders>
              <w:left w:val="nil"/>
            </w:tcBorders>
          </w:tcPr>
          <w:p w:rsidR="004C07E0" w:rsidRDefault="004C07E0" w:rsidP="00CB6707">
            <w:r>
              <w:t>23.5° North - 23.5° South</w:t>
            </w:r>
          </w:p>
        </w:tc>
        <w:tc>
          <w:tcPr>
            <w:tcW w:w="2383" w:type="dxa"/>
          </w:tcPr>
          <w:p w:rsidR="004C07E0" w:rsidRDefault="004C07E0" w:rsidP="00CB6707">
            <w:r>
              <w:t>1.0</w:t>
            </w:r>
          </w:p>
        </w:tc>
      </w:tr>
      <w:tr w:rsidR="004C07E0" w:rsidTr="0017020A">
        <w:tc>
          <w:tcPr>
            <w:tcW w:w="1856" w:type="dxa"/>
            <w:tcBorders>
              <w:right w:val="nil"/>
            </w:tcBorders>
          </w:tcPr>
          <w:p w:rsidR="004C07E0" w:rsidRDefault="004C07E0" w:rsidP="00CB6707">
            <w:r>
              <w:t>Subtropical</w:t>
            </w:r>
          </w:p>
        </w:tc>
        <w:tc>
          <w:tcPr>
            <w:tcW w:w="2908" w:type="dxa"/>
            <w:tcBorders>
              <w:left w:val="nil"/>
            </w:tcBorders>
          </w:tcPr>
          <w:p w:rsidR="004C07E0" w:rsidRDefault="004C07E0" w:rsidP="00CB6707">
            <w:r>
              <w:t>&gt; 23.5° - 35° North</w:t>
            </w:r>
          </w:p>
          <w:p w:rsidR="004C07E0" w:rsidRDefault="004C07E0" w:rsidP="00CB6707">
            <w:r>
              <w:t>&gt; 23.5° - 35° South</w:t>
            </w:r>
          </w:p>
        </w:tc>
        <w:tc>
          <w:tcPr>
            <w:tcW w:w="2383" w:type="dxa"/>
          </w:tcPr>
          <w:p w:rsidR="004C07E0" w:rsidRDefault="004C07E0" w:rsidP="00CB6707">
            <w:r>
              <w:t>0.75</w:t>
            </w:r>
          </w:p>
          <w:p w:rsidR="004C07E0" w:rsidRDefault="004C07E0" w:rsidP="00CB6707">
            <w:r>
              <w:t>0.75</w:t>
            </w:r>
          </w:p>
        </w:tc>
      </w:tr>
      <w:tr w:rsidR="004C07E0" w:rsidTr="0017020A">
        <w:tc>
          <w:tcPr>
            <w:tcW w:w="1856" w:type="dxa"/>
            <w:tcBorders>
              <w:right w:val="nil"/>
            </w:tcBorders>
          </w:tcPr>
          <w:p w:rsidR="004C07E0" w:rsidRDefault="004C07E0" w:rsidP="00CB6707">
            <w:r>
              <w:t>Warm temperate</w:t>
            </w:r>
          </w:p>
        </w:tc>
        <w:tc>
          <w:tcPr>
            <w:tcW w:w="2908" w:type="dxa"/>
            <w:tcBorders>
              <w:left w:val="nil"/>
            </w:tcBorders>
          </w:tcPr>
          <w:p w:rsidR="004C07E0" w:rsidRDefault="004C07E0" w:rsidP="00CB6707">
            <w:r>
              <w:t>&gt; 35° - 45° North</w:t>
            </w:r>
          </w:p>
          <w:p w:rsidR="004C07E0" w:rsidRDefault="004C07E0" w:rsidP="00CB6707">
            <w:r>
              <w:t>&gt; 35° - 45° South</w:t>
            </w:r>
          </w:p>
        </w:tc>
        <w:tc>
          <w:tcPr>
            <w:tcW w:w="2383" w:type="dxa"/>
          </w:tcPr>
          <w:p w:rsidR="004C07E0" w:rsidRDefault="004C07E0" w:rsidP="00CB6707">
            <w:r>
              <w:t>0.5</w:t>
            </w:r>
          </w:p>
          <w:p w:rsidR="004C07E0" w:rsidRDefault="004C07E0" w:rsidP="00CB6707">
            <w:r>
              <w:t>0.5</w:t>
            </w:r>
          </w:p>
        </w:tc>
      </w:tr>
      <w:tr w:rsidR="004C07E0" w:rsidTr="0017020A">
        <w:tc>
          <w:tcPr>
            <w:tcW w:w="1856" w:type="dxa"/>
            <w:tcBorders>
              <w:right w:val="nil"/>
            </w:tcBorders>
          </w:tcPr>
          <w:p w:rsidR="004C07E0" w:rsidRDefault="004C07E0" w:rsidP="00CB6707">
            <w:r>
              <w:t>Cool temperate</w:t>
            </w:r>
          </w:p>
        </w:tc>
        <w:tc>
          <w:tcPr>
            <w:tcW w:w="2908" w:type="dxa"/>
            <w:tcBorders>
              <w:left w:val="nil"/>
            </w:tcBorders>
          </w:tcPr>
          <w:p w:rsidR="004C07E0" w:rsidRDefault="004C07E0" w:rsidP="00CB6707">
            <w:r>
              <w:t>&gt; 45° - 65° North</w:t>
            </w:r>
          </w:p>
          <w:p w:rsidR="004C07E0" w:rsidRDefault="004C07E0" w:rsidP="00CB6707">
            <w:r>
              <w:t>&gt; 45° - 65° South</w:t>
            </w:r>
          </w:p>
        </w:tc>
        <w:tc>
          <w:tcPr>
            <w:tcW w:w="2383" w:type="dxa"/>
          </w:tcPr>
          <w:p w:rsidR="004C07E0" w:rsidRDefault="004C07E0" w:rsidP="00CB6707">
            <w:r>
              <w:t>0.25</w:t>
            </w:r>
          </w:p>
          <w:p w:rsidR="004C07E0" w:rsidRDefault="004C07E0" w:rsidP="00CB6707">
            <w:r>
              <w:t>0.25</w:t>
            </w:r>
          </w:p>
        </w:tc>
      </w:tr>
    </w:tbl>
    <w:p w:rsidR="004C07E0" w:rsidRDefault="004C07E0" w:rsidP="004C07E0">
      <w:pPr>
        <w:rPr>
          <w:szCs w:val="24"/>
          <w:lang w:val="en-US"/>
        </w:rPr>
      </w:pPr>
    </w:p>
    <w:p w:rsidR="004C07E0" w:rsidRPr="00A76F88" w:rsidRDefault="004C07E0" w:rsidP="004C07E0">
      <w:pPr>
        <w:ind w:left="567"/>
        <w:rPr>
          <w:sz w:val="18"/>
          <w:szCs w:val="18"/>
        </w:rPr>
      </w:pPr>
      <w:r>
        <w:rPr>
          <w:sz w:val="18"/>
          <w:szCs w:val="18"/>
        </w:rPr>
        <w:t>Note: S</w:t>
      </w:r>
      <w:r w:rsidRPr="00A76F88">
        <w:rPr>
          <w:sz w:val="18"/>
          <w:szCs w:val="18"/>
        </w:rPr>
        <w:t xml:space="preserve">unlight exposure </w:t>
      </w:r>
      <w:r>
        <w:rPr>
          <w:sz w:val="18"/>
          <w:szCs w:val="18"/>
        </w:rPr>
        <w:t>is calculated as the sum</w:t>
      </w:r>
      <w:r w:rsidRPr="00A76F88">
        <w:rPr>
          <w:sz w:val="18"/>
          <w:szCs w:val="18"/>
        </w:rPr>
        <w:t xml:space="preserve"> of sunlight exposure in each separate latitude, accounting for the different sunlight intensity in each latitude (weighting factor).</w:t>
      </w:r>
    </w:p>
    <w:p w:rsidR="004C07E0" w:rsidRDefault="004C07E0" w:rsidP="004C07E0">
      <w:pPr>
        <w:ind w:left="567"/>
        <w:rPr>
          <w:sz w:val="18"/>
          <w:szCs w:val="18"/>
        </w:rPr>
      </w:pPr>
      <w:r w:rsidRPr="00A76F88">
        <w:rPr>
          <w:sz w:val="18"/>
          <w:szCs w:val="18"/>
        </w:rPr>
        <w:t>Sum of sunlight exposure = (hours spent in tropical latitude x tropical latitude weighting factor) + (hours spent in subtropical latitude x subtropical latitude weighting factor) + (hours spent in warm temperate latitude x warm temperate latitude weighting factor) + (hours spent in cool temperate latitude x cool temperate latitude weighting factor)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:rsidR="00885EAB" w:rsidRPr="00513D05" w:rsidRDefault="004D5E01" w:rsidP="00576E99">
      <w:pPr>
        <w:pStyle w:val="SH3"/>
      </w:pPr>
      <w:proofErr w:type="gramStart"/>
      <w:r w:rsidRPr="004D5E01">
        <w:rPr>
          <w:b/>
          <w:i/>
        </w:rPr>
        <w:t>seborrhoeic</w:t>
      </w:r>
      <w:proofErr w:type="gramEnd"/>
      <w:r w:rsidRPr="004D5E01">
        <w:rPr>
          <w:b/>
          <w:i/>
        </w:rPr>
        <w:t xml:space="preserve"> keratosis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D5E0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5E01">
            <w:rPr>
              <w:i/>
              <w:sz w:val="18"/>
              <w:szCs w:val="18"/>
            </w:rPr>
            <w:t>Seborrhoeic Keratosis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D5E01">
            <w:rPr>
              <w:i/>
              <w:sz w:val="18"/>
              <w:szCs w:val="18"/>
            </w:rPr>
            <w:t>19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D5E01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499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499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D5E0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5E01">
            <w:rPr>
              <w:i/>
              <w:sz w:val="18"/>
              <w:szCs w:val="18"/>
            </w:rPr>
            <w:t>Seborrhoeic Keratosis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D5E01">
            <w:rPr>
              <w:i/>
              <w:sz w:val="18"/>
              <w:szCs w:val="18"/>
            </w:rPr>
            <w:t>19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D5E01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499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499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56528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6A04"/>
    <w:rsid w:val="00157B8B"/>
    <w:rsid w:val="00161A8E"/>
    <w:rsid w:val="0016362B"/>
    <w:rsid w:val="001648F7"/>
    <w:rsid w:val="00166C2F"/>
    <w:rsid w:val="00167E0C"/>
    <w:rsid w:val="0017020A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07E0"/>
    <w:rsid w:val="004C6AE8"/>
    <w:rsid w:val="004C6D55"/>
    <w:rsid w:val="004D10CF"/>
    <w:rsid w:val="004D4BCA"/>
    <w:rsid w:val="004D5E01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77C03"/>
    <w:rsid w:val="00581638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04B2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35428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4995"/>
    <w:rsid w:val="00842EA3"/>
    <w:rsid w:val="0085006C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FB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6A75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2939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6598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2024-02-12T23:18:00Z</dcterms:created>
  <dcterms:modified xsi:type="dcterms:W3CDTF">2024-02-25T23:27:00Z</dcterms:modified>
  <cp:category/>
  <cp:contentStatus/>
  <dc:language/>
  <cp:version/>
</cp:coreProperties>
</file>