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D4972" w:rsidP="000D4972">
      <w:pPr>
        <w:pStyle w:val="Plainheader"/>
      </w:pPr>
      <w:bookmarkStart w:id="0" w:name="SoP_Name_Title"/>
      <w:r>
        <w:t>O</w:t>
      </w:r>
      <w:r w:rsidR="000B3AA9">
        <w:t>STEOMYELITIS</w:t>
      </w:r>
      <w:bookmarkEnd w:id="0"/>
      <w:r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25D21">
        <w:t>24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B3AA9">
        <w:t>202</w:t>
      </w:r>
      <w:r w:rsidR="00425D21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92EED">
        <w:t>22</w:t>
      </w:r>
      <w:r w:rsidR="00425D21">
        <w:t xml:space="preserve"> February 2024</w:t>
      </w:r>
      <w:r w:rsidR="00F92EED">
        <w:t>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3" w:name="_GoBack"/>
      <w:bookmarkEnd w:id="3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317894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317894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522787300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D4972">
        <w:rPr>
          <w:i/>
        </w:rPr>
        <w:t>o</w:t>
      </w:r>
      <w:r w:rsidR="000B3AA9">
        <w:rPr>
          <w:i/>
        </w:rPr>
        <w:t>steomyelitis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425D21">
        <w:t>24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25D21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522787301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92EED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522787302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522787303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25D21" w:rsidRPr="00425D21">
        <w:t>osteomyelitis</w:t>
      </w:r>
      <w:r w:rsidR="00E22CA9">
        <w:t xml:space="preserve"> No. 91 of 2014</w:t>
      </w:r>
      <w:r>
        <w:t xml:space="preserve"> </w:t>
      </w:r>
      <w:r w:rsidRPr="00786DAE">
        <w:t>(Federal Re</w:t>
      </w:r>
      <w:r w:rsidR="00E22CA9">
        <w:t>gister of Legislation No. F2014L01381</w:t>
      </w:r>
      <w:r w:rsidRPr="00786DAE">
        <w:t xml:space="preserve">) </w:t>
      </w:r>
      <w:r w:rsidR="00E22CA9">
        <w:t>made under subsection</w:t>
      </w:r>
      <w:r w:rsidRPr="00DA3996">
        <w:t xml:space="preserve">s </w:t>
      </w:r>
      <w:proofErr w:type="gramStart"/>
      <w:r w:rsidRPr="00DA3996">
        <w:t>196B(</w:t>
      </w:r>
      <w:proofErr w:type="gramEnd"/>
      <w:r>
        <w:t>3</w:t>
      </w:r>
      <w:r w:rsidR="00E22CA9">
        <w:t xml:space="preserve">) </w:t>
      </w:r>
      <w:r w:rsidRPr="00DA3996">
        <w:t xml:space="preserve">and (8)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522787304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522787305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86250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25D21" w:rsidRPr="00425D21">
        <w:t>osteomyelitis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25D21" w:rsidRPr="00425D21">
        <w:t>osteomyelitis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25D21" w:rsidRPr="00425D21">
        <w:rPr>
          <w:b/>
        </w:rPr>
        <w:t>osteomyelitis</w:t>
      </w:r>
    </w:p>
    <w:p w:rsidR="000D4972" w:rsidRPr="00237BAF" w:rsidRDefault="000D4972" w:rsidP="00586250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425D21" w:rsidRPr="00425D21">
        <w:t>osteomyelitis</w:t>
      </w:r>
      <w:r w:rsidRPr="00237BAF">
        <w:t>:</w:t>
      </w:r>
      <w:bookmarkEnd w:id="19"/>
    </w:p>
    <w:bookmarkEnd w:id="20"/>
    <w:p w:rsidR="00925C3E" w:rsidRDefault="00925C3E" w:rsidP="00925C3E">
      <w:pPr>
        <w:pStyle w:val="LV3"/>
        <w:numPr>
          <w:ilvl w:val="2"/>
          <w:numId w:val="4"/>
        </w:numPr>
        <w:ind w:left="1985"/>
      </w:pPr>
      <w:r>
        <w:t>means inflammation of bone caused by infection; and</w:t>
      </w:r>
    </w:p>
    <w:p w:rsidR="00925C3E" w:rsidRDefault="00925C3E" w:rsidP="00925C3E">
      <w:pPr>
        <w:pStyle w:val="LV3"/>
        <w:numPr>
          <w:ilvl w:val="2"/>
          <w:numId w:val="4"/>
        </w:numPr>
        <w:ind w:left="1985"/>
      </w:pPr>
      <w:proofErr w:type="gramStart"/>
      <w:r>
        <w:t>excludes</w:t>
      </w:r>
      <w:proofErr w:type="gramEnd"/>
      <w:r>
        <w:t xml:space="preserve"> chondritis, septic arthritis and discitis.</w:t>
      </w:r>
    </w:p>
    <w:p w:rsidR="00925C3E" w:rsidRDefault="00925C3E" w:rsidP="00925C3E">
      <w:pPr>
        <w:pStyle w:val="NOTE"/>
      </w:pPr>
      <w:r>
        <w:t xml:space="preserve">Note 1: Osteomyelitis can affect all bones including the jaw, bones of the inner ear, and vertebrae. </w:t>
      </w:r>
    </w:p>
    <w:p w:rsidR="00925C3E" w:rsidRDefault="00925C3E" w:rsidP="00925C3E">
      <w:pPr>
        <w:pStyle w:val="NOTE"/>
      </w:pPr>
      <w:r>
        <w:t xml:space="preserve">Note 2: Osteomyelitis can be caused by bacteria, fungi, some parasites of the </w:t>
      </w:r>
      <w:r w:rsidRPr="00F732B3">
        <w:rPr>
          <w:i/>
        </w:rPr>
        <w:t>Echinococcus,</w:t>
      </w:r>
      <w:r>
        <w:t xml:space="preserve"> </w:t>
      </w:r>
      <w:r w:rsidRPr="00F732B3">
        <w:rPr>
          <w:i/>
        </w:rPr>
        <w:t>Trichinella</w:t>
      </w:r>
      <w:r>
        <w:t xml:space="preserve"> and </w:t>
      </w:r>
      <w:r w:rsidRPr="00F732B3">
        <w:rPr>
          <w:i/>
        </w:rPr>
        <w:t xml:space="preserve">Schistosoma </w:t>
      </w:r>
      <w:r w:rsidR="00F732B3">
        <w:t>genus</w:t>
      </w:r>
      <w:r>
        <w:t>.</w:t>
      </w:r>
    </w:p>
    <w:p w:rsidR="008F572A" w:rsidRPr="00237BAF" w:rsidRDefault="000D4972" w:rsidP="00586250">
      <w:pPr>
        <w:pStyle w:val="LV2"/>
      </w:pPr>
      <w:r w:rsidRPr="00237BAF">
        <w:t xml:space="preserve">While </w:t>
      </w:r>
      <w:r w:rsidR="00425D21" w:rsidRPr="00425D21">
        <w:t>osteomyelitis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925C3E">
        <w:t xml:space="preserve">code </w:t>
      </w:r>
      <w:r w:rsidR="009D64BE">
        <w:t>M90.2, M86, M46.2 and K10.2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425D21" w:rsidRPr="00425D21">
        <w:t>osteomyelitis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586250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425D21" w:rsidRPr="00425D21">
        <w:rPr>
          <w:b/>
        </w:rPr>
        <w:t>osteomyelitis</w:t>
      </w:r>
    </w:p>
    <w:p w:rsidR="008F572A" w:rsidRPr="00237BAF" w:rsidRDefault="008F572A" w:rsidP="0058625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25D21" w:rsidRPr="00425D21">
        <w:t>osteomyelitis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25D21" w:rsidRPr="00425D21">
        <w:t>osteomyelitis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522787307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25D21" w:rsidRPr="00425D21">
        <w:t>osteomyelitis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25D21" w:rsidRPr="00425D21">
        <w:t>osteomyelitis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2278730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425D21" w:rsidRPr="00425D21">
        <w:t>osteomyelitis</w:t>
      </w:r>
      <w:r w:rsidR="007A3989">
        <w:t xml:space="preserve"> </w:t>
      </w:r>
      <w:r w:rsidR="007C7DEE" w:rsidRPr="00AA6D8B">
        <w:t xml:space="preserve">or death from </w:t>
      </w:r>
      <w:r w:rsidR="00425D21" w:rsidRPr="00425D21">
        <w:t>osteomyelitis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86250" w:rsidRDefault="00586250" w:rsidP="00586250">
      <w:pPr>
        <w:pStyle w:val="LV2"/>
      </w:pPr>
      <w:bookmarkStart w:id="27" w:name="_Ref402530260"/>
      <w:bookmarkStart w:id="28" w:name="_Ref409598844"/>
      <w:r w:rsidRPr="00046E67">
        <w:tab/>
      </w:r>
      <w:r>
        <w:t>having a wound, laceration, other injury or disease disrupting the skin or mucosa at the site or adjacent to the site of osteomyelitis,</w:t>
      </w:r>
      <w:r w:rsidR="00317894">
        <w:t xml:space="preserve"> within the one year before the cli</w:t>
      </w:r>
      <w:r>
        <w:t>nical onset of osteomyelitis;</w:t>
      </w:r>
    </w:p>
    <w:p w:rsidR="000D4972" w:rsidRPr="00046E67" w:rsidRDefault="00586250" w:rsidP="00586250">
      <w:pPr>
        <w:pStyle w:val="NOTE"/>
      </w:pPr>
      <w:r>
        <w:t>Note: Examples of injuries that disrupt the skin include penetrative injuries, compound fractures, burns or pressure ulcers. Examples of diseases that disrupt the skin include chronic ischaemia or diabetes mellitus.</w:t>
      </w:r>
    </w:p>
    <w:p w:rsidR="00586250" w:rsidRDefault="00586250" w:rsidP="00586250">
      <w:pPr>
        <w:pStyle w:val="LV2"/>
      </w:pPr>
      <w:r>
        <w:t>having a dental, medical or surgical procedure which breaches the skin or mucosa at the site or adjacent to the site of osteomyelitis within the one year before the clinical onset of osteomyelitis;</w:t>
      </w:r>
    </w:p>
    <w:p w:rsidR="000D4972" w:rsidRPr="008E76DC" w:rsidRDefault="00586250" w:rsidP="00586250">
      <w:pPr>
        <w:pStyle w:val="NOTE"/>
      </w:pPr>
      <w:r>
        <w:t>Note: Examples of procedures that breach the skin or mucosa include lumbar puncture, epidural anaesthesia and tooth extraction.</w:t>
      </w:r>
    </w:p>
    <w:p w:rsidR="00586250" w:rsidRDefault="00586250" w:rsidP="00586250">
      <w:pPr>
        <w:pStyle w:val="LV2"/>
      </w:pPr>
      <w:r>
        <w:t xml:space="preserve">having septicaemia, bacteraemia, systemic fungal infection or parasitic infection with </w:t>
      </w:r>
      <w:r w:rsidRPr="000D39F1">
        <w:rPr>
          <w:i/>
        </w:rPr>
        <w:t>Echinococcus granulosus, Trichinella spiralis</w:t>
      </w:r>
      <w:r>
        <w:t xml:space="preserve">, or </w:t>
      </w:r>
      <w:r w:rsidRPr="000D39F1">
        <w:rPr>
          <w:i/>
        </w:rPr>
        <w:t xml:space="preserve">Schistosoma </w:t>
      </w:r>
      <w:r>
        <w:t>species within the one year before the clinical onset of osteomyelitis;</w:t>
      </w:r>
    </w:p>
    <w:p w:rsidR="00586250" w:rsidRPr="008E76DC" w:rsidRDefault="00586250" w:rsidP="00586250">
      <w:pPr>
        <w:pStyle w:val="NOTE"/>
      </w:pPr>
      <w:r>
        <w:t xml:space="preserve">Note: </w:t>
      </w:r>
      <w:r w:rsidRPr="00845B15">
        <w:rPr>
          <w:i/>
        </w:rPr>
        <w:t>Echinococcus granulosus, Trichinella spiralis</w:t>
      </w:r>
      <w:r>
        <w:t xml:space="preserve">, and </w:t>
      </w:r>
      <w:r w:rsidRPr="00845B15">
        <w:rPr>
          <w:i/>
        </w:rPr>
        <w:t>Schistosoma</w:t>
      </w:r>
      <w:r>
        <w:t xml:space="preserve"> species are types of parasitic worms.</w:t>
      </w:r>
    </w:p>
    <w:p w:rsidR="00586250" w:rsidRDefault="00586250" w:rsidP="00586250">
      <w:pPr>
        <w:pStyle w:val="LV2"/>
        <w:numPr>
          <w:ilvl w:val="1"/>
          <w:numId w:val="4"/>
        </w:numPr>
        <w:ind w:left="1418"/>
      </w:pPr>
      <w:r>
        <w:lastRenderedPageBreak/>
        <w:t>having a foreign body at the site or adjacent to the site of osteomyelitis at the time of the clinical onset of osteomyelitis;</w:t>
      </w:r>
    </w:p>
    <w:p w:rsidR="00586250" w:rsidRDefault="00586250" w:rsidP="00586250">
      <w:pPr>
        <w:pStyle w:val="NOTE"/>
      </w:pPr>
      <w:r>
        <w:t>Note: Examples of foreign bodies associated with osteomyelitis include internal fixation devices, joint replacements, vascular grafts, shrapnel and bullets.</w:t>
      </w:r>
    </w:p>
    <w:p w:rsidR="009D64BE" w:rsidRDefault="00586250" w:rsidP="00586250">
      <w:pPr>
        <w:pStyle w:val="LV2"/>
      </w:pPr>
      <w:r w:rsidRPr="00586250">
        <w:t>having diabetes mellitus at</w:t>
      </w:r>
      <w:r>
        <w:t xml:space="preserve"> the time of the clinical onset or clinical </w:t>
      </w:r>
      <w:r w:rsidRPr="00586250">
        <w:t>worsening of osteomyelitis;</w:t>
      </w:r>
    </w:p>
    <w:p w:rsidR="00CB6D69" w:rsidRDefault="00CB6D69" w:rsidP="00CB6D69">
      <w:pPr>
        <w:pStyle w:val="LV2"/>
      </w:pPr>
      <w:r>
        <w:t>having one of the following chronic medical conditions before the clinical onset or clinical worsening of osteomyelitis:</w:t>
      </w:r>
    </w:p>
    <w:p w:rsidR="00CB6D69" w:rsidRDefault="00CB6D69" w:rsidP="00CB6D69">
      <w:pPr>
        <w:pStyle w:val="LV3"/>
      </w:pPr>
      <w:r>
        <w:tab/>
        <w:t>chronic renal failure;</w:t>
      </w:r>
    </w:p>
    <w:p w:rsidR="00CB6D69" w:rsidRDefault="00CB6D69" w:rsidP="00CB6D69">
      <w:pPr>
        <w:pStyle w:val="LV3"/>
      </w:pPr>
      <w:r>
        <w:t>cirrhosis of the liver;</w:t>
      </w:r>
    </w:p>
    <w:p w:rsidR="00CB6D69" w:rsidRDefault="00CB6D69" w:rsidP="00CB6D69">
      <w:pPr>
        <w:pStyle w:val="LV3"/>
      </w:pPr>
      <w:r>
        <w:tab/>
        <w:t>Crohn disease; or</w:t>
      </w:r>
    </w:p>
    <w:p w:rsidR="00CB6D69" w:rsidRDefault="00CB6D69" w:rsidP="00CB6D69">
      <w:pPr>
        <w:pStyle w:val="LV3"/>
      </w:pPr>
      <w:r>
        <w:tab/>
      </w:r>
      <w:proofErr w:type="gramStart"/>
      <w:r>
        <w:t>sickle</w:t>
      </w:r>
      <w:proofErr w:type="gramEnd"/>
      <w:r>
        <w:t xml:space="preserve"> cell disorder.</w:t>
      </w:r>
    </w:p>
    <w:p w:rsidR="00CB6D69" w:rsidRDefault="00CB6D69" w:rsidP="00CB6D69">
      <w:pPr>
        <w:pStyle w:val="NOTE"/>
      </w:pPr>
      <w:r>
        <w:t xml:space="preserve">Note: </w:t>
      </w:r>
      <w:r w:rsidRPr="00D963EE">
        <w:rPr>
          <w:b/>
          <w:i/>
        </w:rPr>
        <w:t>chronic renal failure</w:t>
      </w:r>
      <w:r>
        <w:t xml:space="preserve"> is defined in the Schedule -1 Dictionary.</w:t>
      </w:r>
    </w:p>
    <w:p w:rsidR="00D7462D" w:rsidRPr="00D7462D" w:rsidRDefault="00D7462D" w:rsidP="00D7462D">
      <w:pPr>
        <w:pStyle w:val="LV2"/>
      </w:pPr>
      <w:r w:rsidRPr="00D7462D">
        <w:t>having chronic ischaemia of the affected lower limb from chronic venous insufficiency or atherosclerotic peripheral vascular disease at the time of the clinical onset or clinical worsening of osteomyelitis;</w:t>
      </w:r>
    </w:p>
    <w:p w:rsidR="00CB6D69" w:rsidRDefault="00CB6D69" w:rsidP="00CB6D69">
      <w:pPr>
        <w:pStyle w:val="LV2"/>
      </w:pPr>
      <w:r>
        <w:t>having a substantially compromised immune system due to:</w:t>
      </w:r>
    </w:p>
    <w:p w:rsidR="00CB6D69" w:rsidRDefault="00CB6D69" w:rsidP="00CB6D69">
      <w:pPr>
        <w:pStyle w:val="LV3"/>
      </w:pPr>
      <w:r>
        <w:t>chronic renal failure;</w:t>
      </w:r>
    </w:p>
    <w:p w:rsidR="00CB6D69" w:rsidRDefault="00CB6D69" w:rsidP="00CB6D69">
      <w:pPr>
        <w:pStyle w:val="LV3"/>
      </w:pPr>
      <w:r>
        <w:tab/>
        <w:t>haematological malignancy;</w:t>
      </w:r>
    </w:p>
    <w:p w:rsidR="00CB6D69" w:rsidRDefault="00CB6D69" w:rsidP="00CB6D69">
      <w:pPr>
        <w:pStyle w:val="LV3"/>
      </w:pPr>
      <w:r>
        <w:tab/>
        <w:t>infection with human immunodeficiency virus;</w:t>
      </w:r>
    </w:p>
    <w:p w:rsidR="00CB6D69" w:rsidRDefault="00CB6D69" w:rsidP="00CB6D69">
      <w:pPr>
        <w:pStyle w:val="LV3"/>
      </w:pPr>
      <w:r>
        <w:t>severe malnutrition;</w:t>
      </w:r>
    </w:p>
    <w:p w:rsidR="00CB6D69" w:rsidRDefault="00CB6D69" w:rsidP="00CB6D69">
      <w:pPr>
        <w:pStyle w:val="LV3"/>
      </w:pPr>
      <w:r>
        <w:tab/>
        <w:t xml:space="preserve">solid organ, stem cell or bone marrow transplantation; or </w:t>
      </w:r>
    </w:p>
    <w:p w:rsidR="00CB6D69" w:rsidRDefault="00CB6D69" w:rsidP="00CB6D69">
      <w:pPr>
        <w:pStyle w:val="LV3"/>
      </w:pPr>
      <w:r>
        <w:t xml:space="preserve">taking an immunosuppressive drug; </w:t>
      </w:r>
    </w:p>
    <w:p w:rsidR="00CB6D69" w:rsidRDefault="00CB6D69" w:rsidP="00CB6D69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the clinical onset or clinical worsening of osteomyelitis; </w:t>
      </w:r>
    </w:p>
    <w:p w:rsidR="00CB6D69" w:rsidRDefault="00CB6D69" w:rsidP="00CB6D69">
      <w:pPr>
        <w:pStyle w:val="NOTE"/>
      </w:pPr>
      <w:r>
        <w:t xml:space="preserve">Note 1: </w:t>
      </w:r>
      <w:r w:rsidRPr="00FF3095">
        <w:rPr>
          <w:b/>
          <w:i/>
        </w:rPr>
        <w:t>chronic renal failure</w:t>
      </w:r>
      <w:r>
        <w:t xml:space="preserve"> and </w:t>
      </w:r>
      <w:r w:rsidRPr="00FF3095">
        <w:rPr>
          <w:b/>
          <w:i/>
        </w:rPr>
        <w:t>immunosuppressive drug</w:t>
      </w:r>
      <w:r>
        <w:t xml:space="preserve"> and </w:t>
      </w:r>
      <w:r w:rsidRPr="00FF3095">
        <w:rPr>
          <w:b/>
          <w:i/>
        </w:rPr>
        <w:t>severe malnutrition</w:t>
      </w:r>
      <w:r>
        <w:t xml:space="preserve"> are defined in the Schedule -1 Dictionary.</w:t>
      </w:r>
    </w:p>
    <w:p w:rsidR="00586250" w:rsidRDefault="00CB6D69" w:rsidP="00CB6D69">
      <w:pPr>
        <w:pStyle w:val="LV2"/>
      </w:pPr>
      <w:r w:rsidRPr="00CB6D69">
        <w:t>undergoing a course of radiotherapy for cancer, where the affected site was in the field of radiation, before the clinical onset of osteomyelitis;</w:t>
      </w:r>
    </w:p>
    <w:p w:rsidR="00586250" w:rsidRDefault="00CB6D69" w:rsidP="00CB6D69">
      <w:pPr>
        <w:pStyle w:val="LV2"/>
      </w:pPr>
      <w:r w:rsidRPr="00CB6D69">
        <w:t>having osteonecrosis at the site of osteomyelitis before the clinical onset of osteomyelitis;</w:t>
      </w:r>
    </w:p>
    <w:p w:rsidR="007C7DEE" w:rsidRPr="008D1B8B" w:rsidRDefault="007C7DEE" w:rsidP="00586250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25D21" w:rsidRPr="00425D21">
        <w:t>osteomyelitis</w:t>
      </w:r>
      <w:bookmarkEnd w:id="28"/>
      <w:r w:rsidR="009D64BE" w:rsidRPr="009D64BE">
        <w:t xml:space="preserve"> before the clinical worsening of osteomyelitis.</w:t>
      </w:r>
    </w:p>
    <w:p w:rsidR="000C21A3" w:rsidRPr="00684C0E" w:rsidRDefault="00D32F71" w:rsidP="00C96667">
      <w:pPr>
        <w:pStyle w:val="LV1"/>
      </w:pPr>
      <w:bookmarkStart w:id="29" w:name="_Toc52278730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86250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CB6D69" w:rsidP="00CB6D69">
      <w:pPr>
        <w:pStyle w:val="LV2"/>
      </w:pPr>
      <w:r w:rsidRPr="00CB6D69">
        <w:t xml:space="preserve">The clinical worsening aspects </w:t>
      </w:r>
      <w:r>
        <w:t>of factors set out in section</w:t>
      </w:r>
      <w:r w:rsidR="00181048">
        <w:t xml:space="preserve"> </w:t>
      </w:r>
      <w:r w:rsidR="007A6673">
        <w:t xml:space="preserve">9 </w:t>
      </w:r>
      <w:r w:rsidR="00F03C06" w:rsidRPr="00187DE1">
        <w:t>appl</w:t>
      </w:r>
      <w:r w:rsidR="00FF1D47">
        <w:t>y</w:t>
      </w:r>
      <w:r w:rsidR="00F03C06" w:rsidRPr="00187DE1">
        <w:t xml:space="preserve"> only to material contribution to, or aggravation of, </w:t>
      </w:r>
      <w:r w:rsidR="00425D21" w:rsidRPr="00425D21">
        <w:t>osteomyelitis</w:t>
      </w:r>
      <w:r w:rsidR="007A3989">
        <w:t xml:space="preserve"> </w:t>
      </w:r>
      <w:r w:rsidR="00F03C06" w:rsidRPr="00187DE1">
        <w:t xml:space="preserve">where the </w:t>
      </w:r>
      <w:r w:rsidR="00F03C06" w:rsidRPr="00187DE1">
        <w:lastRenderedPageBreak/>
        <w:t>person</w:t>
      </w:r>
      <w:r w:rsidR="008721B5">
        <w:t>'</w:t>
      </w:r>
      <w:r w:rsidR="00F03C06" w:rsidRPr="00187DE1">
        <w:t xml:space="preserve">s </w:t>
      </w:r>
      <w:r w:rsidR="00425D21" w:rsidRPr="00425D21">
        <w:t>osteomyelitis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586250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586250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22787312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CB6D69" w:rsidRDefault="00CB6D69" w:rsidP="00CB6D69">
      <w:pPr>
        <w:pStyle w:val="SH3"/>
        <w:ind w:left="851"/>
      </w:pPr>
      <w:bookmarkStart w:id="37" w:name="_Ref402530810"/>
      <w:r w:rsidRPr="00D963EE">
        <w:rPr>
          <w:b/>
          <w:i/>
        </w:rPr>
        <w:t>Body Mass Index (BMI)</w:t>
      </w:r>
      <w:r>
        <w:t xml:space="preserve"> means W/H</w:t>
      </w:r>
      <w:r w:rsidRPr="00317894">
        <w:rPr>
          <w:vertAlign w:val="superscript"/>
        </w:rPr>
        <w:t>2</w:t>
      </w:r>
      <w:r>
        <w:t xml:space="preserve"> and where:</w:t>
      </w:r>
    </w:p>
    <w:p w:rsidR="00CB6D69" w:rsidRDefault="00CB6D69" w:rsidP="00CB6D69">
      <w:pPr>
        <w:pStyle w:val="SH3"/>
        <w:ind w:left="851"/>
      </w:pPr>
      <w:r>
        <w:t>(a) W is the person's weight in kilograms; and</w:t>
      </w:r>
    </w:p>
    <w:p w:rsidR="00CB6D69" w:rsidRDefault="00CB6D69" w:rsidP="00CB6D69">
      <w:pPr>
        <w:pStyle w:val="SH3"/>
        <w:ind w:left="851"/>
      </w:pPr>
      <w:r>
        <w:t>(b) H is the person's height in metres.</w:t>
      </w:r>
    </w:p>
    <w:p w:rsidR="00586250" w:rsidRPr="00FA1847" w:rsidRDefault="00586250" w:rsidP="00586250">
      <w:pPr>
        <w:pStyle w:val="SH3"/>
        <w:ind w:left="851"/>
      </w:pPr>
      <w:r w:rsidRPr="00FA1847">
        <w:rPr>
          <w:b/>
          <w:i/>
        </w:rPr>
        <w:t>chronic renal failure</w:t>
      </w:r>
      <w:r w:rsidRPr="00FA1847">
        <w:t xml:space="preserve"> means: </w:t>
      </w:r>
    </w:p>
    <w:p w:rsidR="00586250" w:rsidRPr="00FA1847" w:rsidRDefault="00586250" w:rsidP="00586250">
      <w:pPr>
        <w:pStyle w:val="SH4"/>
      </w:pPr>
      <w:r w:rsidRPr="00FA1847">
        <w:t>having a glomerular filtration rate of less than 15 mL/min/1.73 m</w:t>
      </w:r>
      <w:r w:rsidRPr="00FA1847">
        <w:rPr>
          <w:vertAlign w:val="superscript"/>
        </w:rPr>
        <w:t>2</w:t>
      </w:r>
      <w:r w:rsidRPr="00FA1847">
        <w:t xml:space="preserve"> for a period of at least 3 months; or </w:t>
      </w:r>
    </w:p>
    <w:p w:rsidR="00586250" w:rsidRPr="00FA1847" w:rsidRDefault="00586250" w:rsidP="00586250">
      <w:pPr>
        <w:pStyle w:val="SH4"/>
      </w:pPr>
      <w:r w:rsidRPr="00FA1847">
        <w:t>a need for renal replacement therapy (dialysis or transplantation) for treatment of complications of decreased glomerular filtration rate which would otherwise increase the risk of morbidity and mortality; or</w:t>
      </w:r>
    </w:p>
    <w:p w:rsidR="00586250" w:rsidRPr="00FA1847" w:rsidRDefault="00586250" w:rsidP="00586250">
      <w:pPr>
        <w:pStyle w:val="SH4"/>
      </w:pPr>
      <w:proofErr w:type="gramStart"/>
      <w:r w:rsidRPr="00FA1847">
        <w:t>undergoing</w:t>
      </w:r>
      <w:proofErr w:type="gramEnd"/>
      <w:r w:rsidRPr="00FA1847">
        <w:t xml:space="preserve"> chronic dialysis.</w:t>
      </w:r>
    </w:p>
    <w:p w:rsidR="00CB6D69" w:rsidRDefault="00CB6D69" w:rsidP="00CB6D69">
      <w:pPr>
        <w:pStyle w:val="SH3"/>
        <w:ind w:left="851"/>
      </w:pPr>
      <w:r w:rsidRPr="00D963EE">
        <w:rPr>
          <w:b/>
          <w:i/>
        </w:rPr>
        <w:t>immunosuppressive drug</w:t>
      </w:r>
      <w:r>
        <w:t xml:space="preserve"> means:</w:t>
      </w:r>
    </w:p>
    <w:p w:rsidR="00CB6D69" w:rsidRDefault="00CB6D69" w:rsidP="00CB6D69">
      <w:pPr>
        <w:pStyle w:val="SH4"/>
      </w:pPr>
      <w:r>
        <w:tab/>
        <w:t>corticosteroids other than inhaled or topical corticosteroids;</w:t>
      </w:r>
    </w:p>
    <w:p w:rsidR="00CB6D69" w:rsidRDefault="00CB6D69" w:rsidP="00CB6D69">
      <w:pPr>
        <w:pStyle w:val="SH4"/>
      </w:pPr>
      <w:r>
        <w:tab/>
        <w:t xml:space="preserve">drugs used to prevent transplant rejection; </w:t>
      </w:r>
    </w:p>
    <w:p w:rsidR="00CB6D69" w:rsidRDefault="00CB6D69" w:rsidP="00CB6D69">
      <w:pPr>
        <w:pStyle w:val="SH4"/>
      </w:pPr>
      <w:r>
        <w:tab/>
        <w:t>tumour necrosis factor-α inhibitors; or</w:t>
      </w:r>
    </w:p>
    <w:p w:rsidR="00CB6D69" w:rsidRPr="00D963EE" w:rsidRDefault="00CB6D69" w:rsidP="00CB6D69">
      <w:pPr>
        <w:pStyle w:val="SH4"/>
      </w:pPr>
      <w:proofErr w:type="gramStart"/>
      <w:r>
        <w:t>chemotherapeutic</w:t>
      </w:r>
      <w:proofErr w:type="gramEnd"/>
      <w:r>
        <w:t xml:space="preserve"> agents used for the treatment of cancer.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586250" w:rsidRPr="00586250" w:rsidRDefault="00425D21" w:rsidP="00586250">
      <w:pPr>
        <w:pStyle w:val="SH3"/>
        <w:ind w:left="851" w:hanging="851"/>
      </w:pPr>
      <w:proofErr w:type="gramStart"/>
      <w:r w:rsidRPr="00425D21">
        <w:rPr>
          <w:b/>
          <w:i/>
        </w:rPr>
        <w:t>osteomyelitis</w:t>
      </w:r>
      <w:r w:rsidR="00586250" w:rsidRPr="00586250">
        <w:t>—</w:t>
      </w:r>
      <w:proofErr w:type="gramEnd"/>
      <w:r w:rsidR="00586250" w:rsidRPr="00586250">
        <w:t>see subsection 7(2).</w:t>
      </w:r>
    </w:p>
    <w:p w:rsidR="00CB6D69" w:rsidRPr="005E1B70" w:rsidRDefault="00CB6D69" w:rsidP="00CB6D69">
      <w:pPr>
        <w:pStyle w:val="SH3"/>
        <w:ind w:left="851"/>
      </w:pPr>
      <w:proofErr w:type="gramStart"/>
      <w:r w:rsidRPr="005E1B70">
        <w:rPr>
          <w:b/>
          <w:i/>
        </w:rPr>
        <w:t>protein-calorie</w:t>
      </w:r>
      <w:proofErr w:type="gramEnd"/>
      <w:r w:rsidRPr="005E1B70">
        <w:rPr>
          <w:b/>
          <w:i/>
        </w:rPr>
        <w:t xml:space="preserve"> malnutrition</w:t>
      </w:r>
      <w:r w:rsidRPr="005E1B70">
        <w:t xml:space="preserve"> means undernourishment due to inadequate intake, absorption or utilisation of protein or energy foods.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CB6D69" w:rsidRDefault="00CB6D69" w:rsidP="00CB6D69">
      <w:pPr>
        <w:pStyle w:val="SH3"/>
        <w:ind w:left="851"/>
      </w:pPr>
      <w:proofErr w:type="gramStart"/>
      <w:r w:rsidRPr="00D963EE">
        <w:rPr>
          <w:b/>
          <w:i/>
        </w:rPr>
        <w:t>severe</w:t>
      </w:r>
      <w:proofErr w:type="gramEnd"/>
      <w:r w:rsidRPr="00D963EE">
        <w:rPr>
          <w:b/>
          <w:i/>
        </w:rPr>
        <w:t xml:space="preserve"> malnutrition</w:t>
      </w:r>
      <w:r>
        <w:t xml:space="preserve"> means having protein-calorie malnutrition associated with a body mass index (BMI) less than or equal to 18.5 kg/m</w:t>
      </w:r>
      <w:r w:rsidRPr="00172AF2">
        <w:rPr>
          <w:vertAlign w:val="superscript"/>
        </w:rPr>
        <w:t>2</w:t>
      </w:r>
      <w:r>
        <w:t>.</w:t>
      </w:r>
    </w:p>
    <w:p w:rsidR="00CB6D69" w:rsidRDefault="00CB6D69" w:rsidP="00CB6D69">
      <w:pPr>
        <w:pStyle w:val="ScheduleNote"/>
      </w:pPr>
      <w:proofErr w:type="gramStart"/>
      <w:r>
        <w:t>Note :</w:t>
      </w:r>
      <w:proofErr w:type="gramEnd"/>
      <w:r>
        <w:t xml:space="preserve"> </w:t>
      </w:r>
      <w:r w:rsidRPr="00D963EE">
        <w:rPr>
          <w:b/>
          <w:i/>
        </w:rPr>
        <w:t>Body Mass Index (BMI)</w:t>
      </w:r>
      <w:r>
        <w:t xml:space="preserve"> and </w:t>
      </w:r>
      <w:r w:rsidRPr="00D963EE">
        <w:rPr>
          <w:b/>
          <w:i/>
        </w:rPr>
        <w:t>protein-calorie malnutrition</w:t>
      </w:r>
      <w:r>
        <w:t xml:space="preserve"> are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lastRenderedPageBreak/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25D21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25D21">
            <w:rPr>
              <w:bCs/>
              <w:i/>
              <w:sz w:val="18"/>
              <w:szCs w:val="18"/>
              <w:lang w:val="en-US"/>
            </w:rPr>
            <w:t>Osteomyelitis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25D21">
            <w:rPr>
              <w:i/>
              <w:sz w:val="18"/>
              <w:szCs w:val="18"/>
            </w:rPr>
            <w:t>24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25D21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67D9F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67D9F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425D21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25D21">
            <w:rPr>
              <w:bCs/>
              <w:i/>
              <w:sz w:val="18"/>
              <w:szCs w:val="18"/>
              <w:lang w:val="en-US"/>
            </w:rPr>
            <w:t>Osteomyelitis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25D21">
            <w:rPr>
              <w:i/>
              <w:sz w:val="18"/>
              <w:szCs w:val="18"/>
            </w:rPr>
            <w:t>24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25D21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67D9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67D9F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F6287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3BC7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3AA9"/>
    <w:rsid w:val="000B58FA"/>
    <w:rsid w:val="000C21A3"/>
    <w:rsid w:val="000C664A"/>
    <w:rsid w:val="000C6D96"/>
    <w:rsid w:val="000D05EF"/>
    <w:rsid w:val="000D39F1"/>
    <w:rsid w:val="000D4972"/>
    <w:rsid w:val="000D4D03"/>
    <w:rsid w:val="000E2261"/>
    <w:rsid w:val="000E2439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2AF2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2CCF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1789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25D21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7D9F"/>
    <w:rsid w:val="00571FBB"/>
    <w:rsid w:val="005758CA"/>
    <w:rsid w:val="00575A90"/>
    <w:rsid w:val="00584811"/>
    <w:rsid w:val="00585784"/>
    <w:rsid w:val="00586250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6673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3E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4BE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1EF4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D69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56CBE"/>
    <w:rsid w:val="00D60FC8"/>
    <w:rsid w:val="00D70DFB"/>
    <w:rsid w:val="00D71633"/>
    <w:rsid w:val="00D7462D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2CA9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2B3"/>
    <w:rsid w:val="00F737EA"/>
    <w:rsid w:val="00F73BD6"/>
    <w:rsid w:val="00F83264"/>
    <w:rsid w:val="00F83989"/>
    <w:rsid w:val="00F83D85"/>
    <w:rsid w:val="00F85099"/>
    <w:rsid w:val="00F92EED"/>
    <w:rsid w:val="00F9379C"/>
    <w:rsid w:val="00F956BA"/>
    <w:rsid w:val="00F9632C"/>
    <w:rsid w:val="00F97A62"/>
    <w:rsid w:val="00FA0587"/>
    <w:rsid w:val="00FA1E52"/>
    <w:rsid w:val="00FA33FB"/>
    <w:rsid w:val="00FB3EF0"/>
    <w:rsid w:val="00FB4343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86250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8297</Characters>
  <Application>Microsoft Office Word</Application>
  <DocSecurity>0</DocSecurity>
  <PresentationFormat/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2024-02-13T01:31:00Z</dcterms:created>
  <dcterms:modified xsi:type="dcterms:W3CDTF">2024-02-25T23:32:00Z</dcterms:modified>
  <cp:category/>
  <cp:contentStatus/>
  <dc:language/>
  <cp:version/>
</cp:coreProperties>
</file>