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00683" w14:textId="77777777"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6C77504C" wp14:editId="38506F18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6C90D" w14:textId="77777777" w:rsidR="00715914" w:rsidRPr="00FA33FB" w:rsidRDefault="00715914" w:rsidP="00715914">
      <w:pPr>
        <w:rPr>
          <w:sz w:val="19"/>
        </w:rPr>
      </w:pPr>
    </w:p>
    <w:p w14:paraId="549BBC0E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758A5819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5762B051" w14:textId="77777777" w:rsidR="00054930" w:rsidRDefault="00D35C69" w:rsidP="006647B7">
      <w:pPr>
        <w:pStyle w:val="Plainheader"/>
      </w:pPr>
      <w:bookmarkStart w:id="0" w:name="SoP_Name_Title"/>
      <w:r>
        <w:t>FRACTURE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0012E95F" w14:textId="0508863F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DE69B4">
        <w:t>62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D35C69">
        <w:t>2024</w:t>
      </w:r>
      <w:bookmarkEnd w:id="2"/>
      <w:r w:rsidRPr="00024911">
        <w:t>)</w:t>
      </w:r>
    </w:p>
    <w:p w14:paraId="708FA219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</w:t>
      </w:r>
      <w:proofErr w:type="gramStart"/>
      <w:r w:rsidR="005E589B">
        <w:rPr>
          <w:sz w:val="24"/>
          <w:szCs w:val="24"/>
        </w:rPr>
        <w:t>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514A88F3" w14:textId="77777777" w:rsidR="00F97A62" w:rsidRPr="00F97A62" w:rsidRDefault="00F97A62" w:rsidP="00F97A62">
      <w:pPr>
        <w:rPr>
          <w:lang w:eastAsia="en-AU"/>
        </w:rPr>
      </w:pPr>
    </w:p>
    <w:p w14:paraId="3374C119" w14:textId="73FA72BE"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DE69B4">
        <w:rPr>
          <w:b w:val="0"/>
        </w:rPr>
        <w:t>20 August 2024.</w:t>
      </w:r>
    </w:p>
    <w:p w14:paraId="2120A85C" w14:textId="77777777"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14:paraId="7CE7A7D0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5E1DC0F6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36807482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79028294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14:paraId="0A7C2619" w14:textId="77777777" w:rsidTr="0034373D">
        <w:tc>
          <w:tcPr>
            <w:tcW w:w="4116" w:type="dxa"/>
          </w:tcPr>
          <w:p w14:paraId="7058626C" w14:textId="77777777" w:rsidR="00ED20B7" w:rsidRDefault="00ED20B7" w:rsidP="00697FD3">
            <w:pPr>
              <w:pStyle w:val="Plain"/>
              <w:spacing w:before="0"/>
              <w:ind w:left="0"/>
              <w:rPr>
                <w:b w:val="0"/>
              </w:rPr>
            </w:pPr>
          </w:p>
          <w:p w14:paraId="09C4B06A" w14:textId="77777777" w:rsidR="00697FD3" w:rsidRDefault="00697FD3" w:rsidP="00697FD3">
            <w:pPr>
              <w:pStyle w:val="Plain"/>
              <w:spacing w:before="0"/>
              <w:ind w:left="0"/>
              <w:rPr>
                <w:b w:val="0"/>
              </w:rPr>
            </w:pPr>
          </w:p>
          <w:p w14:paraId="59B08AA1" w14:textId="77777777" w:rsidR="00697FD3" w:rsidRDefault="00697FD3" w:rsidP="00697FD3">
            <w:pPr>
              <w:pStyle w:val="Plain"/>
              <w:spacing w:before="0"/>
              <w:ind w:left="0"/>
              <w:rPr>
                <w:b w:val="0"/>
              </w:rPr>
            </w:pPr>
          </w:p>
          <w:p w14:paraId="64C31E33" w14:textId="77777777" w:rsidR="00697FD3" w:rsidRDefault="00697FD3" w:rsidP="00697FD3">
            <w:pPr>
              <w:pStyle w:val="Plain"/>
              <w:spacing w:before="0"/>
              <w:ind w:left="0"/>
              <w:rPr>
                <w:b w:val="0"/>
              </w:rPr>
            </w:pPr>
          </w:p>
          <w:p w14:paraId="2C6A70F5" w14:textId="77777777" w:rsidR="00697FD3" w:rsidRPr="00781DD2" w:rsidRDefault="00697FD3" w:rsidP="00697FD3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14:paraId="65480193" w14:textId="77777777" w:rsidTr="0034373D">
        <w:tc>
          <w:tcPr>
            <w:tcW w:w="4116" w:type="dxa"/>
          </w:tcPr>
          <w:p w14:paraId="57CE3E4F" w14:textId="77777777"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14:paraId="1E394381" w14:textId="77777777"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14:paraId="15DF676F" w14:textId="77777777"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 xml:space="preserve">Professor </w:t>
            </w:r>
            <w:r w:rsidR="00553578">
              <w:rPr>
                <w:b w:val="0"/>
              </w:rPr>
              <w:t>Terence Campbell AM</w:t>
            </w:r>
          </w:p>
          <w:p w14:paraId="368FD050" w14:textId="77777777"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14:paraId="46374F60" w14:textId="77777777" w:rsidR="00697FD3" w:rsidRDefault="00697FD3" w:rsidP="00697FD3">
            <w:r>
              <w:t xml:space="preserve">by and on behalf of </w:t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tab/>
            </w:r>
          </w:p>
          <w:p w14:paraId="52ECE633" w14:textId="77777777" w:rsidR="00ED20B7" w:rsidRPr="00781DD2" w:rsidRDefault="00697FD3" w:rsidP="00697FD3">
            <w:r>
              <w:t>The Repatriation Medical Authority</w:t>
            </w:r>
          </w:p>
        </w:tc>
      </w:tr>
    </w:tbl>
    <w:p w14:paraId="16715672" w14:textId="77777777" w:rsidR="00ED20B7" w:rsidRPr="00FA33FB" w:rsidRDefault="00ED20B7" w:rsidP="00ED20B7"/>
    <w:p w14:paraId="150E186D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58CBCC3D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1D67144F" w14:textId="447FA8B9" w:rsidR="005962C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62C4">
        <w:rPr>
          <w:noProof/>
        </w:rPr>
        <w:t>1</w:t>
      </w:r>
      <w:r w:rsidR="005962C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>
        <w:rPr>
          <w:noProof/>
        </w:rPr>
        <w:t>Name</w:t>
      </w:r>
      <w:r w:rsidR="005962C4">
        <w:rPr>
          <w:noProof/>
        </w:rPr>
        <w:tab/>
      </w:r>
      <w:r w:rsidR="005962C4">
        <w:rPr>
          <w:noProof/>
        </w:rPr>
        <w:fldChar w:fldCharType="begin"/>
      </w:r>
      <w:r w:rsidR="005962C4">
        <w:rPr>
          <w:noProof/>
        </w:rPr>
        <w:instrText xml:space="preserve"> PAGEREF _Toc512513134 \h </w:instrText>
      </w:r>
      <w:r w:rsidR="005962C4">
        <w:rPr>
          <w:noProof/>
        </w:rPr>
      </w:r>
      <w:r w:rsidR="005962C4">
        <w:rPr>
          <w:noProof/>
        </w:rPr>
        <w:fldChar w:fldCharType="separate"/>
      </w:r>
      <w:r w:rsidR="00DE69B4">
        <w:rPr>
          <w:noProof/>
        </w:rPr>
        <w:t>3</w:t>
      </w:r>
      <w:r w:rsidR="005962C4">
        <w:rPr>
          <w:noProof/>
        </w:rPr>
        <w:fldChar w:fldCharType="end"/>
      </w:r>
    </w:p>
    <w:p w14:paraId="1682CD81" w14:textId="5F53BC59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_Toc512513135 \h </w:instrText>
      </w:r>
      <w:r>
        <w:rPr>
          <w:noProof/>
        </w:rPr>
      </w:r>
      <w:r>
        <w:rPr>
          <w:noProof/>
        </w:rPr>
        <w:fldChar w:fldCharType="separate"/>
      </w:r>
      <w:r w:rsidR="00DE69B4">
        <w:rPr>
          <w:noProof/>
        </w:rPr>
        <w:t>3</w:t>
      </w:r>
      <w:r>
        <w:rPr>
          <w:noProof/>
        </w:rPr>
        <w:fldChar w:fldCharType="end"/>
      </w:r>
    </w:p>
    <w:p w14:paraId="3312872F" w14:textId="4604ECDD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_Toc512513136 \h </w:instrText>
      </w:r>
      <w:r>
        <w:rPr>
          <w:noProof/>
        </w:rPr>
      </w:r>
      <w:r>
        <w:rPr>
          <w:noProof/>
        </w:rPr>
        <w:fldChar w:fldCharType="separate"/>
      </w:r>
      <w:r w:rsidR="00DE69B4">
        <w:rPr>
          <w:noProof/>
        </w:rPr>
        <w:t>3</w:t>
      </w:r>
      <w:r>
        <w:rPr>
          <w:noProof/>
        </w:rPr>
        <w:fldChar w:fldCharType="end"/>
      </w:r>
    </w:p>
    <w:p w14:paraId="68D8EE30" w14:textId="7BDC563F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_Toc512513137 \h </w:instrText>
      </w:r>
      <w:r>
        <w:rPr>
          <w:noProof/>
        </w:rPr>
      </w:r>
      <w:r>
        <w:rPr>
          <w:noProof/>
        </w:rPr>
        <w:fldChar w:fldCharType="separate"/>
      </w:r>
      <w:r w:rsidR="00DE69B4">
        <w:rPr>
          <w:noProof/>
        </w:rPr>
        <w:t>3</w:t>
      </w:r>
      <w:r>
        <w:rPr>
          <w:noProof/>
        </w:rPr>
        <w:fldChar w:fldCharType="end"/>
      </w:r>
    </w:p>
    <w:p w14:paraId="653698A7" w14:textId="58F9FF73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_Toc512513138 \h </w:instrText>
      </w:r>
      <w:r>
        <w:rPr>
          <w:noProof/>
        </w:rPr>
      </w:r>
      <w:r>
        <w:rPr>
          <w:noProof/>
        </w:rPr>
        <w:fldChar w:fldCharType="separate"/>
      </w:r>
      <w:r w:rsidR="00DE69B4">
        <w:rPr>
          <w:noProof/>
        </w:rPr>
        <w:t>3</w:t>
      </w:r>
      <w:r>
        <w:rPr>
          <w:noProof/>
        </w:rPr>
        <w:fldChar w:fldCharType="end"/>
      </w:r>
    </w:p>
    <w:p w14:paraId="7A8B2A1D" w14:textId="1EAD49AE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_Toc512513139 \h </w:instrText>
      </w:r>
      <w:r>
        <w:rPr>
          <w:noProof/>
        </w:rPr>
      </w:r>
      <w:r>
        <w:rPr>
          <w:noProof/>
        </w:rPr>
        <w:fldChar w:fldCharType="separate"/>
      </w:r>
      <w:r w:rsidR="00DE69B4">
        <w:rPr>
          <w:noProof/>
        </w:rPr>
        <w:t>3</w:t>
      </w:r>
      <w:r>
        <w:rPr>
          <w:noProof/>
        </w:rPr>
        <w:fldChar w:fldCharType="end"/>
      </w:r>
    </w:p>
    <w:p w14:paraId="47DB8682" w14:textId="37353DDC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_Toc512513140 \h </w:instrText>
      </w:r>
      <w:r>
        <w:rPr>
          <w:noProof/>
        </w:rPr>
      </w:r>
      <w:r>
        <w:rPr>
          <w:noProof/>
        </w:rPr>
        <w:fldChar w:fldCharType="separate"/>
      </w:r>
      <w:r w:rsidR="00DE69B4">
        <w:rPr>
          <w:noProof/>
        </w:rPr>
        <w:t>3</w:t>
      </w:r>
      <w:r>
        <w:rPr>
          <w:noProof/>
        </w:rPr>
        <w:fldChar w:fldCharType="end"/>
      </w:r>
    </w:p>
    <w:p w14:paraId="4BC3F953" w14:textId="6E4C834F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_Toc512513141 \h </w:instrText>
      </w:r>
      <w:r>
        <w:rPr>
          <w:noProof/>
        </w:rPr>
      </w:r>
      <w:r>
        <w:rPr>
          <w:noProof/>
        </w:rPr>
        <w:fldChar w:fldCharType="separate"/>
      </w:r>
      <w:r w:rsidR="00DE69B4">
        <w:rPr>
          <w:noProof/>
        </w:rPr>
        <w:t>4</w:t>
      </w:r>
      <w:r>
        <w:rPr>
          <w:noProof/>
        </w:rPr>
        <w:fldChar w:fldCharType="end"/>
      </w:r>
    </w:p>
    <w:p w14:paraId="3840C5A9" w14:textId="723F7CA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_Toc512513142 \h </w:instrText>
      </w:r>
      <w:r>
        <w:rPr>
          <w:noProof/>
        </w:rPr>
      </w:r>
      <w:r>
        <w:rPr>
          <w:noProof/>
        </w:rPr>
        <w:fldChar w:fldCharType="separate"/>
      </w:r>
      <w:r w:rsidR="00DE69B4">
        <w:rPr>
          <w:noProof/>
        </w:rPr>
        <w:t>4</w:t>
      </w:r>
      <w:r>
        <w:rPr>
          <w:noProof/>
        </w:rPr>
        <w:fldChar w:fldCharType="end"/>
      </w:r>
    </w:p>
    <w:p w14:paraId="27EBBC70" w14:textId="2F8F517E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_Toc512513143 \h </w:instrText>
      </w:r>
      <w:r>
        <w:rPr>
          <w:noProof/>
        </w:rPr>
      </w:r>
      <w:r>
        <w:rPr>
          <w:noProof/>
        </w:rPr>
        <w:fldChar w:fldCharType="separate"/>
      </w:r>
      <w:r w:rsidR="00DE69B4">
        <w:rPr>
          <w:noProof/>
        </w:rPr>
        <w:t>5</w:t>
      </w:r>
      <w:r>
        <w:rPr>
          <w:noProof/>
        </w:rPr>
        <w:fldChar w:fldCharType="end"/>
      </w:r>
    </w:p>
    <w:p w14:paraId="19A8D893" w14:textId="3E231ED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_Toc512513144 \h </w:instrText>
      </w:r>
      <w:r>
        <w:rPr>
          <w:noProof/>
        </w:rPr>
      </w:r>
      <w:r>
        <w:rPr>
          <w:noProof/>
        </w:rPr>
        <w:fldChar w:fldCharType="separate"/>
      </w:r>
      <w:r w:rsidR="00DE69B4">
        <w:rPr>
          <w:noProof/>
        </w:rPr>
        <w:t>5</w:t>
      </w:r>
      <w:r>
        <w:rPr>
          <w:noProof/>
        </w:rPr>
        <w:fldChar w:fldCharType="end"/>
      </w:r>
    </w:p>
    <w:p w14:paraId="7D89489B" w14:textId="43E8AF6C" w:rsidR="005962C4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_Toc512513145 \h </w:instrText>
      </w:r>
      <w:r>
        <w:rPr>
          <w:noProof/>
        </w:rPr>
      </w:r>
      <w:r>
        <w:rPr>
          <w:noProof/>
        </w:rPr>
        <w:fldChar w:fldCharType="separate"/>
      </w:r>
      <w:r w:rsidR="00DE69B4">
        <w:rPr>
          <w:noProof/>
        </w:rPr>
        <w:t>7</w:t>
      </w:r>
      <w:r>
        <w:rPr>
          <w:noProof/>
        </w:rPr>
        <w:fldChar w:fldCharType="end"/>
      </w:r>
    </w:p>
    <w:p w14:paraId="16B34DE9" w14:textId="6FF5F526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_Toc512513146 \h </w:instrText>
      </w:r>
      <w:r>
        <w:rPr>
          <w:noProof/>
        </w:rPr>
      </w:r>
      <w:r>
        <w:rPr>
          <w:noProof/>
        </w:rPr>
        <w:fldChar w:fldCharType="separate"/>
      </w:r>
      <w:r w:rsidR="00DE69B4">
        <w:rPr>
          <w:noProof/>
        </w:rPr>
        <w:t>7</w:t>
      </w:r>
      <w:r>
        <w:rPr>
          <w:noProof/>
        </w:rPr>
        <w:fldChar w:fldCharType="end"/>
      </w:r>
    </w:p>
    <w:p w14:paraId="77C090D3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3180DCCC" w14:textId="77777777" w:rsidR="003A2FFE" w:rsidRDefault="003A2FFE" w:rsidP="003A2FFE">
      <w:pPr>
        <w:tabs>
          <w:tab w:val="left" w:pos="3631"/>
        </w:tabs>
      </w:pPr>
    </w:p>
    <w:p w14:paraId="37A3588C" w14:textId="77777777"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1088D5EB" w14:textId="77777777" w:rsidR="00877AE3" w:rsidRDefault="00877AE3" w:rsidP="00253D7C">
      <w:pPr>
        <w:pStyle w:val="LV1"/>
      </w:pPr>
      <w:bookmarkStart w:id="4" w:name="_Toc512513134"/>
      <w:r>
        <w:lastRenderedPageBreak/>
        <w:t>Name</w:t>
      </w:r>
      <w:bookmarkEnd w:id="4"/>
    </w:p>
    <w:p w14:paraId="6C8350CA" w14:textId="2510186E"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D35C69">
        <w:rPr>
          <w:i/>
        </w:rPr>
        <w:t>fracture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DE69B4">
        <w:t>62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DE69B4">
        <w:t>2024</w:t>
      </w:r>
      <w:r w:rsidR="00E55F66" w:rsidRPr="00F97A62">
        <w:t>)</w:t>
      </w:r>
      <w:r w:rsidRPr="00F97A62">
        <w:t>.</w:t>
      </w:r>
    </w:p>
    <w:p w14:paraId="04BF4CF9" w14:textId="77777777" w:rsidR="00F67B67" w:rsidRPr="00684C0E" w:rsidRDefault="00F67B67" w:rsidP="00253D7C">
      <w:pPr>
        <w:pStyle w:val="LV1"/>
      </w:pPr>
      <w:bookmarkStart w:id="7" w:name="_Toc512513135"/>
      <w:r w:rsidRPr="00684C0E">
        <w:t>Commencement</w:t>
      </w:r>
      <w:bookmarkEnd w:id="7"/>
    </w:p>
    <w:p w14:paraId="39F89C0A" w14:textId="5100F020"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0A26AB" w:rsidRPr="000A26AB">
        <w:rPr>
          <w:bCs/>
        </w:rPr>
        <w:t>24 September 2024</w:t>
      </w:r>
      <w:r w:rsidR="00F67B67" w:rsidRPr="007527C1">
        <w:t>.</w:t>
      </w:r>
    </w:p>
    <w:p w14:paraId="1186EC39" w14:textId="77777777" w:rsidR="00F67B67" w:rsidRPr="00684C0E" w:rsidRDefault="00F67B67" w:rsidP="00253D7C">
      <w:pPr>
        <w:pStyle w:val="LV1"/>
      </w:pPr>
      <w:bookmarkStart w:id="8" w:name="_Toc512513136"/>
      <w:r w:rsidRPr="00684C0E">
        <w:t>Authority</w:t>
      </w:r>
      <w:bookmarkEnd w:id="8"/>
    </w:p>
    <w:p w14:paraId="00211037" w14:textId="77777777"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</w:t>
      </w:r>
      <w:proofErr w:type="gramStart"/>
      <w:r w:rsidR="00167E0C">
        <w:t>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0F77C8BA" w14:textId="77777777" w:rsidR="00DA3996" w:rsidRPr="00684C0E" w:rsidRDefault="00DA3996" w:rsidP="00253D7C">
      <w:pPr>
        <w:pStyle w:val="LV1"/>
      </w:pPr>
      <w:bookmarkStart w:id="9" w:name="_Toc512513137"/>
      <w:r>
        <w:t>Re</w:t>
      </w:r>
      <w:r w:rsidR="005962C4">
        <w:t>peal</w:t>
      </w:r>
      <w:bookmarkEnd w:id="9"/>
    </w:p>
    <w:p w14:paraId="015C4AA3" w14:textId="10245D11"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DE69B4" w:rsidRPr="00DE69B4">
        <w:t>fracture</w:t>
      </w:r>
      <w:r w:rsidR="00D35C69">
        <w:t xml:space="preserve"> No. 94 of 2015</w:t>
      </w:r>
      <w:r w:rsidR="005962C4">
        <w:t xml:space="preserve"> </w:t>
      </w:r>
      <w:r w:rsidR="005962C4" w:rsidRPr="00786DAE">
        <w:t>(Federal Re</w:t>
      </w:r>
      <w:r w:rsidR="00D35C69">
        <w:t>gister of Legislation No. F2015L01340</w:t>
      </w:r>
      <w:r w:rsidR="005962C4" w:rsidRPr="00786DAE">
        <w:t xml:space="preserve">) </w:t>
      </w:r>
      <w:r w:rsidR="00D35C69">
        <w:t>made under subsection 196</w:t>
      </w:r>
      <w:proofErr w:type="gramStart"/>
      <w:r w:rsidR="00D35C69">
        <w:t>B(</w:t>
      </w:r>
      <w:proofErr w:type="gramEnd"/>
      <w:r w:rsidR="00D35C69">
        <w:t>2)</w:t>
      </w:r>
      <w:r w:rsidR="005962C4" w:rsidRPr="00DA3996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14:paraId="4CA80080" w14:textId="77777777" w:rsidR="007C7DEE" w:rsidRPr="00684C0E" w:rsidRDefault="007C7DEE" w:rsidP="00253D7C">
      <w:pPr>
        <w:pStyle w:val="LV1"/>
      </w:pPr>
      <w:bookmarkStart w:id="10" w:name="_Toc512513138"/>
      <w:r w:rsidRPr="00684C0E">
        <w:t>Application</w:t>
      </w:r>
      <w:bookmarkEnd w:id="10"/>
    </w:p>
    <w:p w14:paraId="6427FDC1" w14:textId="77777777"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6D3EC906" w14:textId="77777777" w:rsidR="007C7DEE" w:rsidRPr="00684C0E" w:rsidRDefault="007C7DEE" w:rsidP="00253D7C">
      <w:pPr>
        <w:pStyle w:val="LV1"/>
      </w:pPr>
      <w:bookmarkStart w:id="11" w:name="_Ref410129949"/>
      <w:bookmarkStart w:id="12" w:name="_Toc512513139"/>
      <w:r w:rsidRPr="00684C0E">
        <w:t>Definitions</w:t>
      </w:r>
      <w:bookmarkEnd w:id="11"/>
      <w:bookmarkEnd w:id="12"/>
    </w:p>
    <w:p w14:paraId="1CB2EB4F" w14:textId="77777777"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16FA008E" w14:textId="77777777" w:rsidR="007C7DEE" w:rsidRPr="00684C0E" w:rsidRDefault="007C7DEE" w:rsidP="00253D7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125131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0FF40CAC" w14:textId="648494F4" w:rsidR="007C7DEE" w:rsidRPr="00D5620B" w:rsidRDefault="007C7DEE" w:rsidP="00253D7C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DE69B4" w:rsidRPr="00DE69B4">
        <w:t>fracture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DE69B4" w:rsidRPr="00DE69B4">
        <w:t>fracture</w:t>
      </w:r>
      <w:r w:rsidRPr="00D5620B">
        <w:t>.</w:t>
      </w:r>
      <w:bookmarkEnd w:id="17"/>
    </w:p>
    <w:p w14:paraId="2096E818" w14:textId="63C3D938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DE69B4" w:rsidRPr="00DE69B4">
        <w:rPr>
          <w:b/>
        </w:rPr>
        <w:t>fracture</w:t>
      </w:r>
    </w:p>
    <w:p w14:paraId="5852B0BE" w14:textId="60CF47E0" w:rsidR="002716E4" w:rsidRPr="00237BAF" w:rsidRDefault="007C7DEE" w:rsidP="00253D7C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DE69B4" w:rsidRPr="00DE69B4">
        <w:t>fracture</w:t>
      </w:r>
      <w:r w:rsidR="002716E4" w:rsidRPr="00237BAF">
        <w:t>:</w:t>
      </w:r>
      <w:bookmarkEnd w:id="18"/>
    </w:p>
    <w:bookmarkEnd w:id="19"/>
    <w:p w14:paraId="7753428F" w14:textId="77777777" w:rsidR="00D35C69" w:rsidRDefault="00253D7C" w:rsidP="00D35C69">
      <w:pPr>
        <w:pStyle w:val="LV3"/>
      </w:pPr>
      <w:r>
        <w:t xml:space="preserve">means </w:t>
      </w:r>
      <w:r w:rsidR="00D35C69">
        <w:t xml:space="preserve">an acquired break of bone </w:t>
      </w:r>
      <w:proofErr w:type="gramStart"/>
      <w:r w:rsidR="00D35C69">
        <w:t>as a result of</w:t>
      </w:r>
      <w:proofErr w:type="gramEnd"/>
      <w:r w:rsidR="00D35C69">
        <w:t xml:space="preserve"> an applied force that ordinarily would cause bone breakage in a healthy bone; and</w:t>
      </w:r>
    </w:p>
    <w:p w14:paraId="502D6A79" w14:textId="77777777" w:rsidR="00D35C69" w:rsidRDefault="00D35C69" w:rsidP="00D35C69">
      <w:pPr>
        <w:pStyle w:val="LV3"/>
      </w:pPr>
      <w:r>
        <w:t>includes:</w:t>
      </w:r>
    </w:p>
    <w:p w14:paraId="795A8DFA" w14:textId="77777777" w:rsidR="00D35C69" w:rsidRDefault="00D35C69" w:rsidP="00D35C69">
      <w:pPr>
        <w:pStyle w:val="LV4"/>
      </w:pPr>
      <w:r>
        <w:t xml:space="preserve">acute vascular shock, acute compartment syndrome, or fat embolism resulting from the fractured </w:t>
      </w:r>
      <w:proofErr w:type="gramStart"/>
      <w:r>
        <w:t>bone;</w:t>
      </w:r>
      <w:proofErr w:type="gramEnd"/>
    </w:p>
    <w:p w14:paraId="2205B0D9" w14:textId="77777777" w:rsidR="00D35C69" w:rsidRDefault="00D35C69" w:rsidP="00D35C69">
      <w:pPr>
        <w:pStyle w:val="LV4"/>
      </w:pPr>
      <w:r>
        <w:t xml:space="preserve">avulsion, crush, </w:t>
      </w:r>
      <w:proofErr w:type="spellStart"/>
      <w:r>
        <w:t>comminuted</w:t>
      </w:r>
      <w:proofErr w:type="spellEnd"/>
      <w:r>
        <w:t xml:space="preserve">, burst, or blowout </w:t>
      </w:r>
      <w:proofErr w:type="gramStart"/>
      <w:r>
        <w:t>fracture;</w:t>
      </w:r>
      <w:proofErr w:type="gramEnd"/>
      <w:r>
        <w:t xml:space="preserve"> </w:t>
      </w:r>
    </w:p>
    <w:p w14:paraId="4F5E4694" w14:textId="2C08E666" w:rsidR="00D35C69" w:rsidRDefault="00D35C69" w:rsidP="00D35C69">
      <w:pPr>
        <w:pStyle w:val="LV4"/>
      </w:pPr>
      <w:r>
        <w:t xml:space="preserve">closed or compound/open </w:t>
      </w:r>
      <w:proofErr w:type="gramStart"/>
      <w:r>
        <w:t>fracture;</w:t>
      </w:r>
      <w:proofErr w:type="gramEnd"/>
    </w:p>
    <w:p w14:paraId="6EC67C1F" w14:textId="6C7BAAAC" w:rsidR="00D35C69" w:rsidRDefault="00D35C69" w:rsidP="00D35C69">
      <w:pPr>
        <w:pStyle w:val="LV4"/>
      </w:pPr>
      <w:r>
        <w:t>fracture of bone contiguous with an orthopaedic implant; and</w:t>
      </w:r>
    </w:p>
    <w:p w14:paraId="4F94A1BA" w14:textId="77777777" w:rsidR="00D35C69" w:rsidRDefault="00D35C69" w:rsidP="00D35C69">
      <w:pPr>
        <w:pStyle w:val="LV4"/>
      </w:pPr>
      <w:r>
        <w:t xml:space="preserve">growth plate </w:t>
      </w:r>
      <w:proofErr w:type="gramStart"/>
      <w:r>
        <w:t>fractures;</w:t>
      </w:r>
      <w:proofErr w:type="gramEnd"/>
      <w:r>
        <w:t xml:space="preserve"> </w:t>
      </w:r>
    </w:p>
    <w:p w14:paraId="140D4F24" w14:textId="77777777" w:rsidR="00D35C69" w:rsidRDefault="00D35C69" w:rsidP="00D35C69">
      <w:pPr>
        <w:pStyle w:val="LV4"/>
      </w:pPr>
      <w:r>
        <w:lastRenderedPageBreak/>
        <w:t xml:space="preserve">periosteal, muscular, fascial, skin, nerve or vascular damage directly caused by the displaced fractured </w:t>
      </w:r>
      <w:proofErr w:type="gramStart"/>
      <w:r>
        <w:t>bone;</w:t>
      </w:r>
      <w:proofErr w:type="gramEnd"/>
      <w:r>
        <w:t xml:space="preserve"> </w:t>
      </w:r>
    </w:p>
    <w:p w14:paraId="5DA1C123" w14:textId="77777777" w:rsidR="00D35C69" w:rsidRDefault="00D35C69" w:rsidP="00D35C69">
      <w:pPr>
        <w:pStyle w:val="LV4"/>
      </w:pPr>
      <w:r>
        <w:t xml:space="preserve"> stress fracture of the fatigue </w:t>
      </w:r>
      <w:proofErr w:type="gramStart"/>
      <w:r>
        <w:t>type;</w:t>
      </w:r>
      <w:proofErr w:type="gramEnd"/>
    </w:p>
    <w:p w14:paraId="217B4A3C" w14:textId="77777777" w:rsidR="00D35C69" w:rsidRDefault="00D35C69" w:rsidP="00D35C69">
      <w:pPr>
        <w:pStyle w:val="LV4"/>
      </w:pPr>
      <w:r>
        <w:t>torsion or spiral fracture; and</w:t>
      </w:r>
    </w:p>
    <w:p w14:paraId="11DBB691" w14:textId="77777777" w:rsidR="00D35C69" w:rsidRDefault="00D35C69" w:rsidP="00D35C69">
      <w:pPr>
        <w:pStyle w:val="LV4"/>
      </w:pPr>
      <w:r>
        <w:t xml:space="preserve"> wound infection as a result of penetration of the skin by bony fracture fragments (compound fracture</w:t>
      </w:r>
      <w:proofErr w:type="gramStart"/>
      <w:r>
        <w:t>);</w:t>
      </w:r>
      <w:proofErr w:type="gramEnd"/>
      <w:r>
        <w:t xml:space="preserve"> </w:t>
      </w:r>
    </w:p>
    <w:p w14:paraId="34F79931" w14:textId="77777777" w:rsidR="00D35C69" w:rsidRDefault="00D35C69" w:rsidP="00D35C69">
      <w:pPr>
        <w:pStyle w:val="LV3"/>
      </w:pPr>
      <w:r>
        <w:t>excludes:</w:t>
      </w:r>
    </w:p>
    <w:p w14:paraId="19BCAF57" w14:textId="77777777" w:rsidR="00D35C69" w:rsidRDefault="00D35C69" w:rsidP="00D35C69">
      <w:pPr>
        <w:pStyle w:val="LV4"/>
      </w:pPr>
      <w:r>
        <w:t xml:space="preserve">pathological </w:t>
      </w:r>
      <w:proofErr w:type="gramStart"/>
      <w:r>
        <w:t>fracture;</w:t>
      </w:r>
      <w:proofErr w:type="gramEnd"/>
    </w:p>
    <w:p w14:paraId="769F5B78" w14:textId="77777777" w:rsidR="00D35C69" w:rsidRDefault="00D35C69" w:rsidP="00D35C69">
      <w:pPr>
        <w:pStyle w:val="LV4"/>
      </w:pPr>
      <w:r>
        <w:t xml:space="preserve">bone stress injury/bone marrow oedema not being a stress </w:t>
      </w:r>
      <w:proofErr w:type="gramStart"/>
      <w:r>
        <w:t>fracture;</w:t>
      </w:r>
      <w:proofErr w:type="gramEnd"/>
    </w:p>
    <w:p w14:paraId="5A84F3A4" w14:textId="77777777" w:rsidR="00D35C69" w:rsidRDefault="00D35C69" w:rsidP="00D35C69">
      <w:pPr>
        <w:pStyle w:val="LV4"/>
      </w:pPr>
      <w:r>
        <w:t xml:space="preserve">stress fracture of the insufficiency </w:t>
      </w:r>
      <w:proofErr w:type="gramStart"/>
      <w:r>
        <w:t>type;</w:t>
      </w:r>
      <w:proofErr w:type="gramEnd"/>
      <w:r>
        <w:t xml:space="preserve"> </w:t>
      </w:r>
    </w:p>
    <w:p w14:paraId="3983CDE5" w14:textId="77777777" w:rsidR="00D35C69" w:rsidRDefault="00D35C69" w:rsidP="00D35C69">
      <w:pPr>
        <w:pStyle w:val="LV4"/>
      </w:pPr>
      <w:proofErr w:type="gramStart"/>
      <w:r>
        <w:t>osteonecrosis;</w:t>
      </w:r>
      <w:proofErr w:type="gramEnd"/>
    </w:p>
    <w:p w14:paraId="107E9293" w14:textId="77777777" w:rsidR="00D35C69" w:rsidRDefault="00D35C69" w:rsidP="00D35C69">
      <w:pPr>
        <w:pStyle w:val="LV4"/>
      </w:pPr>
      <w:proofErr w:type="gramStart"/>
      <w:r>
        <w:t>periostitis;</w:t>
      </w:r>
      <w:proofErr w:type="gramEnd"/>
      <w:r>
        <w:t xml:space="preserve"> </w:t>
      </w:r>
    </w:p>
    <w:p w14:paraId="62C9D6B6" w14:textId="77777777" w:rsidR="00D35C69" w:rsidRDefault="00D35C69" w:rsidP="00D35C69">
      <w:pPr>
        <w:pStyle w:val="LV4"/>
      </w:pPr>
      <w:r>
        <w:t xml:space="preserve">fracture of </w:t>
      </w:r>
      <w:proofErr w:type="gramStart"/>
      <w:r>
        <w:t>teeth;</w:t>
      </w:r>
      <w:proofErr w:type="gramEnd"/>
      <w:r>
        <w:t xml:space="preserve"> </w:t>
      </w:r>
    </w:p>
    <w:p w14:paraId="743EDEA1" w14:textId="77777777" w:rsidR="00D35C69" w:rsidRDefault="00D35C69" w:rsidP="00D35C69">
      <w:pPr>
        <w:pStyle w:val="LV4"/>
      </w:pPr>
      <w:r>
        <w:t xml:space="preserve">fracture of </w:t>
      </w:r>
      <w:proofErr w:type="gramStart"/>
      <w:r>
        <w:t>cartilage;</w:t>
      </w:r>
      <w:proofErr w:type="gramEnd"/>
      <w:r>
        <w:t xml:space="preserve"> </w:t>
      </w:r>
    </w:p>
    <w:p w14:paraId="2AEFB083" w14:textId="77777777" w:rsidR="00D35C69" w:rsidRDefault="00D35C69" w:rsidP="00D35C69">
      <w:pPr>
        <w:pStyle w:val="LV4"/>
      </w:pPr>
      <w:r>
        <w:t>fracture of an orthopaedic implant including a screw, nail, fixation plate or prosthesis; and</w:t>
      </w:r>
    </w:p>
    <w:p w14:paraId="48536C54" w14:textId="77777777" w:rsidR="00D35C69" w:rsidRDefault="00D35C69" w:rsidP="00D35C69">
      <w:pPr>
        <w:pStyle w:val="LV4"/>
      </w:pPr>
      <w:r>
        <w:t>spondylolysis.</w:t>
      </w:r>
    </w:p>
    <w:p w14:paraId="436FAB15" w14:textId="77777777" w:rsidR="00D35C69" w:rsidRDefault="00D35C69" w:rsidP="00D35C69">
      <w:pPr>
        <w:pStyle w:val="NOTE"/>
      </w:pPr>
      <w:r>
        <w:t xml:space="preserve">Note: Clinical worsening could include fracture non-union but not an additional fracture. An additional fracture would require further invocation of the fracture statement of principles. </w:t>
      </w:r>
    </w:p>
    <w:p w14:paraId="2E0312EE" w14:textId="249E5890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DE69B4" w:rsidRPr="00DE69B4">
        <w:rPr>
          <w:b/>
        </w:rPr>
        <w:t>fracture</w:t>
      </w:r>
    </w:p>
    <w:p w14:paraId="46FA072F" w14:textId="7D88291B"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DE69B4" w:rsidRPr="00DE69B4">
        <w:t>fracture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DE69B4" w:rsidRPr="00DE69B4">
        <w:t>fracture</w:t>
      </w:r>
      <w:r w:rsidRPr="00D5620B">
        <w:t>.</w:t>
      </w:r>
    </w:p>
    <w:p w14:paraId="00F25DEF" w14:textId="77777777"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14:paraId="6D0A54B7" w14:textId="77777777" w:rsidR="007C7DEE" w:rsidRPr="00A20CA1" w:rsidRDefault="007C7DEE" w:rsidP="00253D7C">
      <w:pPr>
        <w:pStyle w:val="LV1"/>
      </w:pPr>
      <w:bookmarkStart w:id="20" w:name="_Toc512513141"/>
      <w:r w:rsidRPr="00A20CA1">
        <w:t>Basis for determining the factors</w:t>
      </w:r>
      <w:bookmarkEnd w:id="20"/>
    </w:p>
    <w:p w14:paraId="4060E7D8" w14:textId="160663B1"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DE69B4" w:rsidRPr="00DE69B4">
        <w:t>fracture</w:t>
      </w:r>
      <w:r>
        <w:t xml:space="preserve"> </w:t>
      </w:r>
      <w:r w:rsidRPr="00D5620B">
        <w:t>and death from</w:t>
      </w:r>
      <w:r>
        <w:t xml:space="preserve"> </w:t>
      </w:r>
      <w:r w:rsidR="00DE69B4" w:rsidRPr="00DE69B4">
        <w:t>fracture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60AB161E" w14:textId="77777777"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1E7C7623" w14:textId="77777777" w:rsidR="007C7DEE" w:rsidRPr="00301C54" w:rsidRDefault="007C7DEE" w:rsidP="00253D7C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12513142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27CCCC25" w14:textId="6892D187" w:rsidR="007C7DEE" w:rsidRPr="00AA6D8B" w:rsidRDefault="002716E4" w:rsidP="00253D7C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DE69B4" w:rsidRPr="00DE69B4">
        <w:t>fracture</w:t>
      </w:r>
      <w:r w:rsidR="007A3989">
        <w:t xml:space="preserve"> </w:t>
      </w:r>
      <w:r w:rsidR="007C7DEE" w:rsidRPr="00AA6D8B">
        <w:t xml:space="preserve">or death from </w:t>
      </w:r>
      <w:r w:rsidR="00DE69B4" w:rsidRPr="00DE69B4">
        <w:t>fracture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76C08074" w14:textId="77777777" w:rsidR="00253D7C" w:rsidRPr="00046E67" w:rsidRDefault="00920DE3" w:rsidP="00920DE3">
      <w:pPr>
        <w:pStyle w:val="LV2"/>
      </w:pPr>
      <w:bookmarkStart w:id="26" w:name="_Ref402530260"/>
      <w:bookmarkStart w:id="27" w:name="_Ref409598844"/>
      <w:r w:rsidRPr="00920DE3">
        <w:t xml:space="preserve">having significant physical force applied to or through the affected bone at the time of clinical </w:t>
      </w:r>
      <w:proofErr w:type="gramStart"/>
      <w:r w:rsidRPr="00920DE3">
        <w:t>onset;</w:t>
      </w:r>
      <w:proofErr w:type="gramEnd"/>
    </w:p>
    <w:p w14:paraId="520CDA40" w14:textId="77777777" w:rsidR="00920DE3" w:rsidRDefault="00920DE3" w:rsidP="00920DE3">
      <w:pPr>
        <w:pStyle w:val="LV2"/>
      </w:pPr>
      <w:r>
        <w:lastRenderedPageBreak/>
        <w:t xml:space="preserve">for stress fracture only, having significant repetitive loading stress to the affected bone prior to clinical </w:t>
      </w:r>
      <w:proofErr w:type="gramStart"/>
      <w:r>
        <w:t>onset;</w:t>
      </w:r>
      <w:proofErr w:type="gramEnd"/>
      <w:r>
        <w:t xml:space="preserve"> </w:t>
      </w:r>
    </w:p>
    <w:p w14:paraId="521DA9AF" w14:textId="77777777" w:rsidR="00253D7C" w:rsidRPr="008E76DC" w:rsidRDefault="00920DE3" w:rsidP="00920DE3">
      <w:pPr>
        <w:pStyle w:val="NOTE"/>
      </w:pPr>
      <w:r>
        <w:t>Note: Examples of situations involving significant repetitive loading stress includes military training, weight training, athletics or running.</w:t>
      </w:r>
    </w:p>
    <w:p w14:paraId="57036FA5" w14:textId="77777777" w:rsidR="00920DE3" w:rsidRDefault="00920DE3" w:rsidP="00920DE3">
      <w:pPr>
        <w:pStyle w:val="LV2"/>
      </w:pPr>
      <w:r>
        <w:t xml:space="preserve">for stress fracture only, having significant chronic repetitive loading stress to the affected bone due to abnormal force intensity or direction of application, at the time of clinical </w:t>
      </w:r>
      <w:proofErr w:type="gramStart"/>
      <w:r>
        <w:t>onset;</w:t>
      </w:r>
      <w:proofErr w:type="gramEnd"/>
      <w:r>
        <w:t xml:space="preserve"> </w:t>
      </w:r>
    </w:p>
    <w:p w14:paraId="39DEFB50" w14:textId="77777777" w:rsidR="00253D7C" w:rsidRPr="008E76DC" w:rsidRDefault="00920DE3" w:rsidP="00920DE3">
      <w:pPr>
        <w:pStyle w:val="NOTE"/>
      </w:pPr>
      <w:r>
        <w:t>Note: An example of chronic repetitive stress due to changed force intensity or force direction would be an uncorrected substantial leg length inequality, or a substantial valgus or varus joint malalignment.</w:t>
      </w:r>
    </w:p>
    <w:p w14:paraId="3A5BF4E5" w14:textId="77777777" w:rsidR="00E35742" w:rsidRDefault="00E35742" w:rsidP="00E35742">
      <w:pPr>
        <w:pStyle w:val="LV2"/>
      </w:pPr>
      <w:r>
        <w:t xml:space="preserve">smoking at least 5 cigarettes per day, or the equivalent thereof in other tobacco products, during treatment for fracture prior to fracture </w:t>
      </w:r>
      <w:proofErr w:type="gramStart"/>
      <w:r>
        <w:t>non-union;</w:t>
      </w:r>
      <w:proofErr w:type="gramEnd"/>
    </w:p>
    <w:p w14:paraId="74CEBDF2" w14:textId="77777777" w:rsidR="00E35742" w:rsidRDefault="00E35742" w:rsidP="00E35742">
      <w:pPr>
        <w:pStyle w:val="NOTE"/>
      </w:pPr>
      <w:r>
        <w:t xml:space="preserve">Note 1: One gram of tobacco </w:t>
      </w:r>
      <w:proofErr w:type="gramStart"/>
      <w:r>
        <w:t>is considered to be</w:t>
      </w:r>
      <w:proofErr w:type="gramEnd"/>
      <w:r>
        <w:t xml:space="preserve"> equivalent to one cigarette.</w:t>
      </w:r>
    </w:p>
    <w:p w14:paraId="3A59D511" w14:textId="77777777" w:rsidR="00E35742" w:rsidRDefault="00E35742" w:rsidP="00E35742">
      <w:pPr>
        <w:pStyle w:val="NOTE"/>
      </w:pPr>
      <w:r>
        <w:t xml:space="preserve">Note 2: Fracture non-union </w:t>
      </w:r>
      <w:proofErr w:type="gramStart"/>
      <w:r>
        <w:t>is considered to be</w:t>
      </w:r>
      <w:proofErr w:type="gramEnd"/>
      <w:r>
        <w:t xml:space="preserve"> a clinical worsening of the fracture.</w:t>
      </w:r>
    </w:p>
    <w:p w14:paraId="234FB33C" w14:textId="77777777" w:rsidR="00920DE3" w:rsidRDefault="00920DE3" w:rsidP="00920DE3">
      <w:pPr>
        <w:pStyle w:val="LV2"/>
      </w:pPr>
      <w:r>
        <w:t xml:space="preserve">having diabetes mellitus at the time of the fracture </w:t>
      </w:r>
      <w:proofErr w:type="gramStart"/>
      <w:r>
        <w:t>non-union;</w:t>
      </w:r>
      <w:proofErr w:type="gramEnd"/>
    </w:p>
    <w:p w14:paraId="439BD844" w14:textId="77777777" w:rsidR="00920DE3" w:rsidRDefault="00920DE3" w:rsidP="00920DE3">
      <w:pPr>
        <w:pStyle w:val="NOTE"/>
      </w:pPr>
      <w:r>
        <w:t xml:space="preserve">Note: Fracture non-union </w:t>
      </w:r>
      <w:proofErr w:type="gramStart"/>
      <w:r>
        <w:t>is considered to be</w:t>
      </w:r>
      <w:proofErr w:type="gramEnd"/>
      <w:r>
        <w:t xml:space="preserve"> a clinical worsening of the fracture.</w:t>
      </w:r>
    </w:p>
    <w:p w14:paraId="4CC48FE1" w14:textId="77777777" w:rsidR="00E35742" w:rsidRDefault="00E35742" w:rsidP="00E35742">
      <w:pPr>
        <w:pStyle w:val="LV2"/>
      </w:pPr>
      <w:r>
        <w:t xml:space="preserve">having osteoporosis at the time of the fracture </w:t>
      </w:r>
      <w:proofErr w:type="gramStart"/>
      <w:r>
        <w:t>non-union;</w:t>
      </w:r>
      <w:proofErr w:type="gramEnd"/>
      <w:r>
        <w:t xml:space="preserve"> </w:t>
      </w:r>
    </w:p>
    <w:p w14:paraId="2BD08926" w14:textId="77777777" w:rsidR="00E35742" w:rsidRDefault="00E35742" w:rsidP="00E35742">
      <w:pPr>
        <w:pStyle w:val="NOTE"/>
      </w:pPr>
      <w:r>
        <w:t xml:space="preserve">Note: Fracture non-union </w:t>
      </w:r>
      <w:proofErr w:type="gramStart"/>
      <w:r>
        <w:t>is considered to be</w:t>
      </w:r>
      <w:proofErr w:type="gramEnd"/>
      <w:r>
        <w:t xml:space="preserve"> a clinical worsening of the fracture.</w:t>
      </w:r>
    </w:p>
    <w:p w14:paraId="7A2A4B8C" w14:textId="77777777" w:rsidR="00920DE3" w:rsidRDefault="00920DE3" w:rsidP="00920DE3">
      <w:pPr>
        <w:pStyle w:val="LV2"/>
      </w:pPr>
      <w:r w:rsidRPr="00920DE3">
        <w:t xml:space="preserve">having vitamin D deficiency, with a serum 25(OH)D level of less than 50 nanomoles per litre at the time of the fracture </w:t>
      </w:r>
      <w:proofErr w:type="gramStart"/>
      <w:r w:rsidRPr="00920DE3">
        <w:t>non-union;</w:t>
      </w:r>
      <w:proofErr w:type="gramEnd"/>
    </w:p>
    <w:p w14:paraId="43A12468" w14:textId="77777777" w:rsidR="00920DE3" w:rsidRDefault="00920DE3" w:rsidP="00920DE3">
      <w:pPr>
        <w:pStyle w:val="NOTE"/>
      </w:pPr>
      <w:r>
        <w:t xml:space="preserve">Note: Fracture non-union </w:t>
      </w:r>
      <w:proofErr w:type="gramStart"/>
      <w:r>
        <w:t>is considered to be</w:t>
      </w:r>
      <w:proofErr w:type="gramEnd"/>
      <w:r>
        <w:t xml:space="preserve"> a clinical worsening of the fracture.</w:t>
      </w:r>
    </w:p>
    <w:p w14:paraId="17FE8F03" w14:textId="77777777" w:rsidR="00920DE3" w:rsidRDefault="00920DE3" w:rsidP="00920DE3">
      <w:pPr>
        <w:pStyle w:val="LV2"/>
      </w:pPr>
      <w:r>
        <w:t xml:space="preserve">having a Body Mass Index (BMI) of 40 or greater at the time of the fracture </w:t>
      </w:r>
      <w:proofErr w:type="gramStart"/>
      <w:r>
        <w:t>non-union;</w:t>
      </w:r>
      <w:proofErr w:type="gramEnd"/>
      <w:r>
        <w:t xml:space="preserve"> </w:t>
      </w:r>
    </w:p>
    <w:p w14:paraId="1BC128C7" w14:textId="77777777" w:rsidR="00920DE3" w:rsidRDefault="00920DE3" w:rsidP="00920DE3">
      <w:pPr>
        <w:pStyle w:val="NOTE"/>
      </w:pPr>
      <w:r>
        <w:t xml:space="preserve">Note 1: </w:t>
      </w:r>
      <w:r w:rsidRPr="00920DE3">
        <w:rPr>
          <w:b/>
          <w:i/>
        </w:rPr>
        <w:t xml:space="preserve">BMI </w:t>
      </w:r>
      <w:r>
        <w:t xml:space="preserve">is defined in the Schedule 1 - Dictionary. </w:t>
      </w:r>
    </w:p>
    <w:p w14:paraId="5C462718" w14:textId="77777777" w:rsidR="00920DE3" w:rsidRDefault="00920DE3" w:rsidP="00920DE3">
      <w:pPr>
        <w:pStyle w:val="NOTE"/>
      </w:pPr>
      <w:r>
        <w:t xml:space="preserve">Note 2: Fracture non-union </w:t>
      </w:r>
      <w:proofErr w:type="gramStart"/>
      <w:r>
        <w:t>is considered to be</w:t>
      </w:r>
      <w:proofErr w:type="gramEnd"/>
      <w:r>
        <w:t xml:space="preserve"> a clinical worsening of the fracture.</w:t>
      </w:r>
    </w:p>
    <w:p w14:paraId="0A56A488" w14:textId="3B16C77B" w:rsidR="007C7DEE" w:rsidRPr="008D1B8B" w:rsidRDefault="007C7DEE" w:rsidP="00253D7C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DE69B4" w:rsidRPr="00DE69B4">
        <w:t>fracture</w:t>
      </w:r>
      <w:r w:rsidR="00920DE3">
        <w:t xml:space="preserve"> before clinical worsening</w:t>
      </w:r>
      <w:r w:rsidR="00D5620B" w:rsidRPr="008D1B8B">
        <w:t>.</w:t>
      </w:r>
      <w:bookmarkEnd w:id="27"/>
    </w:p>
    <w:p w14:paraId="38F29C98" w14:textId="77777777" w:rsidR="000C21A3" w:rsidRPr="00684C0E" w:rsidRDefault="00D32F71" w:rsidP="00253D7C">
      <w:pPr>
        <w:pStyle w:val="LV1"/>
      </w:pPr>
      <w:bookmarkStart w:id="28" w:name="_Toc512513143"/>
      <w:bookmarkStart w:id="29" w:name="_Ref402530057"/>
      <w:r>
        <w:t>Relationship to s</w:t>
      </w:r>
      <w:r w:rsidR="000C21A3" w:rsidRPr="00684C0E">
        <w:t>ervice</w:t>
      </w:r>
      <w:bookmarkEnd w:id="28"/>
    </w:p>
    <w:p w14:paraId="4E6E4CFB" w14:textId="77777777"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14:paraId="788C2A3F" w14:textId="6ADADCA7" w:rsidR="00CF2367" w:rsidRPr="00187DE1" w:rsidRDefault="00AA0804" w:rsidP="00AA0804">
      <w:pPr>
        <w:pStyle w:val="LV2"/>
      </w:pPr>
      <w:r w:rsidRPr="00AA0804">
        <w:t>The clinical worsening aspects of factors set</w:t>
      </w:r>
      <w:r>
        <w:t xml:space="preserve"> out in section 9 apply only to</w:t>
      </w:r>
      <w:r w:rsidR="00F03C06" w:rsidRPr="00187DE1">
        <w:t xml:space="preserve"> material contribution to, or aggravation of, </w:t>
      </w:r>
      <w:r w:rsidR="00DE69B4" w:rsidRPr="00DE69B4">
        <w:t>fracture</w:t>
      </w:r>
      <w:r w:rsidR="007A3989">
        <w:t xml:space="preserve"> </w:t>
      </w:r>
      <w:r w:rsidR="00F03C06" w:rsidRPr="00187DE1">
        <w:t>where the person</w:t>
      </w:r>
      <w:r w:rsidR="00950C80">
        <w:t>'</w:t>
      </w:r>
      <w:r w:rsidR="00F03C06" w:rsidRPr="00187DE1">
        <w:t xml:space="preserve">s </w:t>
      </w:r>
      <w:r w:rsidR="00DE69B4" w:rsidRPr="00DE69B4">
        <w:t>fracture</w:t>
      </w:r>
      <w:r w:rsidR="007A3989">
        <w:t xml:space="preserve"> </w:t>
      </w:r>
      <w:r w:rsidR="00F03C06" w:rsidRPr="00187DE1">
        <w:t>was suffered or contracted before or during (but did not arise out of) the person</w:t>
      </w:r>
      <w:r w:rsidR="00950C80">
        <w:t>'</w:t>
      </w:r>
      <w:r w:rsidR="00F03C06" w:rsidRPr="00187DE1">
        <w:t xml:space="preserve">s relevant service. </w:t>
      </w:r>
    </w:p>
    <w:p w14:paraId="343DB6C3" w14:textId="77777777" w:rsidR="00774897" w:rsidRPr="00301C54" w:rsidRDefault="00774897" w:rsidP="00253D7C">
      <w:pPr>
        <w:pStyle w:val="LV1"/>
      </w:pPr>
      <w:bookmarkStart w:id="30" w:name="_Toc51251314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3E9924B1" w14:textId="77777777" w:rsidR="00F03C06" w:rsidRPr="00E64EE4" w:rsidRDefault="00F03C06" w:rsidP="00253D7C">
      <w:pPr>
        <w:pStyle w:val="PlainIndent"/>
      </w:pPr>
      <w:r w:rsidRPr="00E64EE4">
        <w:t>In this Statement of Principles:</w:t>
      </w:r>
    </w:p>
    <w:p w14:paraId="14216994" w14:textId="77777777" w:rsidR="00F03C06" w:rsidRPr="00E64EE4" w:rsidRDefault="00F03C06" w:rsidP="00253D7C">
      <w:pPr>
        <w:pStyle w:val="LV2"/>
      </w:pPr>
      <w:r w:rsidRPr="00E64EE4">
        <w:lastRenderedPageBreak/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60DC0CFC" w14:textId="77777777"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</w:t>
      </w:r>
      <w:proofErr w:type="gramStart"/>
      <w:r w:rsidR="00AE67D2">
        <w:t>B(</w:t>
      </w:r>
      <w:proofErr w:type="gramEnd"/>
      <w:r w:rsidR="00AE67D2">
        <w:t>2</w:t>
      </w:r>
      <w:r w:rsidRPr="00E64EE4">
        <w:t>) of the VEA</w:t>
      </w:r>
      <w:r w:rsidR="00B24368" w:rsidRPr="00E64EE4">
        <w:t>;</w:t>
      </w:r>
    </w:p>
    <w:p w14:paraId="74EAFE8E" w14:textId="77777777"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763473B6" w14:textId="77777777" w:rsidR="00782F4E" w:rsidRPr="00E64EE4" w:rsidRDefault="00782F4E" w:rsidP="00253D7C">
      <w:pPr>
        <w:pStyle w:val="PlainIndent"/>
      </w:pPr>
    </w:p>
    <w:p w14:paraId="5547FD22" w14:textId="77777777"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45C6F078" w14:textId="77777777" w:rsidR="00F03C06" w:rsidRDefault="00F03C06" w:rsidP="00253D7C">
      <w:pPr>
        <w:pStyle w:val="PlainIndent"/>
      </w:pPr>
    </w:p>
    <w:p w14:paraId="7C0413BE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43764C4C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2C59C538" w14:textId="77777777" w:rsidR="00BD3334" w:rsidRDefault="00702C42" w:rsidP="00516768">
      <w:pPr>
        <w:pStyle w:val="SH1"/>
      </w:pPr>
      <w:bookmarkStart w:id="34" w:name="_Toc405472918"/>
      <w:bookmarkStart w:id="35" w:name="_Toc512513146"/>
      <w:r w:rsidRPr="00D97BB3">
        <w:t>Definitions</w:t>
      </w:r>
      <w:bookmarkEnd w:id="34"/>
      <w:bookmarkEnd w:id="35"/>
    </w:p>
    <w:p w14:paraId="0AEFC55F" w14:textId="77777777" w:rsidR="00702C42" w:rsidRPr="00516768" w:rsidRDefault="00702C42" w:rsidP="00253D7C">
      <w:pPr>
        <w:pStyle w:val="SH2"/>
      </w:pPr>
      <w:r w:rsidRPr="00516768">
        <w:t>In this instrument:</w:t>
      </w:r>
    </w:p>
    <w:p w14:paraId="2B7380B0" w14:textId="77777777" w:rsidR="00920DE3" w:rsidRDefault="007B52F6" w:rsidP="00920DE3">
      <w:pPr>
        <w:pStyle w:val="SH3"/>
      </w:pPr>
      <w:bookmarkStart w:id="36" w:name="_Ref402530810"/>
      <w:r w:rsidRPr="007B52F6">
        <w:tab/>
      </w:r>
      <w:r w:rsidR="00920DE3" w:rsidRPr="00920DE3">
        <w:rPr>
          <w:b/>
          <w:i/>
        </w:rPr>
        <w:t xml:space="preserve">BMI </w:t>
      </w:r>
      <w:r w:rsidR="00920DE3">
        <w:t>means W/H</w:t>
      </w:r>
      <w:r w:rsidR="00920DE3" w:rsidRPr="00920DE3">
        <w:rPr>
          <w:vertAlign w:val="superscript"/>
        </w:rPr>
        <w:t>2</w:t>
      </w:r>
      <w:r w:rsidR="00920DE3">
        <w:t xml:space="preserve"> where: </w:t>
      </w:r>
    </w:p>
    <w:p w14:paraId="091CBC1A" w14:textId="77777777" w:rsidR="00920DE3" w:rsidRDefault="00920DE3" w:rsidP="00920DE3">
      <w:pPr>
        <w:pStyle w:val="SH3"/>
      </w:pPr>
      <w:r>
        <w:t xml:space="preserve">(a) W is the person's weight in kilograms; and </w:t>
      </w:r>
    </w:p>
    <w:p w14:paraId="2E68F4F5" w14:textId="77777777" w:rsidR="00920DE3" w:rsidRDefault="00920DE3" w:rsidP="00920DE3">
      <w:pPr>
        <w:pStyle w:val="SH3"/>
      </w:pPr>
      <w:r>
        <w:t>(b) H is the person's height in metres.</w:t>
      </w:r>
    </w:p>
    <w:p w14:paraId="0B8A27BC" w14:textId="41F7BA8E" w:rsidR="00920DE3" w:rsidRPr="00920DE3" w:rsidRDefault="00DE69B4" w:rsidP="00920DE3">
      <w:pPr>
        <w:pStyle w:val="SH3"/>
      </w:pPr>
      <w:r w:rsidRPr="00DE69B4">
        <w:rPr>
          <w:b/>
          <w:i/>
        </w:rPr>
        <w:t>fracture</w:t>
      </w:r>
      <w:r w:rsidR="00920DE3" w:rsidRPr="00920DE3">
        <w:t>—see subsection 7(2).</w:t>
      </w:r>
    </w:p>
    <w:p w14:paraId="4E230AC6" w14:textId="77777777" w:rsidR="00885EAB" w:rsidRPr="009C404D" w:rsidRDefault="00885EAB" w:rsidP="004A1E0E">
      <w:pPr>
        <w:pStyle w:val="SH3"/>
      </w:pPr>
      <w:r w:rsidRPr="00E424C8">
        <w:rPr>
          <w:b/>
          <w:i/>
        </w:rPr>
        <w:t>MRCA</w:t>
      </w:r>
      <w:r w:rsidRPr="00E424C8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E424C8">
        <w:rPr>
          <w:i/>
        </w:rPr>
        <w:t>Military Rehabilitation and Compensation Act 2004</w:t>
      </w:r>
      <w:r w:rsidRPr="009C404D">
        <w:t>.</w:t>
      </w:r>
    </w:p>
    <w:p w14:paraId="31611F9A" w14:textId="77777777" w:rsidR="0090262E" w:rsidRPr="0090262E" w:rsidRDefault="0090262E" w:rsidP="00576E99">
      <w:pPr>
        <w:pStyle w:val="SH3"/>
      </w:pPr>
      <w:bookmarkStart w:id="37" w:name="_Ref402529607"/>
      <w:bookmarkEnd w:id="36"/>
      <w:r w:rsidRPr="00E424C8">
        <w:rPr>
          <w:b/>
          <w:i/>
        </w:rPr>
        <w:t>relevant service</w:t>
      </w:r>
      <w:r w:rsidRPr="0090262E">
        <w:t xml:space="preserve"> means:</w:t>
      </w:r>
    </w:p>
    <w:p w14:paraId="76063055" w14:textId="77777777" w:rsidR="0090262E" w:rsidRPr="0090262E" w:rsidRDefault="0090262E" w:rsidP="00304166">
      <w:pPr>
        <w:pStyle w:val="SH4"/>
        <w:ind w:left="1418"/>
      </w:pPr>
      <w:r w:rsidRPr="0090262E">
        <w:t xml:space="preserve">operational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66792177" w14:textId="77777777" w:rsidR="0090262E" w:rsidRPr="0090262E" w:rsidRDefault="0090262E" w:rsidP="00304166">
      <w:pPr>
        <w:pStyle w:val="SH4"/>
        <w:ind w:left="1418"/>
      </w:pPr>
      <w:r w:rsidRPr="0090262E">
        <w:t xml:space="preserve">peacekeeping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5005C458" w14:textId="77777777" w:rsidR="0090262E" w:rsidRPr="0090262E" w:rsidRDefault="0090262E" w:rsidP="00304166">
      <w:pPr>
        <w:pStyle w:val="SH4"/>
        <w:ind w:left="1418"/>
      </w:pPr>
      <w:r w:rsidRPr="0090262E">
        <w:t xml:space="preserve">hazardous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084A5650" w14:textId="77777777" w:rsidR="0090262E" w:rsidRPr="0090262E" w:rsidRDefault="0090262E" w:rsidP="00304166">
      <w:pPr>
        <w:pStyle w:val="SH4"/>
        <w:ind w:left="1418"/>
      </w:pPr>
      <w:r w:rsidRPr="0090262E">
        <w:t xml:space="preserve">British nuclear test defence service under the </w:t>
      </w:r>
      <w:proofErr w:type="gramStart"/>
      <w:r w:rsidRPr="0090262E">
        <w:t>VEA;</w:t>
      </w:r>
      <w:proofErr w:type="gramEnd"/>
    </w:p>
    <w:p w14:paraId="26DDF595" w14:textId="77777777"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14:paraId="2C2329A6" w14:textId="77777777"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14:paraId="5C019AF2" w14:textId="77777777"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="0054113C">
        <w:t xml:space="preserve"> are</w:t>
      </w:r>
      <w:r w:rsidRPr="00A36B1A">
        <w:t xml:space="preserve"> defined in the Schedule 1 - Dictionary.</w:t>
      </w:r>
    </w:p>
    <w:p w14:paraId="44A2275B" w14:textId="77777777"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1BCCA80D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1557B3F9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60A0023D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7582D37F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36F89A36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7A40D2D2" w14:textId="77777777"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14:paraId="23E4ADE3" w14:textId="77777777" w:rsidR="00CF2367" w:rsidRPr="00FA33FB" w:rsidRDefault="00CF2367" w:rsidP="00CF2367"/>
    <w:p w14:paraId="16EFB103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046687E0" w14:textId="77777777"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1571A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24EF446F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52B65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203F2546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EE96A8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816AA7B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48972FD6" w14:textId="2FB541F6" w:rsidR="004A2007" w:rsidRDefault="00DE69B4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E69B4">
            <w:rPr>
              <w:i/>
              <w:sz w:val="18"/>
              <w:szCs w:val="18"/>
            </w:rPr>
            <w:t>Fracture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DE69B4">
            <w:rPr>
              <w:i/>
              <w:sz w:val="18"/>
              <w:szCs w:val="18"/>
            </w:rPr>
            <w:t>62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DE69B4">
            <w:rPr>
              <w:i/>
              <w:sz w:val="18"/>
              <w:szCs w:val="18"/>
            </w:rPr>
            <w:t>2024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6B1307F2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24BBA2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E35742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E35742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14:paraId="3185A5BA" w14:textId="77777777"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CBCED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4E1CA64E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9088D04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8169FC8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36FC8084" w14:textId="6D57DE19" w:rsidR="004A2007" w:rsidRDefault="00DE69B4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E69B4">
            <w:rPr>
              <w:i/>
              <w:sz w:val="18"/>
              <w:szCs w:val="18"/>
            </w:rPr>
            <w:t>Fracture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DE69B4">
            <w:rPr>
              <w:i/>
              <w:sz w:val="18"/>
              <w:szCs w:val="18"/>
            </w:rPr>
            <w:t>62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DE69B4">
            <w:rPr>
              <w:i/>
              <w:sz w:val="18"/>
              <w:szCs w:val="18"/>
            </w:rPr>
            <w:t>2024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0FDB1F06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441DF33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E35742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E35742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14:paraId="3C24E510" w14:textId="77777777"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4D23D" w14:textId="77777777"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B215F" w14:textId="77777777"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3B3F3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DBF55" w14:textId="77777777"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E03E1" w14:textId="77777777"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BFC13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390696BA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80C75" w14:textId="703F53E7"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DA667" w14:textId="77777777"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679C6" w14:textId="77777777"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08CA8078" w14:textId="77777777"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7BC92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63EBC" w14:textId="77777777"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0BFD8" w14:textId="77777777"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FFED2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537091018">
    <w:abstractNumId w:val="15"/>
  </w:num>
  <w:num w:numId="2" w16cid:durableId="564877159">
    <w:abstractNumId w:val="13"/>
  </w:num>
  <w:num w:numId="3" w16cid:durableId="382145874">
    <w:abstractNumId w:val="11"/>
  </w:num>
  <w:num w:numId="4" w16cid:durableId="1447430042">
    <w:abstractNumId w:val="10"/>
  </w:num>
  <w:num w:numId="5" w16cid:durableId="580989233">
    <w:abstractNumId w:val="14"/>
  </w:num>
  <w:num w:numId="6" w16cid:durableId="1204616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167568">
    <w:abstractNumId w:val="9"/>
  </w:num>
  <w:num w:numId="8" w16cid:durableId="627511376">
    <w:abstractNumId w:val="7"/>
  </w:num>
  <w:num w:numId="9" w16cid:durableId="2026520997">
    <w:abstractNumId w:val="6"/>
  </w:num>
  <w:num w:numId="10" w16cid:durableId="921454451">
    <w:abstractNumId w:val="5"/>
  </w:num>
  <w:num w:numId="11" w16cid:durableId="1894924386">
    <w:abstractNumId w:val="4"/>
  </w:num>
  <w:num w:numId="12" w16cid:durableId="1917205037">
    <w:abstractNumId w:val="8"/>
  </w:num>
  <w:num w:numId="13" w16cid:durableId="1389108905">
    <w:abstractNumId w:val="3"/>
  </w:num>
  <w:num w:numId="14" w16cid:durableId="942225798">
    <w:abstractNumId w:val="2"/>
  </w:num>
  <w:num w:numId="15" w16cid:durableId="253822353">
    <w:abstractNumId w:val="1"/>
  </w:num>
  <w:num w:numId="16" w16cid:durableId="1299915564">
    <w:abstractNumId w:val="0"/>
  </w:num>
  <w:num w:numId="17" w16cid:durableId="424111501">
    <w:abstractNumId w:val="10"/>
  </w:num>
  <w:num w:numId="18" w16cid:durableId="1947537098">
    <w:abstractNumId w:val="10"/>
  </w:num>
  <w:num w:numId="19" w16cid:durableId="2089425476">
    <w:abstractNumId w:val="10"/>
  </w:num>
  <w:num w:numId="20" w16cid:durableId="502086662">
    <w:abstractNumId w:val="12"/>
  </w:num>
  <w:num w:numId="21" w16cid:durableId="71057245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D27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26AB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14754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113C"/>
    <w:rsid w:val="00545116"/>
    <w:rsid w:val="00553578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22A47"/>
    <w:rsid w:val="006314DD"/>
    <w:rsid w:val="00640ED4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7FD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0DE3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0E53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1083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24B2"/>
    <w:rsid w:val="00A64912"/>
    <w:rsid w:val="00A64BA1"/>
    <w:rsid w:val="00A70A74"/>
    <w:rsid w:val="00A77E0D"/>
    <w:rsid w:val="00A931D7"/>
    <w:rsid w:val="00AA0804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37DA4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02B4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5C69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D3B7D"/>
    <w:rsid w:val="00DE587E"/>
    <w:rsid w:val="00DE59B7"/>
    <w:rsid w:val="00DE69B4"/>
    <w:rsid w:val="00DF24DC"/>
    <w:rsid w:val="00DF5291"/>
    <w:rsid w:val="00DF6D11"/>
    <w:rsid w:val="00E05704"/>
    <w:rsid w:val="00E11E44"/>
    <w:rsid w:val="00E22949"/>
    <w:rsid w:val="00E3270E"/>
    <w:rsid w:val="00E338EF"/>
    <w:rsid w:val="00E35742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BDB"/>
    <w:rsid w:val="00FA1E52"/>
    <w:rsid w:val="00FA33FB"/>
    <w:rsid w:val="00FB24F6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6136B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2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rsid w:val="00920DE3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1208</Words>
  <Characters>6888</Characters>
  <Application>Microsoft Office Word</Application>
  <DocSecurity>0</DocSecurity>
  <PresentationFormat/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2024-03-05T23:48:00Z</dcterms:created>
  <dcterms:modified xsi:type="dcterms:W3CDTF">2024-08-21T23:13:00Z</dcterms:modified>
  <cp:category/>
  <cp:contentStatus/>
  <dc:language/>
  <cp:version/>
</cp:coreProperties>
</file>