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95435" w:rsidP="006647B7">
      <w:pPr>
        <w:pStyle w:val="Plainheader"/>
      </w:pPr>
      <w:bookmarkStart w:id="0" w:name="SoP_Name_Title"/>
      <w:r>
        <w:t xml:space="preserve">HODGKIN </w:t>
      </w:r>
      <w:proofErr w:type="gramStart"/>
      <w:r>
        <w:t>LYMPHOMA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6A22A6">
        <w:t>7</w:t>
      </w:r>
      <w:r w:rsidR="00A74C16">
        <w:t>0</w:t>
      </w:r>
      <w:bookmarkEnd w:id="1"/>
      <w:r w:rsidRPr="00024911">
        <w:t xml:space="preserve"> of</w:t>
      </w:r>
      <w:r w:rsidR="00085567">
        <w:t xml:space="preserve"> </w:t>
      </w:r>
      <w:bookmarkStart w:id="2" w:name="year"/>
      <w:r w:rsidR="00A95435">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C1163E"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23 June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bookmarkStart w:id="3" w:name="_GoBack"/>
      <w:bookmarkEnd w:id="3"/>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A74C1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74C16">
        <w:rPr>
          <w:noProof/>
        </w:rPr>
        <w:t>1</w:t>
      </w:r>
      <w:r w:rsidR="00A74C16">
        <w:rPr>
          <w:rFonts w:asciiTheme="minorHAnsi" w:eastAsiaTheme="minorEastAsia" w:hAnsiTheme="minorHAnsi" w:cstheme="minorBidi"/>
          <w:noProof/>
          <w:kern w:val="0"/>
          <w:sz w:val="22"/>
          <w:szCs w:val="22"/>
        </w:rPr>
        <w:tab/>
      </w:r>
      <w:r w:rsidR="00A74C16">
        <w:rPr>
          <w:noProof/>
        </w:rPr>
        <w:t>Name</w:t>
      </w:r>
      <w:r w:rsidR="00A74C16">
        <w:rPr>
          <w:noProof/>
        </w:rPr>
        <w:tab/>
      </w:r>
      <w:r w:rsidR="00A74C16">
        <w:rPr>
          <w:noProof/>
        </w:rPr>
        <w:fldChar w:fldCharType="begin"/>
      </w:r>
      <w:r w:rsidR="00A74C16">
        <w:rPr>
          <w:noProof/>
        </w:rPr>
        <w:instrText xml:space="preserve"> PAGEREF _Toc136349839 \h </w:instrText>
      </w:r>
      <w:r w:rsidR="00A74C16">
        <w:rPr>
          <w:noProof/>
        </w:rPr>
      </w:r>
      <w:r w:rsidR="00A74C16">
        <w:rPr>
          <w:noProof/>
        </w:rPr>
        <w:fldChar w:fldCharType="separate"/>
      </w:r>
      <w:r w:rsidR="00A74C16">
        <w:rPr>
          <w:noProof/>
        </w:rPr>
        <w:t>3</w:t>
      </w:r>
      <w:r w:rsidR="00A74C16">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_Toc136349840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_Toc136349841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_Toc136349842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_Toc136349843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_Toc136349844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_Toc136349845 \h </w:instrText>
      </w:r>
      <w:r>
        <w:rPr>
          <w:noProof/>
        </w:rPr>
      </w:r>
      <w:r>
        <w:rPr>
          <w:noProof/>
        </w:rPr>
        <w:fldChar w:fldCharType="separate"/>
      </w:r>
      <w:r>
        <w:rPr>
          <w:noProof/>
        </w:rPr>
        <w:t>3</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_Toc136349846 \h </w:instrText>
      </w:r>
      <w:r>
        <w:rPr>
          <w:noProof/>
        </w:rPr>
      </w:r>
      <w:r>
        <w:rPr>
          <w:noProof/>
        </w:rPr>
        <w:fldChar w:fldCharType="separate"/>
      </w:r>
      <w:r>
        <w:rPr>
          <w:noProof/>
        </w:rPr>
        <w:t>4</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_Toc136349847 \h </w:instrText>
      </w:r>
      <w:r>
        <w:rPr>
          <w:noProof/>
        </w:rPr>
      </w:r>
      <w:r>
        <w:rPr>
          <w:noProof/>
        </w:rPr>
        <w:fldChar w:fldCharType="separate"/>
      </w:r>
      <w:r>
        <w:rPr>
          <w:noProof/>
        </w:rPr>
        <w:t>4</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_Toc136349848 \h </w:instrText>
      </w:r>
      <w:r>
        <w:rPr>
          <w:noProof/>
        </w:rPr>
      </w:r>
      <w:r>
        <w:rPr>
          <w:noProof/>
        </w:rPr>
        <w:fldChar w:fldCharType="separate"/>
      </w:r>
      <w:r>
        <w:rPr>
          <w:noProof/>
        </w:rPr>
        <w:t>6</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_Toc136349849 \h </w:instrText>
      </w:r>
      <w:r>
        <w:rPr>
          <w:noProof/>
        </w:rPr>
      </w:r>
      <w:r>
        <w:rPr>
          <w:noProof/>
        </w:rPr>
        <w:fldChar w:fldCharType="separate"/>
      </w:r>
      <w:r>
        <w:rPr>
          <w:noProof/>
        </w:rPr>
        <w:t>6</w:t>
      </w:r>
      <w:r>
        <w:rPr>
          <w:noProof/>
        </w:rPr>
        <w:fldChar w:fldCharType="end"/>
      </w:r>
    </w:p>
    <w:p w:rsidR="00A74C16" w:rsidRDefault="00A74C1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_Toc136349850 \h </w:instrText>
      </w:r>
      <w:r>
        <w:rPr>
          <w:noProof/>
        </w:rPr>
      </w:r>
      <w:r>
        <w:rPr>
          <w:noProof/>
        </w:rPr>
        <w:fldChar w:fldCharType="separate"/>
      </w:r>
      <w:r>
        <w:rPr>
          <w:noProof/>
        </w:rPr>
        <w:t>7</w:t>
      </w:r>
      <w:r>
        <w:rPr>
          <w:noProof/>
        </w:rPr>
        <w:fldChar w:fldCharType="end"/>
      </w:r>
    </w:p>
    <w:p w:rsidR="00A74C16" w:rsidRDefault="00A74C1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_Toc136349851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136349839"/>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A95435">
        <w:rPr>
          <w:i/>
        </w:rPr>
        <w:t>Hodgkin lymphoma</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74C16">
        <w:t>70</w:t>
      </w:r>
      <w:r w:rsidR="00085567">
        <w:t xml:space="preserve"> </w:t>
      </w:r>
      <w:r w:rsidR="00E55F66" w:rsidRPr="00F97A62">
        <w:t>of</w:t>
      </w:r>
      <w:r w:rsidR="00085567">
        <w:t xml:space="preserve"> </w:t>
      </w:r>
      <w:r w:rsidR="00A74C16">
        <w:t>2023</w:t>
      </w:r>
      <w:r w:rsidR="00E55F66" w:rsidRPr="00F97A62">
        <w:t>)</w:t>
      </w:r>
      <w:r w:rsidRPr="00F97A62">
        <w:t>.</w:t>
      </w:r>
    </w:p>
    <w:p w:rsidR="00F67B67" w:rsidRPr="00684C0E" w:rsidRDefault="00F67B67" w:rsidP="00253D7C">
      <w:pPr>
        <w:pStyle w:val="LV1"/>
      </w:pPr>
      <w:bookmarkStart w:id="8" w:name="_Toc136349840"/>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C1163E">
        <w:t>25 July 2023</w:t>
      </w:r>
      <w:r w:rsidR="00F67B67" w:rsidRPr="007527C1">
        <w:t>.</w:t>
      </w:r>
    </w:p>
    <w:p w:rsidR="00F67B67" w:rsidRPr="00684C0E" w:rsidRDefault="00F67B67" w:rsidP="00253D7C">
      <w:pPr>
        <w:pStyle w:val="LV1"/>
      </w:pPr>
      <w:bookmarkStart w:id="9" w:name="_Toc136349841"/>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136349842"/>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C1163E">
        <w:t>H</w:t>
      </w:r>
      <w:r w:rsidR="00A74C16" w:rsidRPr="00A74C16">
        <w:t>odgkin</w:t>
      </w:r>
      <w:r w:rsidR="00C1163E">
        <w:t>'s</w:t>
      </w:r>
      <w:r w:rsidR="00A74C16" w:rsidRPr="00A74C16">
        <w:t xml:space="preserve"> lymphoma</w:t>
      </w:r>
      <w:r w:rsidR="002A582E">
        <w:t xml:space="preserve"> No.</w:t>
      </w:r>
      <w:r w:rsidR="00695A1E">
        <w:t xml:space="preserve"> </w:t>
      </w:r>
      <w:r w:rsidR="002A582E">
        <w:t>35</w:t>
      </w:r>
      <w:r w:rsidRPr="00DA3996">
        <w:t xml:space="preserve"> of</w:t>
      </w:r>
      <w:r w:rsidR="002A582E">
        <w:t xml:space="preserve"> 2014</w:t>
      </w:r>
      <w:r w:rsidR="005962C4">
        <w:t xml:space="preserve"> </w:t>
      </w:r>
      <w:r w:rsidR="005962C4" w:rsidRPr="00786DAE">
        <w:t>(Federal Re</w:t>
      </w:r>
      <w:r w:rsidR="002A582E">
        <w:t>gister of Legislation No. F2014L00467</w:t>
      </w:r>
      <w:r w:rsidR="005962C4" w:rsidRPr="00786DAE">
        <w:t xml:space="preserve">) </w:t>
      </w:r>
      <w:r w:rsidR="002A582E">
        <w:t xml:space="preserve">made under subsection </w:t>
      </w:r>
      <w:proofErr w:type="gramStart"/>
      <w:r w:rsidR="002A582E">
        <w:t>196B(</w:t>
      </w:r>
      <w:proofErr w:type="gramEnd"/>
      <w:r w:rsidR="002A582E">
        <w:t>2)</w:t>
      </w:r>
      <w:r w:rsidR="005962C4" w:rsidRPr="00DA3996">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136349843"/>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136349844"/>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13634984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A74C16" w:rsidRPr="00A74C16">
        <w:t>Hodgkin lymphoma</w:t>
      </w:r>
      <w:r w:rsidR="00D5620B" w:rsidRPr="002F77A1">
        <w:t xml:space="preserve"> </w:t>
      </w:r>
      <w:r w:rsidRPr="002F77A1">
        <w:t>and death</w:t>
      </w:r>
      <w:r w:rsidRPr="00D5620B">
        <w:t xml:space="preserve"> from</w:t>
      </w:r>
      <w:r w:rsidR="002F77A1">
        <w:t xml:space="preserve"> </w:t>
      </w:r>
      <w:r w:rsidR="00A74C16" w:rsidRPr="00A74C16">
        <w:t>Hodgkin lymphoma</w:t>
      </w:r>
      <w:r w:rsidRPr="00D5620B">
        <w:t>.</w:t>
      </w:r>
      <w:bookmarkEnd w:id="18"/>
    </w:p>
    <w:p w:rsidR="00215860" w:rsidRPr="00C670B0" w:rsidRDefault="00215860" w:rsidP="00C670B0">
      <w:pPr>
        <w:pStyle w:val="LVtext"/>
      </w:pPr>
      <w:r w:rsidRPr="00C670B0">
        <w:t>Meaning of</w:t>
      </w:r>
      <w:r w:rsidR="00D60FC8" w:rsidRPr="00C670B0">
        <w:t xml:space="preserve"> </w:t>
      </w:r>
      <w:r w:rsidR="00A74C16" w:rsidRPr="00A74C16">
        <w:rPr>
          <w:b/>
        </w:rPr>
        <w:t>Hodgkin lymphoma</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A74C16" w:rsidRPr="00A74C16">
        <w:t>Hodgkin lymphoma</w:t>
      </w:r>
      <w:r w:rsidR="002716E4" w:rsidRPr="00237BAF">
        <w:t>:</w:t>
      </w:r>
      <w:bookmarkEnd w:id="19"/>
    </w:p>
    <w:bookmarkEnd w:id="20"/>
    <w:p w:rsidR="002A582E" w:rsidRDefault="002A582E" w:rsidP="002A582E">
      <w:pPr>
        <w:pStyle w:val="LV3"/>
      </w:pPr>
      <w:r>
        <w:t xml:space="preserve">means a specific group of malignant neoplasms of the lymph nodes and lymphoid tissue derived from B lymphocytes; and </w:t>
      </w:r>
    </w:p>
    <w:p w:rsidR="002A582E" w:rsidRDefault="002A582E" w:rsidP="002A582E">
      <w:pPr>
        <w:pStyle w:val="LV3"/>
      </w:pPr>
      <w:r>
        <w:t>includes:</w:t>
      </w:r>
    </w:p>
    <w:p w:rsidR="002A582E" w:rsidRDefault="002A582E" w:rsidP="00982458">
      <w:pPr>
        <w:pStyle w:val="LV4"/>
      </w:pPr>
      <w:r>
        <w:t>nodular sclerosis classical Hodgkin lymphoma;</w:t>
      </w:r>
    </w:p>
    <w:p w:rsidR="002A582E" w:rsidRDefault="002A582E" w:rsidP="00982458">
      <w:pPr>
        <w:pStyle w:val="LV4"/>
      </w:pPr>
      <w:r>
        <w:t xml:space="preserve">lymphocyte-rich classical Hodgkin lymphoma; </w:t>
      </w:r>
    </w:p>
    <w:p w:rsidR="002A582E" w:rsidRDefault="002A582E" w:rsidP="00982458">
      <w:pPr>
        <w:pStyle w:val="LV4"/>
      </w:pPr>
      <w:r>
        <w:t xml:space="preserve">mixed cellularity classical Hodgkin lymphoma; </w:t>
      </w:r>
    </w:p>
    <w:p w:rsidR="002A582E" w:rsidRDefault="002A582E" w:rsidP="00982458">
      <w:pPr>
        <w:pStyle w:val="LV4"/>
      </w:pPr>
      <w:r>
        <w:t xml:space="preserve">lymphocyte-depleted classical Hodgkin lymphoma; and </w:t>
      </w:r>
    </w:p>
    <w:p w:rsidR="002A582E" w:rsidRDefault="002A582E" w:rsidP="00982458">
      <w:pPr>
        <w:pStyle w:val="LV4"/>
      </w:pPr>
      <w:r>
        <w:t xml:space="preserve">nodular lymphocyte predominant Hodgkin lymphoma; and </w:t>
      </w:r>
    </w:p>
    <w:p w:rsidR="002A582E" w:rsidRDefault="002A582E" w:rsidP="002A582E">
      <w:pPr>
        <w:pStyle w:val="LV3"/>
      </w:pPr>
      <w:proofErr w:type="gramStart"/>
      <w:r>
        <w:t>excludes</w:t>
      </w:r>
      <w:proofErr w:type="gramEnd"/>
      <w:r>
        <w:t xml:space="preserve"> non-Hodgkin lymphoma. </w:t>
      </w:r>
    </w:p>
    <w:p w:rsidR="00982458" w:rsidRDefault="00982458" w:rsidP="00982458">
      <w:pPr>
        <w:pStyle w:val="NOTE"/>
      </w:pPr>
      <w:r>
        <w:lastRenderedPageBreak/>
        <w:t xml:space="preserve">Note 1: Hodgkin lymphoma is also known as Hodgkin’s lymphoma and Hodgkin’s disease.  </w:t>
      </w:r>
    </w:p>
    <w:p w:rsidR="00253D7C" w:rsidRPr="008E76DC" w:rsidRDefault="00982458" w:rsidP="00982458">
      <w:pPr>
        <w:pStyle w:val="NOTE"/>
      </w:pPr>
      <w:r>
        <w:t xml:space="preserve">Note 2: Symptoms of Hodgkin lymphoma include painless lymphadenopathy, fever, night sweats and loss of body mass.  </w:t>
      </w:r>
    </w:p>
    <w:p w:rsidR="008F572A" w:rsidRPr="00237BAF" w:rsidRDefault="008F572A" w:rsidP="00253D7C">
      <w:pPr>
        <w:pStyle w:val="LV2"/>
      </w:pPr>
      <w:r w:rsidRPr="00237BAF">
        <w:t xml:space="preserve">While </w:t>
      </w:r>
      <w:r w:rsidR="00A74C16" w:rsidRPr="00A74C16">
        <w:t>Hodgkin lymphoma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82458">
        <w:t>C81</w:t>
      </w:r>
      <w:r w:rsidR="00885EAB" w:rsidRPr="00EB2BC4">
        <w:t>,</w:t>
      </w:r>
      <w:r w:rsidRPr="00237BAF">
        <w:t xml:space="preserve"> in applying this Statement of Principles the </w:t>
      </w:r>
      <w:r w:rsidR="00FA33FB" w:rsidRPr="00D5620B">
        <w:t xml:space="preserve">meaning </w:t>
      </w:r>
      <w:r w:rsidRPr="00D5620B">
        <w:t xml:space="preserve">of </w:t>
      </w:r>
      <w:r w:rsidR="00A74C16" w:rsidRPr="00A74C16">
        <w:t>Hodgkin lymphoma</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A74C16" w:rsidRPr="00A74C16">
        <w:rPr>
          <w:b/>
        </w:rPr>
        <w:t>Hodgkin lymphoma</w:t>
      </w:r>
    </w:p>
    <w:p w:rsidR="008F572A" w:rsidRPr="00237BAF" w:rsidRDefault="008F572A" w:rsidP="00253D7C">
      <w:pPr>
        <w:pStyle w:val="LV2"/>
      </w:pPr>
      <w:r w:rsidRPr="00237BAF">
        <w:t xml:space="preserve">For the purposes of this Statement of </w:t>
      </w:r>
      <w:r w:rsidR="00D5620B">
        <w:t xml:space="preserve">Principles, </w:t>
      </w:r>
      <w:r w:rsidR="00A74C16" w:rsidRPr="00A74C16">
        <w:t>Hodgkin lymphoma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74C16" w:rsidRPr="00A74C16">
        <w:t>Hodgkin lymphoma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136349846"/>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A74C16" w:rsidRPr="00A74C16">
        <w:t>Hodgkin lymphoma</w:t>
      </w:r>
      <w:r>
        <w:t xml:space="preserve"> </w:t>
      </w:r>
      <w:r w:rsidRPr="00D5620B">
        <w:t>and death from</w:t>
      </w:r>
      <w:r>
        <w:t xml:space="preserve"> </w:t>
      </w:r>
      <w:r w:rsidR="00A74C16" w:rsidRPr="00A74C16">
        <w:t>Hodgkin lymphoma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136349847"/>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74C16" w:rsidRPr="00A74C16">
        <w:t>Hodgkin lymphoma</w:t>
      </w:r>
      <w:r w:rsidR="007A3989">
        <w:t xml:space="preserve"> </w:t>
      </w:r>
      <w:r w:rsidR="007C7DEE" w:rsidRPr="00AA6D8B">
        <w:t xml:space="preserve">or death from </w:t>
      </w:r>
      <w:r w:rsidR="00A74C16" w:rsidRPr="00A74C16">
        <w:t>Hodgkin lymphoma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982458" w:rsidRDefault="00982458" w:rsidP="00982458">
      <w:pPr>
        <w:pStyle w:val="LV2"/>
      </w:pPr>
      <w:bookmarkStart w:id="27" w:name="_Ref402530260"/>
      <w:bookmarkStart w:id="28" w:name="_Ref409598844"/>
      <w:r>
        <w:t>having smoked tobacco products:</w:t>
      </w:r>
    </w:p>
    <w:p w:rsidR="00982458" w:rsidRDefault="00982458" w:rsidP="00982458">
      <w:pPr>
        <w:pStyle w:val="LV3"/>
      </w:pPr>
      <w:r>
        <w:t>in an amount of at least 10 pack-years before the clinical onset of Hodgkin lymphoma; and</w:t>
      </w:r>
    </w:p>
    <w:p w:rsidR="00982458" w:rsidRDefault="00982458" w:rsidP="00982458">
      <w:pPr>
        <w:pStyle w:val="LV3"/>
      </w:pPr>
      <w:r>
        <w:t>commencing at least 5 years before the clinical onset of Hodgkin lymphoma; and</w:t>
      </w:r>
    </w:p>
    <w:p w:rsidR="00982458" w:rsidRDefault="00982458" w:rsidP="00982458">
      <w:pPr>
        <w:pStyle w:val="LV2"/>
        <w:numPr>
          <w:ilvl w:val="0"/>
          <w:numId w:val="0"/>
        </w:numPr>
        <w:ind w:left="1418"/>
      </w:pPr>
      <w:proofErr w:type="gramStart"/>
      <w:r>
        <w:t>if</w:t>
      </w:r>
      <w:proofErr w:type="gramEnd"/>
      <w:r>
        <w:t xml:space="preserve"> smoking has ceased before the clinical onset of Hodgkin lymphoma, then that onset occurr</w:t>
      </w:r>
      <w:r w:rsidR="00B10D97">
        <w:t>ed within 10 years of cessation;</w:t>
      </w:r>
    </w:p>
    <w:p w:rsidR="00982458" w:rsidRDefault="00982458" w:rsidP="00982458">
      <w:pPr>
        <w:pStyle w:val="NOTE"/>
      </w:pPr>
      <w:r w:rsidRPr="00982458">
        <w:t xml:space="preserve">Note: </w:t>
      </w:r>
      <w:r w:rsidRPr="00982458">
        <w:rPr>
          <w:b/>
          <w:i/>
        </w:rPr>
        <w:t>one pack-year</w:t>
      </w:r>
      <w:r w:rsidRPr="00982458">
        <w:t xml:space="preserve"> is defined in the Schedule 1 - Dictionary.</w:t>
      </w:r>
    </w:p>
    <w:p w:rsidR="00982458" w:rsidRDefault="00982458" w:rsidP="00982458">
      <w:pPr>
        <w:pStyle w:val="LV2"/>
      </w:pPr>
      <w:r>
        <w:t xml:space="preserve">being obese for at least 5 years within the 20 years before the clinical onset of Hodgkin lymphoma; </w:t>
      </w:r>
    </w:p>
    <w:p w:rsidR="00982458" w:rsidRDefault="00982458" w:rsidP="00982458">
      <w:pPr>
        <w:pStyle w:val="NOTE"/>
      </w:pPr>
      <w:r>
        <w:lastRenderedPageBreak/>
        <w:t xml:space="preserve">Note: </w:t>
      </w:r>
      <w:r w:rsidRPr="00982458">
        <w:rPr>
          <w:b/>
          <w:i/>
        </w:rPr>
        <w:t>being obese</w:t>
      </w:r>
      <w:r>
        <w:t xml:space="preserve"> is defined in the Schedule 1 - Dictionary.</w:t>
      </w:r>
    </w:p>
    <w:p w:rsidR="00591263" w:rsidRDefault="00591263" w:rsidP="00591263">
      <w:pPr>
        <w:pStyle w:val="LV2"/>
      </w:pPr>
      <w:r w:rsidRPr="00591263">
        <w:t>having infection with human immunodeficiency virus befor</w:t>
      </w:r>
      <w:r w:rsidR="00F901E9">
        <w:t>e the clinical onset of Hodgkin</w:t>
      </w:r>
      <w:r w:rsidRPr="00591263">
        <w:t xml:space="preserve"> lymphoma;</w:t>
      </w:r>
    </w:p>
    <w:p w:rsidR="00591263" w:rsidRDefault="00591263" w:rsidP="00591263">
      <w:pPr>
        <w:pStyle w:val="LV2"/>
      </w:pPr>
      <w:r w:rsidRPr="00591263">
        <w:t>having serological evidence of infection with Epstein-Barr virus before the clinical onset of Hodgkin lymphoma;</w:t>
      </w:r>
    </w:p>
    <w:p w:rsidR="00591263" w:rsidRPr="00591263" w:rsidRDefault="00591263" w:rsidP="00591263">
      <w:pPr>
        <w:pStyle w:val="LV2"/>
      </w:pPr>
      <w:r w:rsidRPr="00591263">
        <w:t>having an autoimmune disease from the specified list</w:t>
      </w:r>
      <w:r>
        <w:t xml:space="preserve"> of autoimmune diseases</w:t>
      </w:r>
      <w:r w:rsidRPr="00591263">
        <w:t xml:space="preserve"> before the clinical onset of Hodgkin lymphoma; </w:t>
      </w:r>
    </w:p>
    <w:p w:rsidR="00591263" w:rsidRDefault="00591263" w:rsidP="00591263">
      <w:pPr>
        <w:pStyle w:val="NOTE"/>
      </w:pPr>
      <w:r>
        <w:t xml:space="preserve">Note: </w:t>
      </w:r>
      <w:r w:rsidRPr="00591263">
        <w:rPr>
          <w:b/>
          <w:i/>
        </w:rPr>
        <w:t>specified list of autoimmune diseases</w:t>
      </w:r>
      <w:r>
        <w:t xml:space="preserve"> is defined</w:t>
      </w:r>
      <w:r w:rsidRPr="00591263">
        <w:t xml:space="preserve"> in the Schedule 1 - Dictionary.</w:t>
      </w:r>
    </w:p>
    <w:p w:rsidR="0048487C" w:rsidRDefault="0048487C" w:rsidP="0048487C">
      <w:pPr>
        <w:pStyle w:val="LV2"/>
      </w:pPr>
      <w:r w:rsidRPr="0048487C">
        <w:t>having received a stem cell, bone marrow or solid organ transplantation before</w:t>
      </w:r>
      <w:r>
        <w:t xml:space="preserve"> the clinical onset of Hodgkin</w:t>
      </w:r>
      <w:r w:rsidRPr="0048487C">
        <w:t xml:space="preserve"> lymphoma;</w:t>
      </w:r>
    </w:p>
    <w:p w:rsidR="0048487C" w:rsidRDefault="0048487C" w:rsidP="0048487C">
      <w:pPr>
        <w:pStyle w:val="LV2"/>
      </w:pPr>
      <w:r w:rsidRPr="0048487C">
        <w:t>having mature B-cell lymphoid leukaemia/small lymphocytic lymphoma at the time of</w:t>
      </w:r>
      <w:r>
        <w:t xml:space="preserve"> the clinical onset of Hodgkin</w:t>
      </w:r>
      <w:r w:rsidRPr="0048487C">
        <w:t xml:space="preserve"> lymphoma;</w:t>
      </w:r>
    </w:p>
    <w:p w:rsidR="0048487C" w:rsidRDefault="0048487C" w:rsidP="0048487C">
      <w:pPr>
        <w:pStyle w:val="NOTE"/>
      </w:pPr>
      <w:r w:rsidRPr="0048487C">
        <w:t>Note: Mature B-cell lymphoid leukaemia/small lymphocytic lymphoma are also known as mature B-cell lymphoid leukaemia and small lymphocytic lymphoma, and chronic lymphocytic leukaemia/small lymphocytic lymphoma.</w:t>
      </w:r>
    </w:p>
    <w:p w:rsidR="0048487C" w:rsidRDefault="0048487C" w:rsidP="009B1181">
      <w:pPr>
        <w:pStyle w:val="LV2"/>
      </w:pPr>
      <w:r>
        <w:t>inhaling, ingesting or having cutaneous contact with a chemical agent contaminated by 2,3,7,8-tetrac</w:t>
      </w:r>
      <w:r w:rsidR="00C1163E">
        <w:t>hlorodibenzo-para-dioxin (TCDD):</w:t>
      </w:r>
      <w:r>
        <w:t xml:space="preserve"> </w:t>
      </w:r>
    </w:p>
    <w:p w:rsidR="0048487C" w:rsidRDefault="0048487C" w:rsidP="0048487C">
      <w:pPr>
        <w:pStyle w:val="LV3"/>
      </w:pPr>
      <w:r>
        <w:t xml:space="preserve">for a cumulative period of at least 1,000 hours, within a consecutive period of 10 years, before the </w:t>
      </w:r>
      <w:r w:rsidR="00D91B2A">
        <w:t>clinical onset of Hodgkin</w:t>
      </w:r>
      <w:r>
        <w:t xml:space="preserve"> lymphoma; and </w:t>
      </w:r>
    </w:p>
    <w:p w:rsidR="0048487C" w:rsidRDefault="0048487C" w:rsidP="0048487C">
      <w:pPr>
        <w:pStyle w:val="LV3"/>
      </w:pPr>
      <w:r>
        <w:t xml:space="preserve">where the first exposure occurred at least 5 years before the clinical onset of Hodgkin lymphoma; </w:t>
      </w:r>
    </w:p>
    <w:p w:rsidR="0048487C" w:rsidRDefault="0048487C" w:rsidP="0048487C">
      <w:pPr>
        <w:pStyle w:val="NOTE"/>
      </w:pPr>
      <w:r>
        <w:t xml:space="preserve">Note: </w:t>
      </w:r>
      <w:r w:rsidRPr="0048487C">
        <w:rPr>
          <w:b/>
          <w:i/>
        </w:rPr>
        <w:t>inhaling, ingesting or having cutaneous contact with a chemical agent contaminated by 2</w:t>
      </w:r>
      <w:proofErr w:type="gramStart"/>
      <w:r w:rsidRPr="0048487C">
        <w:rPr>
          <w:b/>
          <w:i/>
        </w:rPr>
        <w:t>,3,7,8</w:t>
      </w:r>
      <w:proofErr w:type="gramEnd"/>
      <w:r w:rsidRPr="0048487C">
        <w:rPr>
          <w:b/>
          <w:i/>
        </w:rPr>
        <w:t>-tetrachlorodibenzo-para-dioxin (TCDD)</w:t>
      </w:r>
      <w:r>
        <w:t xml:space="preserve"> is defined in the Schedule 1 – Dictionary.</w:t>
      </w:r>
    </w:p>
    <w:p w:rsidR="00275702" w:rsidRDefault="00275702" w:rsidP="00275702">
      <w:pPr>
        <w:pStyle w:val="LV2"/>
      </w:pPr>
      <w:r>
        <w:t xml:space="preserve">being: </w:t>
      </w:r>
    </w:p>
    <w:p w:rsidR="00275702" w:rsidRDefault="00275702" w:rsidP="00275702">
      <w:pPr>
        <w:pStyle w:val="LV3"/>
      </w:pPr>
      <w:r>
        <w:t xml:space="preserve">on land in Vietnam; or </w:t>
      </w:r>
    </w:p>
    <w:p w:rsidR="00275702" w:rsidRDefault="00275702" w:rsidP="00275702">
      <w:pPr>
        <w:pStyle w:val="LV3"/>
      </w:pPr>
      <w:r>
        <w:t xml:space="preserve">at sea in Vietnamese waters; or </w:t>
      </w:r>
    </w:p>
    <w:p w:rsidR="00275702" w:rsidRDefault="00275702" w:rsidP="00275702">
      <w:pPr>
        <w:pStyle w:val="LV3"/>
      </w:pPr>
      <w:r>
        <w:t xml:space="preserve">on board a vessel and consuming potable water supplied on that vessel, when the water supply had been produced by evaporative distillation of estuarine Vietnamese waters, </w:t>
      </w:r>
    </w:p>
    <w:p w:rsidR="00275702" w:rsidRDefault="00275702" w:rsidP="00275702">
      <w:pPr>
        <w:pStyle w:val="LV2"/>
        <w:numPr>
          <w:ilvl w:val="0"/>
          <w:numId w:val="0"/>
        </w:numPr>
        <w:ind w:left="1418"/>
      </w:pPr>
      <w:proofErr w:type="gramStart"/>
      <w:r>
        <w:t>for</w:t>
      </w:r>
      <w:proofErr w:type="gramEnd"/>
      <w:r>
        <w:t xml:space="preserve"> a cumulative period of</w:t>
      </w:r>
      <w:r w:rsidR="000D3FD1">
        <w:t xml:space="preserve"> at least 30 days, at least 5</w:t>
      </w:r>
      <w:r>
        <w:t xml:space="preserve"> years before the cl</w:t>
      </w:r>
      <w:r w:rsidR="002D0013">
        <w:t>inical onset of Hodgkin</w:t>
      </w:r>
      <w:r>
        <w:t xml:space="preserve"> lymphoma;</w:t>
      </w:r>
    </w:p>
    <w:p w:rsidR="002D0013" w:rsidRDefault="002D0013" w:rsidP="002D0013">
      <w:pPr>
        <w:pStyle w:val="NOTE"/>
      </w:pPr>
      <w:r w:rsidRPr="002D0013">
        <w:t xml:space="preserve">Note: </w:t>
      </w:r>
      <w:r w:rsidRPr="002D0013">
        <w:rPr>
          <w:b/>
          <w:i/>
        </w:rPr>
        <w:t>being: (a) on land in Vietnam; or (b) at sea in Vietnamese waters</w:t>
      </w:r>
      <w:r w:rsidRPr="002D0013">
        <w:t xml:space="preserve">; and </w:t>
      </w:r>
      <w:r w:rsidRPr="002D0013">
        <w:rPr>
          <w:b/>
          <w:i/>
        </w:rPr>
        <w:t>estuarine Vietnamese waters</w:t>
      </w:r>
      <w:r w:rsidRPr="002D0013">
        <w:t xml:space="preserve"> and </w:t>
      </w:r>
      <w:r w:rsidRPr="002D0013">
        <w:rPr>
          <w:b/>
          <w:i/>
        </w:rPr>
        <w:t>potable water</w:t>
      </w:r>
      <w:r w:rsidRPr="002D0013">
        <w:t xml:space="preserve"> are defined in the Schedule 1 – Dictionary.</w:t>
      </w:r>
    </w:p>
    <w:p w:rsidR="00015560" w:rsidRDefault="00015560" w:rsidP="00015560">
      <w:pPr>
        <w:pStyle w:val="LV2"/>
      </w:pPr>
      <w:r w:rsidRPr="00015560">
        <w:t xml:space="preserve">having </w:t>
      </w:r>
      <w:r w:rsidR="00162512">
        <w:t>an active tuberculosis disease</w:t>
      </w:r>
      <w:r w:rsidRPr="00015560">
        <w:t xml:space="preserve"> before the clinical onset of Hodgkin lymphoma;</w:t>
      </w:r>
    </w:p>
    <w:p w:rsidR="00C50D87" w:rsidRDefault="00C50D87" w:rsidP="00C50D87">
      <w:pPr>
        <w:pStyle w:val="NOTE"/>
      </w:pPr>
      <w:r>
        <w:t xml:space="preserve">Note: </w:t>
      </w:r>
      <w:r w:rsidR="00162512">
        <w:rPr>
          <w:b/>
          <w:i/>
        </w:rPr>
        <w:t>active tuberculosis disease</w:t>
      </w:r>
      <w:r w:rsidR="000B4F77">
        <w:t xml:space="preserve"> </w:t>
      </w:r>
      <w:r w:rsidR="000B4F77" w:rsidRPr="000B4F77">
        <w:t>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A74C16" w:rsidRPr="00A74C16">
        <w:t>Hodgkin lymphoma</w:t>
      </w:r>
      <w:r w:rsidR="00C1163E">
        <w:t xml:space="preserve"> before the clinical worsening of Hodgkin lymphoma</w:t>
      </w:r>
      <w:r w:rsidR="00D5620B" w:rsidRPr="008D1B8B">
        <w:t>.</w:t>
      </w:r>
      <w:bookmarkEnd w:id="28"/>
    </w:p>
    <w:p w:rsidR="000C21A3" w:rsidRPr="00684C0E" w:rsidRDefault="00D32F71" w:rsidP="00253D7C">
      <w:pPr>
        <w:pStyle w:val="LV1"/>
      </w:pPr>
      <w:bookmarkStart w:id="29" w:name="_Toc136349848"/>
      <w:bookmarkStart w:id="30" w:name="_Ref402530057"/>
      <w:r>
        <w:lastRenderedPageBreak/>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015560">
        <w:t>subsection</w:t>
      </w:r>
      <w:r w:rsidR="00FF1D47">
        <w:t xml:space="preserve"> </w:t>
      </w:r>
      <w:r w:rsidR="00DA3996">
        <w:t>9</w:t>
      </w:r>
      <w:r w:rsidR="00DD29E2">
        <w:t>(11</w:t>
      </w:r>
      <w:r w:rsidR="00FF1D47">
        <w:t xml:space="preserve">) </w:t>
      </w:r>
      <w:r w:rsidRPr="00187DE1">
        <w:t xml:space="preserve">applies only to material contribution to, or aggravation of, </w:t>
      </w:r>
      <w:r w:rsidR="00A74C16" w:rsidRPr="00A74C16">
        <w:t>Hodgkin lymphoma</w:t>
      </w:r>
      <w:r w:rsidR="007A3989">
        <w:t xml:space="preserve"> </w:t>
      </w:r>
      <w:r w:rsidRPr="00187DE1">
        <w:t>where the person</w:t>
      </w:r>
      <w:r w:rsidR="00950C80">
        <w:t>'</w:t>
      </w:r>
      <w:r w:rsidRPr="00187DE1">
        <w:t xml:space="preserve">s </w:t>
      </w:r>
      <w:r w:rsidR="00A74C16" w:rsidRPr="00A74C16">
        <w:t>Hodgkin lymphoma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36349849"/>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3634985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6349851"/>
      <w:r w:rsidRPr="00D97BB3">
        <w:t>Definitions</w:t>
      </w:r>
      <w:bookmarkEnd w:id="35"/>
      <w:bookmarkEnd w:id="36"/>
    </w:p>
    <w:p w:rsidR="00702C42" w:rsidRPr="00516768" w:rsidRDefault="00702C42" w:rsidP="00253D7C">
      <w:pPr>
        <w:pStyle w:val="SH2"/>
      </w:pPr>
      <w:r w:rsidRPr="00516768">
        <w:t>In this instrument:</w:t>
      </w:r>
    </w:p>
    <w:p w:rsidR="005A5BFE" w:rsidRPr="005A5BFE" w:rsidRDefault="005A5BFE" w:rsidP="005A5BFE">
      <w:pPr>
        <w:pStyle w:val="SH3"/>
      </w:pPr>
      <w:bookmarkStart w:id="37" w:name="_Ref402530810"/>
      <w:proofErr w:type="gramStart"/>
      <w:r w:rsidRPr="005A5BFE">
        <w:rPr>
          <w:b/>
          <w:i/>
        </w:rPr>
        <w:t>active</w:t>
      </w:r>
      <w:proofErr w:type="gramEnd"/>
      <w:r w:rsidRPr="005A5BFE">
        <w:rPr>
          <w:b/>
          <w:i/>
        </w:rPr>
        <w:t xml:space="preserve"> tuberculosis disease</w:t>
      </w:r>
      <w:r w:rsidRPr="005A5BFE">
        <w:t xml:space="preserve"> means an illness in which tuberculosis bacteria are multiplying and inducing an inflammatory response.</w:t>
      </w:r>
    </w:p>
    <w:p w:rsidR="002D0013" w:rsidRPr="002D0013" w:rsidRDefault="007B52F6" w:rsidP="002D0013">
      <w:pPr>
        <w:pStyle w:val="SH3"/>
      </w:pPr>
      <w:r w:rsidRPr="00982458">
        <w:rPr>
          <w:b/>
          <w:i/>
        </w:rPr>
        <w:tab/>
      </w:r>
      <w:proofErr w:type="gramStart"/>
      <w:r w:rsidR="002D0013" w:rsidRPr="002D0013">
        <w:rPr>
          <w:b/>
          <w:i/>
        </w:rPr>
        <w:t>being</w:t>
      </w:r>
      <w:proofErr w:type="gramEnd"/>
      <w:r w:rsidR="002D0013" w:rsidRPr="002D0013">
        <w:rPr>
          <w:b/>
          <w:i/>
        </w:rPr>
        <w:t xml:space="preserve">: (a) on land in Vietnam; or (b) at sea in Vietnamese waters; </w:t>
      </w:r>
      <w:r w:rsidR="005A5BFE">
        <w:t>means service in at least one</w:t>
      </w:r>
      <w:r w:rsidR="002D0013" w:rsidRPr="002D0013">
        <w:t xml:space="preserve"> of the areas and at the times described in Items 4 and 8 of Schedule 2 of the VEA.</w:t>
      </w:r>
    </w:p>
    <w:p w:rsidR="00982458" w:rsidRDefault="00982458" w:rsidP="00982458">
      <w:pPr>
        <w:pStyle w:val="SH3"/>
      </w:pPr>
      <w:proofErr w:type="gramStart"/>
      <w:r w:rsidRPr="00982458">
        <w:rPr>
          <w:b/>
          <w:i/>
        </w:rPr>
        <w:t>being</w:t>
      </w:r>
      <w:proofErr w:type="gramEnd"/>
      <w:r w:rsidRPr="00982458">
        <w:rPr>
          <w:b/>
          <w:i/>
        </w:rPr>
        <w:t xml:space="preserve"> obese</w:t>
      </w:r>
      <w:r>
        <w:t xml:space="preserve"> means having a Body Mass Index (BMI) of 30 or greater.</w:t>
      </w:r>
    </w:p>
    <w:p w:rsidR="00982458" w:rsidRDefault="00982458" w:rsidP="00982458">
      <w:pPr>
        <w:pStyle w:val="ScheduleNote"/>
      </w:pPr>
      <w:r>
        <w:t xml:space="preserve">Note: </w:t>
      </w:r>
      <w:r w:rsidRPr="00982458">
        <w:rPr>
          <w:b/>
          <w:i/>
        </w:rPr>
        <w:t>BMI</w:t>
      </w:r>
      <w:r>
        <w:t xml:space="preserve"> is also defined in the Schedule 1 - Dictionary.</w:t>
      </w:r>
    </w:p>
    <w:p w:rsidR="00982458" w:rsidRDefault="00982458" w:rsidP="00982458">
      <w:pPr>
        <w:pStyle w:val="SH3"/>
      </w:pPr>
      <w:r w:rsidRPr="00982458">
        <w:rPr>
          <w:b/>
          <w:i/>
        </w:rPr>
        <w:t xml:space="preserve">BMI </w:t>
      </w:r>
      <w:r>
        <w:t>means W/H</w:t>
      </w:r>
      <w:r w:rsidRPr="00982458">
        <w:rPr>
          <w:vertAlign w:val="superscript"/>
        </w:rPr>
        <w:t xml:space="preserve">2 </w:t>
      </w:r>
      <w:r>
        <w:t>where:</w:t>
      </w:r>
    </w:p>
    <w:p w:rsidR="00982458" w:rsidRDefault="00982458" w:rsidP="00591263">
      <w:pPr>
        <w:pStyle w:val="SH3"/>
      </w:pPr>
      <w:r>
        <w:t xml:space="preserve">(a) W is the person's weight in kilograms; and </w:t>
      </w:r>
    </w:p>
    <w:p w:rsidR="00982458" w:rsidRDefault="00982458" w:rsidP="00591263">
      <w:pPr>
        <w:pStyle w:val="SH3"/>
      </w:pPr>
      <w:r>
        <w:t>(b) H is the person's height in metres.</w:t>
      </w:r>
    </w:p>
    <w:p w:rsidR="002D0013" w:rsidRPr="002D0013" w:rsidRDefault="002D0013" w:rsidP="002D0013">
      <w:pPr>
        <w:pStyle w:val="SH3"/>
      </w:pPr>
      <w:proofErr w:type="gramStart"/>
      <w:r w:rsidRPr="002D0013">
        <w:rPr>
          <w:b/>
          <w:i/>
        </w:rPr>
        <w:t>estuarine</w:t>
      </w:r>
      <w:proofErr w:type="gramEnd"/>
      <w:r w:rsidRPr="002D0013">
        <w:rPr>
          <w:b/>
          <w:i/>
        </w:rPr>
        <w:t xml:space="preserve"> Vietnamese waters</w:t>
      </w:r>
      <w:r w:rsidRPr="002D0013">
        <w:t xml:space="preserve"> means at least one of the waterways or harbours in the relevant areas described in Items 4 and 8 of Schedule 2 of the VEA.</w:t>
      </w:r>
    </w:p>
    <w:p w:rsidR="00982458" w:rsidRPr="00982458" w:rsidRDefault="005369ED" w:rsidP="00982458">
      <w:pPr>
        <w:pStyle w:val="SH3"/>
      </w:pPr>
      <w:r>
        <w:rPr>
          <w:b/>
          <w:i/>
        </w:rPr>
        <w:t>H</w:t>
      </w:r>
      <w:r w:rsidR="00982458" w:rsidRPr="00982458">
        <w:rPr>
          <w:b/>
          <w:i/>
        </w:rPr>
        <w:t>odgkin lymphoma</w:t>
      </w:r>
      <w:r w:rsidR="00982458" w:rsidRPr="00982458">
        <w:t>—see subsection 7(2).</w:t>
      </w:r>
    </w:p>
    <w:p w:rsidR="00275702" w:rsidRDefault="0048487C" w:rsidP="0048487C">
      <w:pPr>
        <w:pStyle w:val="SH3"/>
      </w:pPr>
      <w:r w:rsidRPr="005A5BFE">
        <w:rPr>
          <w:b/>
          <w:i/>
        </w:rPr>
        <w:t>inhaling, ingesting or having cutaneous contact with a chemical agent contaminated by 2,3,7,8-tetrachlorodibenzo-para-dioxin (TCDD)</w:t>
      </w:r>
      <w:r>
        <w:t xml:space="preserve"> means: </w:t>
      </w:r>
    </w:p>
    <w:p w:rsidR="0048487C" w:rsidRDefault="0048487C" w:rsidP="00275702">
      <w:pPr>
        <w:pStyle w:val="SH4"/>
      </w:pPr>
      <w:r>
        <w:t xml:space="preserve">decanting or spraying; </w:t>
      </w:r>
    </w:p>
    <w:p w:rsidR="0048487C" w:rsidRDefault="0048487C" w:rsidP="00275702">
      <w:pPr>
        <w:pStyle w:val="SH4"/>
      </w:pPr>
      <w:r>
        <w:t>cleaning or maint</w:t>
      </w:r>
      <w:r w:rsidR="00F27CD4">
        <w:t>aining equipment used to apply;</w:t>
      </w:r>
    </w:p>
    <w:p w:rsidR="0048487C" w:rsidRDefault="00F27CD4" w:rsidP="00275702">
      <w:pPr>
        <w:pStyle w:val="SH4"/>
      </w:pPr>
      <w:r>
        <w:t>being sprayed with;</w:t>
      </w:r>
    </w:p>
    <w:p w:rsidR="0048487C" w:rsidRDefault="0048487C" w:rsidP="00275702">
      <w:pPr>
        <w:pStyle w:val="SH4"/>
      </w:pPr>
      <w:r>
        <w:t>handling</w:t>
      </w:r>
      <w:r w:rsidR="00F27CD4">
        <w:t xml:space="preserve"> or sawing timber treated with;</w:t>
      </w:r>
    </w:p>
    <w:p w:rsidR="00275702" w:rsidRDefault="0048487C" w:rsidP="00275702">
      <w:pPr>
        <w:pStyle w:val="SH4"/>
      </w:pPr>
      <w:r>
        <w:t xml:space="preserve">being in an environment shrouded in dust from timber treated with; or </w:t>
      </w:r>
    </w:p>
    <w:p w:rsidR="00DA70AC" w:rsidRDefault="0048487C" w:rsidP="00A0752C">
      <w:pPr>
        <w:pStyle w:val="SH4"/>
      </w:pPr>
      <w:r>
        <w:t>using cutting oil</w:t>
      </w:r>
      <w:r w:rsidR="00275702">
        <w:t>s contaminated</w:t>
      </w:r>
      <w:r w:rsidR="00DA70AC">
        <w:t xml:space="preserve"> with;</w:t>
      </w:r>
    </w:p>
    <w:p w:rsidR="0048487C" w:rsidRDefault="00F27CD4" w:rsidP="009E22DB">
      <w:pPr>
        <w:pStyle w:val="SH3"/>
      </w:pPr>
      <w:r>
        <w:t>one of the following chemicals:</w:t>
      </w:r>
    </w:p>
    <w:p w:rsidR="009E22DB" w:rsidRDefault="009E22DB" w:rsidP="009E22DB">
      <w:pPr>
        <w:pStyle w:val="SH4"/>
        <w:numPr>
          <w:ilvl w:val="3"/>
          <w:numId w:val="22"/>
        </w:numPr>
      </w:pPr>
      <w:r>
        <w:t xml:space="preserve">2,4,5-trichlorophenoxyacetic acid; </w:t>
      </w:r>
    </w:p>
    <w:p w:rsidR="009E22DB" w:rsidRDefault="009E22DB" w:rsidP="009E22DB">
      <w:pPr>
        <w:pStyle w:val="SH4"/>
      </w:pPr>
      <w:r>
        <w:t xml:space="preserve">2,4,5-trichlorophenoxypropionic acid; </w:t>
      </w:r>
    </w:p>
    <w:p w:rsidR="009E22DB" w:rsidRDefault="009E22DB" w:rsidP="009E22DB">
      <w:pPr>
        <w:pStyle w:val="SH4"/>
      </w:pPr>
      <w:r>
        <w:t xml:space="preserve">2,4,5-trichlorophenol; </w:t>
      </w:r>
    </w:p>
    <w:p w:rsidR="009E22DB" w:rsidRDefault="009E22DB" w:rsidP="009E22DB">
      <w:pPr>
        <w:pStyle w:val="SH4"/>
      </w:pPr>
      <w:r>
        <w:t xml:space="preserve">2-(2,4,5-trichlorophenoxy)-ethyl 2,2-dichloropropionate; </w:t>
      </w:r>
    </w:p>
    <w:p w:rsidR="009E22DB" w:rsidRDefault="009E22DB" w:rsidP="009E22DB">
      <w:pPr>
        <w:pStyle w:val="SH4"/>
      </w:pPr>
      <w:proofErr w:type="spellStart"/>
      <w:r>
        <w:t>o,o</w:t>
      </w:r>
      <w:proofErr w:type="spellEnd"/>
      <w:r>
        <w:t>-dimethyl-o-(2,4,5-trichlorophenyl)-</w:t>
      </w:r>
      <w:proofErr w:type="spellStart"/>
      <w:r>
        <w:t>phosphorothioate</w:t>
      </w:r>
      <w:proofErr w:type="spellEnd"/>
      <w:r>
        <w:t xml:space="preserve">; </w:t>
      </w:r>
    </w:p>
    <w:p w:rsidR="009E22DB" w:rsidRDefault="009E22DB" w:rsidP="009E22DB">
      <w:pPr>
        <w:pStyle w:val="SH4"/>
      </w:pPr>
      <w:r>
        <w:t xml:space="preserve">pentachlorophenol; </w:t>
      </w:r>
    </w:p>
    <w:p w:rsidR="009E22DB" w:rsidRDefault="009E22DB" w:rsidP="009E22DB">
      <w:pPr>
        <w:pStyle w:val="SH4"/>
      </w:pPr>
      <w:r>
        <w:t xml:space="preserve">2,3,4,6-tetrachlorophenol; </w:t>
      </w:r>
    </w:p>
    <w:p w:rsidR="009E22DB" w:rsidRDefault="009E22DB" w:rsidP="009E22DB">
      <w:pPr>
        <w:pStyle w:val="SH4"/>
      </w:pPr>
      <w:r>
        <w:t xml:space="preserve">2,4,6-trichlorophenol; </w:t>
      </w:r>
    </w:p>
    <w:p w:rsidR="009E22DB" w:rsidRDefault="009E22DB" w:rsidP="009E22DB">
      <w:pPr>
        <w:pStyle w:val="SH4"/>
      </w:pPr>
      <w:r>
        <w:t xml:space="preserve">1,3,5-trichloro-2-(4-nitrophenoxy)benzene; </w:t>
      </w:r>
    </w:p>
    <w:p w:rsidR="009E22DB" w:rsidRDefault="009E22DB" w:rsidP="009E22DB">
      <w:pPr>
        <w:pStyle w:val="SH4"/>
      </w:pPr>
      <w:r>
        <w:t xml:space="preserve">2,4-dichloro-1-(4-nitrophenoxy)benzene; or </w:t>
      </w:r>
    </w:p>
    <w:p w:rsidR="009E22DB" w:rsidRDefault="009E22DB" w:rsidP="009E22DB">
      <w:pPr>
        <w:pStyle w:val="SH4"/>
      </w:pPr>
      <w:r>
        <w:t>2</w:t>
      </w:r>
      <w:proofErr w:type="gramStart"/>
      <w:r>
        <w:t>,4</w:t>
      </w:r>
      <w:proofErr w:type="gramEnd"/>
      <w:r>
        <w:t>-dichloro-1-(3-methoxy-4-nitrophenoxy)-benzene.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82458" w:rsidRDefault="00982458" w:rsidP="00982458">
      <w:pPr>
        <w:pStyle w:val="SH3"/>
      </w:pPr>
      <w:bookmarkStart w:id="38" w:name="_Ref402529607"/>
      <w:bookmarkEnd w:id="37"/>
      <w:proofErr w:type="gramStart"/>
      <w:r w:rsidRPr="00982458">
        <w:rPr>
          <w:b/>
          <w:i/>
        </w:rPr>
        <w:lastRenderedPageBreak/>
        <w:t>one</w:t>
      </w:r>
      <w:proofErr w:type="gramEnd"/>
      <w:r w:rsidRPr="00982458">
        <w:rPr>
          <w:b/>
          <w:i/>
        </w:rPr>
        <w:t xml:space="preserve"> pack-year</w:t>
      </w:r>
      <w:r>
        <w:t xml:space="preserve"> means the amount of tobacco consumed in smoking 20 cigarettes per day for a period of 1 year, or an equivalent amount of tobacco products.</w:t>
      </w:r>
    </w:p>
    <w:p w:rsidR="00982458" w:rsidRDefault="00982458" w:rsidP="00982458">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982458" w:rsidRDefault="00982458" w:rsidP="00982458">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2D0013" w:rsidRPr="002D0013" w:rsidRDefault="002D0013" w:rsidP="002D0013">
      <w:pPr>
        <w:pStyle w:val="SH3"/>
      </w:pPr>
      <w:proofErr w:type="gramStart"/>
      <w:r w:rsidRPr="002D0013">
        <w:rPr>
          <w:b/>
          <w:i/>
        </w:rPr>
        <w:t>potable</w:t>
      </w:r>
      <w:proofErr w:type="gramEnd"/>
      <w:r w:rsidRPr="002D0013">
        <w:rPr>
          <w:b/>
          <w:i/>
        </w:rPr>
        <w:t xml:space="preserve"> water</w:t>
      </w:r>
      <w:r w:rsidR="008152B5">
        <w:t xml:space="preserve"> means water that is safe for drinking</w:t>
      </w:r>
      <w:r w:rsidRPr="002D0013">
        <w:t>, food preparation and beverage production.</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591263" w:rsidRDefault="00591263" w:rsidP="00591263">
      <w:pPr>
        <w:pStyle w:val="SH3"/>
      </w:pPr>
      <w:r w:rsidRPr="00591263">
        <w:rPr>
          <w:b/>
          <w:i/>
        </w:rPr>
        <w:t>specified list of autoimmune diseases</w:t>
      </w:r>
      <w:r>
        <w:t xml:space="preserve"> means: </w:t>
      </w:r>
    </w:p>
    <w:p w:rsidR="00591263" w:rsidRDefault="00591263" w:rsidP="00591263">
      <w:pPr>
        <w:pStyle w:val="SH4"/>
      </w:pPr>
      <w:r>
        <w:t>autoimmu</w:t>
      </w:r>
      <w:r w:rsidR="00004491">
        <w:t xml:space="preserve">ne haemolytic anaemia; </w:t>
      </w:r>
    </w:p>
    <w:p w:rsidR="00591263" w:rsidRDefault="00C1163E" w:rsidP="00591263">
      <w:pPr>
        <w:pStyle w:val="SH4"/>
      </w:pPr>
      <w:r>
        <w:t>Beh</w:t>
      </w:r>
      <w:r w:rsidRPr="00AC6C39">
        <w:t>ç</w:t>
      </w:r>
      <w:r w:rsidR="00591263">
        <w:t>et disease;</w:t>
      </w:r>
    </w:p>
    <w:p w:rsidR="00591263" w:rsidRDefault="00601189" w:rsidP="00591263">
      <w:pPr>
        <w:pStyle w:val="SH4"/>
      </w:pPr>
      <w:r>
        <w:t>giant cell arteritis;</w:t>
      </w:r>
    </w:p>
    <w:p w:rsidR="00591263" w:rsidRDefault="00591263" w:rsidP="00591263">
      <w:pPr>
        <w:pStyle w:val="SH4"/>
      </w:pPr>
      <w:r>
        <w:t xml:space="preserve">immune </w:t>
      </w:r>
      <w:proofErr w:type="spellStart"/>
      <w:r>
        <w:t>thrombocytopaenic</w:t>
      </w:r>
      <w:proofErr w:type="spellEnd"/>
      <w:r>
        <w:t xml:space="preserve"> purpura; </w:t>
      </w:r>
    </w:p>
    <w:p w:rsidR="00591263" w:rsidRDefault="00601189" w:rsidP="00591263">
      <w:pPr>
        <w:pStyle w:val="SH4"/>
      </w:pPr>
      <w:r>
        <w:t>polyarteritis nodosa;</w:t>
      </w:r>
    </w:p>
    <w:p w:rsidR="00591263" w:rsidRDefault="00591263" w:rsidP="00591263">
      <w:pPr>
        <w:pStyle w:val="SH4"/>
      </w:pPr>
      <w:r>
        <w:t>p</w:t>
      </w:r>
      <w:r w:rsidR="00601189">
        <w:t>olymyalgia rheumatica;</w:t>
      </w:r>
    </w:p>
    <w:p w:rsidR="00591263" w:rsidRDefault="00601189" w:rsidP="00591263">
      <w:pPr>
        <w:pStyle w:val="SH4"/>
      </w:pPr>
      <w:r>
        <w:t>polymyositis;</w:t>
      </w:r>
    </w:p>
    <w:p w:rsidR="00591263" w:rsidRDefault="00591263" w:rsidP="00591263">
      <w:pPr>
        <w:pStyle w:val="SH4"/>
      </w:pPr>
      <w:r>
        <w:t xml:space="preserve">psoriasis; </w:t>
      </w:r>
    </w:p>
    <w:p w:rsidR="00591263" w:rsidRDefault="00591263" w:rsidP="00591263">
      <w:pPr>
        <w:pStyle w:val="SH4"/>
      </w:pPr>
      <w:r>
        <w:t xml:space="preserve">rheumatoid arthritis; </w:t>
      </w:r>
    </w:p>
    <w:p w:rsidR="00591263" w:rsidRDefault="00591263" w:rsidP="00591263">
      <w:pPr>
        <w:pStyle w:val="SH4"/>
      </w:pPr>
      <w:r>
        <w:t xml:space="preserve">sarcoidosis; </w:t>
      </w:r>
    </w:p>
    <w:p w:rsidR="00591263" w:rsidRDefault="00591263" w:rsidP="00591263">
      <w:pPr>
        <w:pStyle w:val="SH4"/>
      </w:pPr>
      <w:r>
        <w:t>Sj</w:t>
      </w:r>
      <w:r w:rsidR="00C1163E">
        <w:t>ö</w:t>
      </w:r>
      <w:r>
        <w:t>gren syndrome; or</w:t>
      </w:r>
    </w:p>
    <w:p w:rsidR="00591263" w:rsidRDefault="00591263" w:rsidP="00591263">
      <w:pPr>
        <w:pStyle w:val="SH4"/>
      </w:pPr>
      <w:proofErr w:type="gramStart"/>
      <w:r>
        <w:t>systemic</w:t>
      </w:r>
      <w:proofErr w:type="gramEnd"/>
      <w:r>
        <w:t xml:space="preserve"> lupus erythematosus.</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A22A6" w:rsidP="004A2007">
          <w:pPr>
            <w:spacing w:line="0" w:lineRule="atLeast"/>
            <w:jc w:val="center"/>
            <w:rPr>
              <w:i/>
              <w:sz w:val="18"/>
              <w:szCs w:val="18"/>
            </w:rPr>
          </w:pPr>
          <w:r w:rsidRPr="006A22A6">
            <w:rPr>
              <w:i/>
              <w:sz w:val="18"/>
              <w:szCs w:val="18"/>
            </w:rPr>
            <w:t>Hodgkin Lymphoma</w:t>
          </w:r>
          <w:r w:rsidR="004A2007">
            <w:rPr>
              <w:i/>
              <w:sz w:val="18"/>
              <w:szCs w:val="18"/>
            </w:rPr>
            <w:t xml:space="preserve"> (Reasonable Hypothesis) </w:t>
          </w:r>
          <w:r w:rsidR="004A2007" w:rsidRPr="007C5CE0">
            <w:rPr>
              <w:i/>
              <w:sz w:val="18"/>
            </w:rPr>
            <w:t xml:space="preserve">(No. </w:t>
          </w:r>
          <w:r w:rsidRPr="006A22A6">
            <w:rPr>
              <w:i/>
              <w:sz w:val="18"/>
              <w:szCs w:val="18"/>
            </w:rPr>
            <w:t>7</w:t>
          </w:r>
          <w:r w:rsidR="00865A59">
            <w:rPr>
              <w:i/>
              <w:sz w:val="18"/>
              <w:szCs w:val="18"/>
            </w:rPr>
            <w:t>0</w:t>
          </w:r>
          <w:r w:rsidR="004A2007" w:rsidRPr="007C5CE0">
            <w:rPr>
              <w:i/>
              <w:sz w:val="18"/>
              <w:szCs w:val="18"/>
            </w:rPr>
            <w:t xml:space="preserve"> of </w:t>
          </w:r>
          <w:r w:rsidRPr="006A22A6">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65A59">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65A59">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A22A6" w:rsidP="004A2007">
          <w:pPr>
            <w:spacing w:line="0" w:lineRule="atLeast"/>
            <w:jc w:val="center"/>
            <w:rPr>
              <w:i/>
              <w:sz w:val="18"/>
              <w:szCs w:val="18"/>
            </w:rPr>
          </w:pPr>
          <w:r w:rsidRPr="006A22A6">
            <w:rPr>
              <w:i/>
              <w:sz w:val="18"/>
              <w:szCs w:val="18"/>
            </w:rPr>
            <w:t>Hodgkin Lymphoma</w:t>
          </w:r>
          <w:r w:rsidR="004A2007">
            <w:rPr>
              <w:i/>
              <w:sz w:val="18"/>
              <w:szCs w:val="18"/>
            </w:rPr>
            <w:t xml:space="preserve"> (Reasonable Hypothesis) </w:t>
          </w:r>
          <w:r w:rsidR="004A2007" w:rsidRPr="007C5CE0">
            <w:rPr>
              <w:i/>
              <w:sz w:val="18"/>
            </w:rPr>
            <w:t xml:space="preserve">(No. </w:t>
          </w:r>
          <w:r w:rsidRPr="006A22A6">
            <w:rPr>
              <w:i/>
              <w:sz w:val="18"/>
              <w:szCs w:val="18"/>
            </w:rPr>
            <w:t>7</w:t>
          </w:r>
          <w:r w:rsidR="00865A59">
            <w:rPr>
              <w:i/>
              <w:sz w:val="18"/>
              <w:szCs w:val="18"/>
            </w:rPr>
            <w:t>0</w:t>
          </w:r>
          <w:r w:rsidR="004A2007" w:rsidRPr="007C5CE0">
            <w:rPr>
              <w:i/>
              <w:sz w:val="18"/>
              <w:szCs w:val="18"/>
            </w:rPr>
            <w:t xml:space="preserve"> of </w:t>
          </w:r>
          <w:r w:rsidRPr="006A22A6">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65A5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65A59">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4"/>
    <w:lvlOverride w:ilvl="0">
      <w:startOverride w:val="1"/>
    </w:lvlOverride>
    <w:lvlOverride w:ilvl="1">
      <w:startOverride w:val="1"/>
    </w:lvlOverride>
    <w:lvlOverride w:ilvl="2">
      <w:startOverride w:val="1"/>
    </w:lvlOverride>
    <w:lvlOverride w:ilvl="3">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4491"/>
    <w:rsid w:val="0001147A"/>
    <w:rsid w:val="000136AF"/>
    <w:rsid w:val="00015560"/>
    <w:rsid w:val="0001587D"/>
    <w:rsid w:val="00021CE7"/>
    <w:rsid w:val="00024911"/>
    <w:rsid w:val="00032E05"/>
    <w:rsid w:val="000437C1"/>
    <w:rsid w:val="00046E67"/>
    <w:rsid w:val="00051B75"/>
    <w:rsid w:val="00052861"/>
    <w:rsid w:val="0005365D"/>
    <w:rsid w:val="00054930"/>
    <w:rsid w:val="000614BF"/>
    <w:rsid w:val="00061E3E"/>
    <w:rsid w:val="00081B7C"/>
    <w:rsid w:val="00085567"/>
    <w:rsid w:val="0008674F"/>
    <w:rsid w:val="00097FDF"/>
    <w:rsid w:val="000A3D68"/>
    <w:rsid w:val="000A651F"/>
    <w:rsid w:val="000B1350"/>
    <w:rsid w:val="000B4F77"/>
    <w:rsid w:val="000B58FA"/>
    <w:rsid w:val="000C21A3"/>
    <w:rsid w:val="000C664A"/>
    <w:rsid w:val="000C6D96"/>
    <w:rsid w:val="000D05EF"/>
    <w:rsid w:val="000D3FD1"/>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2512"/>
    <w:rsid w:val="001648F7"/>
    <w:rsid w:val="00166C2F"/>
    <w:rsid w:val="00167E0C"/>
    <w:rsid w:val="001809D7"/>
    <w:rsid w:val="001833C8"/>
    <w:rsid w:val="0018679C"/>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5702"/>
    <w:rsid w:val="002773D7"/>
    <w:rsid w:val="00280B57"/>
    <w:rsid w:val="00281308"/>
    <w:rsid w:val="00281DF7"/>
    <w:rsid w:val="00284719"/>
    <w:rsid w:val="00297ECB"/>
    <w:rsid w:val="002A1ECC"/>
    <w:rsid w:val="002A3436"/>
    <w:rsid w:val="002A582E"/>
    <w:rsid w:val="002A7BCF"/>
    <w:rsid w:val="002B45FA"/>
    <w:rsid w:val="002B5188"/>
    <w:rsid w:val="002C7539"/>
    <w:rsid w:val="002D0013"/>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E7AA5"/>
    <w:rsid w:val="003F39C0"/>
    <w:rsid w:val="003F4535"/>
    <w:rsid w:val="00411507"/>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76FE6"/>
    <w:rsid w:val="004834A1"/>
    <w:rsid w:val="004840A6"/>
    <w:rsid w:val="0048487C"/>
    <w:rsid w:val="004916B9"/>
    <w:rsid w:val="00496F97"/>
    <w:rsid w:val="004A2007"/>
    <w:rsid w:val="004A4764"/>
    <w:rsid w:val="004A5E4B"/>
    <w:rsid w:val="004B69F2"/>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69ED"/>
    <w:rsid w:val="00537FBC"/>
    <w:rsid w:val="00545116"/>
    <w:rsid w:val="00553578"/>
    <w:rsid w:val="005574D1"/>
    <w:rsid w:val="00571FBB"/>
    <w:rsid w:val="00575A90"/>
    <w:rsid w:val="00576E99"/>
    <w:rsid w:val="00584811"/>
    <w:rsid w:val="00585784"/>
    <w:rsid w:val="00591263"/>
    <w:rsid w:val="00593AA6"/>
    <w:rsid w:val="00594161"/>
    <w:rsid w:val="00594749"/>
    <w:rsid w:val="005962C4"/>
    <w:rsid w:val="005A5BFE"/>
    <w:rsid w:val="005B05D3"/>
    <w:rsid w:val="005B4067"/>
    <w:rsid w:val="005C3F41"/>
    <w:rsid w:val="005C74AC"/>
    <w:rsid w:val="005C7B57"/>
    <w:rsid w:val="005C7CC5"/>
    <w:rsid w:val="005D2D09"/>
    <w:rsid w:val="005D48F2"/>
    <w:rsid w:val="005E589B"/>
    <w:rsid w:val="005E7FC2"/>
    <w:rsid w:val="00600219"/>
    <w:rsid w:val="00601189"/>
    <w:rsid w:val="006013B7"/>
    <w:rsid w:val="00603D01"/>
    <w:rsid w:val="00603DC4"/>
    <w:rsid w:val="0060681C"/>
    <w:rsid w:val="00615B89"/>
    <w:rsid w:val="00616FF5"/>
    <w:rsid w:val="00617C4E"/>
    <w:rsid w:val="00620076"/>
    <w:rsid w:val="00623B02"/>
    <w:rsid w:val="006314DD"/>
    <w:rsid w:val="0066266D"/>
    <w:rsid w:val="006647B7"/>
    <w:rsid w:val="00667A4E"/>
    <w:rsid w:val="00670EA1"/>
    <w:rsid w:val="00677CC2"/>
    <w:rsid w:val="006840B0"/>
    <w:rsid w:val="00684C0E"/>
    <w:rsid w:val="006905DE"/>
    <w:rsid w:val="0069207B"/>
    <w:rsid w:val="0069220C"/>
    <w:rsid w:val="00695023"/>
    <w:rsid w:val="00695A1E"/>
    <w:rsid w:val="006A22A6"/>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52C9"/>
    <w:rsid w:val="00806368"/>
    <w:rsid w:val="008117E9"/>
    <w:rsid w:val="008152B5"/>
    <w:rsid w:val="00824498"/>
    <w:rsid w:val="008311A1"/>
    <w:rsid w:val="008321ED"/>
    <w:rsid w:val="00832C32"/>
    <w:rsid w:val="00842EA3"/>
    <w:rsid w:val="00850A63"/>
    <w:rsid w:val="0085384C"/>
    <w:rsid w:val="00856A31"/>
    <w:rsid w:val="00860BB7"/>
    <w:rsid w:val="00865A59"/>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2458"/>
    <w:rsid w:val="00984EE9"/>
    <w:rsid w:val="009868E9"/>
    <w:rsid w:val="00997416"/>
    <w:rsid w:val="009B5A4E"/>
    <w:rsid w:val="009C2B65"/>
    <w:rsid w:val="009C404D"/>
    <w:rsid w:val="009D6BB0"/>
    <w:rsid w:val="009E22DB"/>
    <w:rsid w:val="009E5CFC"/>
    <w:rsid w:val="00A06E7A"/>
    <w:rsid w:val="00A079CB"/>
    <w:rsid w:val="00A11C0D"/>
    <w:rsid w:val="00A12128"/>
    <w:rsid w:val="00A137F8"/>
    <w:rsid w:val="00A20CA1"/>
    <w:rsid w:val="00A20FDB"/>
    <w:rsid w:val="00A22C98"/>
    <w:rsid w:val="00A231E2"/>
    <w:rsid w:val="00A254EA"/>
    <w:rsid w:val="00A32039"/>
    <w:rsid w:val="00A36B1A"/>
    <w:rsid w:val="00A515BC"/>
    <w:rsid w:val="00A56C3D"/>
    <w:rsid w:val="00A6070D"/>
    <w:rsid w:val="00A64912"/>
    <w:rsid w:val="00A64BA1"/>
    <w:rsid w:val="00A70A74"/>
    <w:rsid w:val="00A74C16"/>
    <w:rsid w:val="00A77E0D"/>
    <w:rsid w:val="00A840CE"/>
    <w:rsid w:val="00A931D7"/>
    <w:rsid w:val="00A95435"/>
    <w:rsid w:val="00AA64D6"/>
    <w:rsid w:val="00AA6D8B"/>
    <w:rsid w:val="00AC5296"/>
    <w:rsid w:val="00AD2DC7"/>
    <w:rsid w:val="00AD5641"/>
    <w:rsid w:val="00AD7889"/>
    <w:rsid w:val="00AD7AC2"/>
    <w:rsid w:val="00AD7DCC"/>
    <w:rsid w:val="00AE67D2"/>
    <w:rsid w:val="00AF021B"/>
    <w:rsid w:val="00AF06CF"/>
    <w:rsid w:val="00B05CF4"/>
    <w:rsid w:val="00B07CDB"/>
    <w:rsid w:val="00B10D97"/>
    <w:rsid w:val="00B166C8"/>
    <w:rsid w:val="00B16A31"/>
    <w:rsid w:val="00B177FE"/>
    <w:rsid w:val="00B17DFD"/>
    <w:rsid w:val="00B24368"/>
    <w:rsid w:val="00B27C6B"/>
    <w:rsid w:val="00B308FE"/>
    <w:rsid w:val="00B33709"/>
    <w:rsid w:val="00B33B3C"/>
    <w:rsid w:val="00B50826"/>
    <w:rsid w:val="00B50ADC"/>
    <w:rsid w:val="00B527C0"/>
    <w:rsid w:val="00B566B1"/>
    <w:rsid w:val="00B627BA"/>
    <w:rsid w:val="00B63834"/>
    <w:rsid w:val="00B664A3"/>
    <w:rsid w:val="00B72734"/>
    <w:rsid w:val="00B72A5E"/>
    <w:rsid w:val="00B80199"/>
    <w:rsid w:val="00B83204"/>
    <w:rsid w:val="00B833B0"/>
    <w:rsid w:val="00B846A0"/>
    <w:rsid w:val="00B84E9C"/>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124C"/>
    <w:rsid w:val="00BF2465"/>
    <w:rsid w:val="00BF43B4"/>
    <w:rsid w:val="00BF525F"/>
    <w:rsid w:val="00C01863"/>
    <w:rsid w:val="00C1163E"/>
    <w:rsid w:val="00C11D03"/>
    <w:rsid w:val="00C25E7F"/>
    <w:rsid w:val="00C2746F"/>
    <w:rsid w:val="00C324A0"/>
    <w:rsid w:val="00C3300F"/>
    <w:rsid w:val="00C349C5"/>
    <w:rsid w:val="00C3520D"/>
    <w:rsid w:val="00C42BF8"/>
    <w:rsid w:val="00C50043"/>
    <w:rsid w:val="00C50D87"/>
    <w:rsid w:val="00C5731E"/>
    <w:rsid w:val="00C670B0"/>
    <w:rsid w:val="00C738B9"/>
    <w:rsid w:val="00C7573B"/>
    <w:rsid w:val="00C77046"/>
    <w:rsid w:val="00C80504"/>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17E0B"/>
    <w:rsid w:val="00D21DE5"/>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1B2A"/>
    <w:rsid w:val="00D93DA9"/>
    <w:rsid w:val="00D94857"/>
    <w:rsid w:val="00D96383"/>
    <w:rsid w:val="00D97BB3"/>
    <w:rsid w:val="00DA186E"/>
    <w:rsid w:val="00DA3996"/>
    <w:rsid w:val="00DA4116"/>
    <w:rsid w:val="00DA70AC"/>
    <w:rsid w:val="00DA7AC0"/>
    <w:rsid w:val="00DB15BB"/>
    <w:rsid w:val="00DB251C"/>
    <w:rsid w:val="00DB3F17"/>
    <w:rsid w:val="00DB4162"/>
    <w:rsid w:val="00DB4630"/>
    <w:rsid w:val="00DC4F88"/>
    <w:rsid w:val="00DD29E2"/>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29A"/>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EF59CC"/>
    <w:rsid w:val="00F03C06"/>
    <w:rsid w:val="00F072A7"/>
    <w:rsid w:val="00F078DC"/>
    <w:rsid w:val="00F10EB7"/>
    <w:rsid w:val="00F27CD4"/>
    <w:rsid w:val="00F32BA8"/>
    <w:rsid w:val="00F349F1"/>
    <w:rsid w:val="00F4141E"/>
    <w:rsid w:val="00F4350D"/>
    <w:rsid w:val="00F567F7"/>
    <w:rsid w:val="00F62036"/>
    <w:rsid w:val="00F65B52"/>
    <w:rsid w:val="00F67B67"/>
    <w:rsid w:val="00F67BCA"/>
    <w:rsid w:val="00F737EA"/>
    <w:rsid w:val="00F73BD6"/>
    <w:rsid w:val="00F83264"/>
    <w:rsid w:val="00F83989"/>
    <w:rsid w:val="00F83D85"/>
    <w:rsid w:val="00F85099"/>
    <w:rsid w:val="00F863D4"/>
    <w:rsid w:val="00F901E9"/>
    <w:rsid w:val="00F90F49"/>
    <w:rsid w:val="00F9379C"/>
    <w:rsid w:val="00F956BA"/>
    <w:rsid w:val="00F9632C"/>
    <w:rsid w:val="00F97A62"/>
    <w:rsid w:val="00FA0587"/>
    <w:rsid w:val="00FA1E52"/>
    <w:rsid w:val="00FA33FB"/>
    <w:rsid w:val="00FB3EF0"/>
    <w:rsid w:val="00FB533A"/>
    <w:rsid w:val="00FD07DF"/>
    <w:rsid w:val="00FD64A2"/>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9E8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9933</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2023-06-22T00:50:00Z</dcterms:created>
  <dcterms:modified xsi:type="dcterms:W3CDTF">2023-06-26T22:33:00Z</dcterms:modified>
  <cp:category/>
  <cp:contentStatus/>
  <dc:language/>
  <cp:version/>
</cp:coreProperties>
</file>