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8F6D12" w:rsidP="00D4089F">
      <w:pPr>
        <w:pStyle w:val="Plainheader"/>
      </w:pPr>
      <w:r>
        <w:t xml:space="preserve">EXTERNAL </w:t>
      </w:r>
      <w:proofErr w:type="gramStart"/>
      <w:r>
        <w:t>BURN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4A72F0">
        <w:t>60</w:t>
      </w:r>
      <w:bookmarkEnd w:id="0"/>
      <w:r w:rsidRPr="00024911">
        <w:t xml:space="preserve"> of</w:t>
      </w:r>
      <w:r w:rsidR="008F6D12">
        <w:t xml:space="preserve"> 2023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A842DE">
        <w:t>24 April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4A72F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A72F0">
        <w:rPr>
          <w:noProof/>
        </w:rPr>
        <w:t>1</w:t>
      </w:r>
      <w:r w:rsidR="004A72F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A72F0">
        <w:rPr>
          <w:noProof/>
        </w:rPr>
        <w:t>Name</w:t>
      </w:r>
      <w:r w:rsidR="004A72F0">
        <w:rPr>
          <w:noProof/>
        </w:rPr>
        <w:tab/>
      </w:r>
      <w:r w:rsidR="004A72F0">
        <w:rPr>
          <w:noProof/>
        </w:rPr>
        <w:fldChar w:fldCharType="begin"/>
      </w:r>
      <w:r w:rsidR="004A72F0">
        <w:rPr>
          <w:noProof/>
        </w:rPr>
        <w:instrText xml:space="preserve"> PAGEREF _Toc131419404 \h </w:instrText>
      </w:r>
      <w:r w:rsidR="004A72F0">
        <w:rPr>
          <w:noProof/>
        </w:rPr>
      </w:r>
      <w:r w:rsidR="004A72F0">
        <w:rPr>
          <w:noProof/>
        </w:rPr>
        <w:fldChar w:fldCharType="separate"/>
      </w:r>
      <w:r w:rsidR="004A72F0">
        <w:rPr>
          <w:noProof/>
        </w:rPr>
        <w:t>3</w:t>
      </w:r>
      <w:r w:rsidR="004A72F0">
        <w:rPr>
          <w:noProof/>
        </w:rPr>
        <w:fldChar w:fldCharType="end"/>
      </w:r>
    </w:p>
    <w:p w:rsidR="004A72F0" w:rsidRDefault="004A72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_Toc131419405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A72F0" w:rsidRDefault="004A72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_Toc131419406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A72F0" w:rsidRDefault="004A72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_Toc131419407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131419404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 xml:space="preserve">Statement of Principles concerning </w:t>
      </w:r>
      <w:r w:rsidR="008F6D12" w:rsidRPr="008F6D12">
        <w:t xml:space="preserve">external burn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A72F0">
        <w:t>60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A72F0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131419405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842DE">
        <w:t>23 May 2023</w:t>
      </w:r>
      <w:bookmarkStart w:id="5" w:name="_GoBack"/>
      <w:bookmarkEnd w:id="5"/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131419406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131419407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>Sta</w:t>
      </w:r>
      <w:r w:rsidR="008F6D12">
        <w:t>tement of Principles concerning</w:t>
      </w:r>
      <w:r w:rsidR="008F6D12" w:rsidRPr="008F6D12">
        <w:t xml:space="preserve"> </w:t>
      </w:r>
      <w:r w:rsidR="008F6D12" w:rsidRPr="008F6D12">
        <w:rPr>
          <w:i/>
        </w:rPr>
        <w:t>external burn</w:t>
      </w:r>
      <w:r w:rsidR="000A3994" w:rsidRPr="00A85FA9">
        <w:rPr>
          <w:i/>
        </w:rPr>
        <w:t xml:space="preserve"> (Balance of Probabilities)</w:t>
      </w:r>
      <w:r w:rsidR="008F6D12">
        <w:t xml:space="preserve"> (No.111 of 2015</w:t>
      </w:r>
      <w:r w:rsidR="000A3994" w:rsidRPr="000A3994">
        <w:t xml:space="preserve">) </w:t>
      </w:r>
      <w:r w:rsidR="00A93686">
        <w:t xml:space="preserve">(Federal </w:t>
      </w:r>
      <w:r w:rsidR="008F6D12">
        <w:t>Register of Legislation No. F2015L01331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6E04A4">
        <w:tc>
          <w:tcPr>
            <w:tcW w:w="1559" w:type="dxa"/>
          </w:tcPr>
          <w:p w:rsidR="001D3EA4" w:rsidRPr="00B33F5C" w:rsidRDefault="008F6D12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7(2</w:t>
            </w:r>
            <w:r w:rsidR="001D3EA4">
              <w:rPr>
                <w:i/>
              </w:rPr>
              <w:t>)</w:t>
            </w:r>
          </w:p>
        </w:tc>
        <w:tc>
          <w:tcPr>
            <w:tcW w:w="5756" w:type="dxa"/>
          </w:tcPr>
          <w:p w:rsidR="00CC41A4" w:rsidRPr="00CC41A4" w:rsidRDefault="00CC41A4" w:rsidP="00CC41A4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CC41A4">
              <w:rPr>
                <w:sz w:val="24"/>
                <w:szCs w:val="24"/>
                <w:lang w:val="en-US"/>
              </w:rPr>
              <w:t>Replace subsection 7(2) with the following:</w:t>
            </w:r>
          </w:p>
          <w:p w:rsidR="00CC41A4" w:rsidRPr="00CC41A4" w:rsidRDefault="00CC41A4" w:rsidP="00CC41A4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CC41A4">
              <w:rPr>
                <w:sz w:val="24"/>
                <w:szCs w:val="24"/>
                <w:lang w:val="en-US"/>
              </w:rPr>
              <w:t>(2) For the purposes of this Statement of Principles</w:t>
            </w:r>
          </w:p>
          <w:p w:rsidR="00CC41A4" w:rsidRPr="00CC41A4" w:rsidRDefault="00CC41A4" w:rsidP="00CC41A4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CC41A4">
              <w:rPr>
                <w:sz w:val="24"/>
                <w:szCs w:val="24"/>
                <w:lang w:val="en-US"/>
              </w:rPr>
              <w:t>external burn:</w:t>
            </w:r>
          </w:p>
          <w:p w:rsidR="00CC41A4" w:rsidRPr="00CC41A4" w:rsidRDefault="00CC41A4" w:rsidP="00CC41A4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CC41A4">
              <w:rPr>
                <w:sz w:val="24"/>
                <w:szCs w:val="24"/>
                <w:lang w:val="en-US"/>
              </w:rPr>
              <w:t>(a)</w:t>
            </w:r>
            <w:r w:rsidRPr="00CC41A4">
              <w:rPr>
                <w:sz w:val="24"/>
                <w:szCs w:val="24"/>
                <w:lang w:val="en-US"/>
              </w:rPr>
              <w:tab/>
              <w:t>means a burn due to the external application of an agent; and;</w:t>
            </w:r>
          </w:p>
          <w:p w:rsidR="00CC41A4" w:rsidRPr="00CC41A4" w:rsidRDefault="00CC41A4" w:rsidP="00CC41A4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CC41A4">
              <w:rPr>
                <w:sz w:val="24"/>
                <w:szCs w:val="24"/>
                <w:lang w:val="en-US"/>
              </w:rPr>
              <w:t>(b)</w:t>
            </w:r>
            <w:r w:rsidRPr="00CC41A4">
              <w:rPr>
                <w:sz w:val="24"/>
                <w:szCs w:val="24"/>
                <w:lang w:val="en-US"/>
              </w:rPr>
              <w:tab/>
              <w:t>includes sunburn, burn to the conjunctiva or cornea, and eye burn that simultaneously affects the internal and external parts of the eye; and</w:t>
            </w:r>
          </w:p>
          <w:p w:rsidR="008F6D12" w:rsidRPr="00DD76E9" w:rsidRDefault="00CC41A4" w:rsidP="00CC41A4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val="en-US"/>
              </w:rPr>
            </w:pPr>
            <w:r w:rsidRPr="00CC41A4">
              <w:rPr>
                <w:sz w:val="24"/>
                <w:szCs w:val="24"/>
                <w:lang w:val="en-US"/>
              </w:rPr>
              <w:t>(c)</w:t>
            </w:r>
            <w:r w:rsidRPr="00CC41A4">
              <w:rPr>
                <w:sz w:val="24"/>
                <w:szCs w:val="24"/>
                <w:lang w:val="en-US"/>
              </w:rPr>
              <w:tab/>
            </w:r>
            <w:proofErr w:type="gramStart"/>
            <w:r w:rsidRPr="00CC41A4">
              <w:rPr>
                <w:sz w:val="24"/>
                <w:szCs w:val="24"/>
                <w:lang w:val="en-US"/>
              </w:rPr>
              <w:t>excludes</w:t>
            </w:r>
            <w:proofErr w:type="gramEnd"/>
            <w:r w:rsidRPr="00CC41A4">
              <w:rPr>
                <w:sz w:val="24"/>
                <w:szCs w:val="24"/>
                <w:lang w:val="en-US"/>
              </w:rPr>
              <w:t xml:space="preserve"> isolated retinal burn of the eye, burn of the respiratory tract, </w:t>
            </w:r>
            <w:r w:rsidR="00E201A5">
              <w:rPr>
                <w:sz w:val="24"/>
                <w:szCs w:val="24"/>
                <w:lang w:val="en-US"/>
              </w:rPr>
              <w:t xml:space="preserve">burn of the </w:t>
            </w:r>
            <w:r w:rsidRPr="00CC41A4">
              <w:rPr>
                <w:sz w:val="24"/>
                <w:szCs w:val="24"/>
                <w:lang w:val="en-US"/>
              </w:rPr>
              <w:t>gastrointestinal tract and internal genitourinary tract, wind burn, frostbite and burns due to electrical injury or friction.</w:t>
            </w:r>
          </w:p>
          <w:p w:rsidR="001D3EA4" w:rsidRDefault="001D3EA4" w:rsidP="008F6D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8F6D12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F6D12">
            <w:rPr>
              <w:i/>
              <w:sz w:val="18"/>
              <w:szCs w:val="18"/>
            </w:rPr>
            <w:t>external burn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4A72F0">
            <w:rPr>
              <w:i/>
              <w:sz w:val="18"/>
              <w:szCs w:val="18"/>
            </w:rPr>
            <w:t>60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2023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842DE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842DE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8F6D12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F6D12">
            <w:rPr>
              <w:i/>
              <w:sz w:val="18"/>
              <w:szCs w:val="18"/>
            </w:rPr>
            <w:t>external burn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4A72F0">
            <w:rPr>
              <w:i/>
              <w:sz w:val="18"/>
              <w:szCs w:val="18"/>
            </w:rPr>
            <w:t>60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2023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842D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842DE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B7129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24A2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A72F0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13E0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8F6D12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0DFF"/>
    <w:rsid w:val="00A842DE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41A4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01A5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DE71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1574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2023-04-19T05:07:00Z</dcterms:created>
  <dcterms:modified xsi:type="dcterms:W3CDTF">2023-04-19T05:10:00Z</dcterms:modified>
  <cp:category/>
  <cp:contentStatus/>
  <dc:language/>
  <cp:version/>
</cp:coreProperties>
</file>