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5D2DE0" w:rsidP="00D4089F">
      <w:pPr>
        <w:pStyle w:val="Plainheader"/>
      </w:pPr>
      <w:r>
        <w:t xml:space="preserve">RESTLESS LEGS </w:t>
      </w:r>
      <w:proofErr w:type="gramStart"/>
      <w:r>
        <w:t>SYNDROME</w:t>
      </w:r>
      <w:proofErr w:type="gramEnd"/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1" w:name="BP"/>
      <w:r w:rsidR="005D2DE0">
        <w:t>61</w:t>
      </w:r>
      <w:bookmarkEnd w:id="1"/>
      <w:r w:rsidRPr="00024911">
        <w:t xml:space="preserve"> of</w:t>
      </w:r>
      <w:r w:rsidR="005D2DE0">
        <w:t xml:space="preserve"> 2023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0A0E73">
        <w:t>15</w:t>
      </w:r>
      <w:r w:rsidR="005D2DE0">
        <w:t xml:space="preserve"> May 2023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5D2DE0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 w:rsidR="005D2DE0"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 w:rsidR="005D2DE0"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 w:rsidR="005D2DE0"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45"/>
      <w:r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5D2DE0">
        <w:rPr>
          <w:i/>
        </w:rPr>
        <w:t>restless legs syndrome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A401D">
        <w:t>61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A401D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46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A0E73">
        <w:t>30 May 2023</w:t>
      </w:r>
      <w:r w:rsidR="00F67B67" w:rsidRPr="005D2DE0">
        <w:t>.</w:t>
      </w:r>
    </w:p>
    <w:p w:rsidR="00F67B67" w:rsidRPr="00684C0E" w:rsidRDefault="00F67B67" w:rsidP="0069220C">
      <w:pPr>
        <w:pStyle w:val="LV1"/>
      </w:pPr>
      <w:bookmarkStart w:id="6" w:name="_Toc517781247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48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 xml:space="preserve">Statement of Principles concerning </w:t>
      </w:r>
      <w:r w:rsidR="005D2DE0">
        <w:rPr>
          <w:i/>
        </w:rPr>
        <w:t>restless legs syndrome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5D2DE0">
        <w:t>114 of 2022</w:t>
      </w:r>
      <w:r w:rsidR="000A3994" w:rsidRPr="000A3994">
        <w:t xml:space="preserve">) </w:t>
      </w:r>
      <w:r w:rsidR="00A93686">
        <w:t xml:space="preserve">(Federal </w:t>
      </w:r>
      <w:r w:rsidR="005D2DE0">
        <w:t>Register of Legislation No. F2022L01399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420AD3" w:rsidTr="006E04A4">
        <w:tc>
          <w:tcPr>
            <w:tcW w:w="1559" w:type="dxa"/>
          </w:tcPr>
          <w:p w:rsidR="00420AD3" w:rsidRPr="000C1872" w:rsidRDefault="00B33F5C" w:rsidP="00736C55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420AD3" w:rsidRDefault="001D3EA4" w:rsidP="001D3EA4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>Replace</w:t>
            </w:r>
            <w:r w:rsidR="00B33F5C">
              <w:rPr>
                <w:i/>
              </w:rPr>
              <w:t xml:space="preserve"> the </w:t>
            </w:r>
            <w:r>
              <w:rPr>
                <w:i/>
              </w:rPr>
              <w:t xml:space="preserve">existing </w:t>
            </w:r>
            <w:r w:rsidR="00B33F5C">
              <w:rPr>
                <w:i/>
              </w:rPr>
              <w:t>definition of "</w:t>
            </w:r>
            <w:r w:rsidR="009A401D">
              <w:rPr>
                <w:i/>
              </w:rPr>
              <w:t>relevant service</w:t>
            </w:r>
            <w:r w:rsidR="00B33F5C">
              <w:rPr>
                <w:i/>
              </w:rPr>
              <w:t>"</w:t>
            </w:r>
            <w:r>
              <w:rPr>
                <w:i/>
              </w:rPr>
              <w:t xml:space="preserve"> with the following</w:t>
            </w:r>
            <w:r w:rsidRPr="001D3EA4">
              <w:t>:</w:t>
            </w:r>
          </w:p>
          <w:p w:rsidR="001D3EA4" w:rsidRDefault="003E6DB6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  <w:r>
              <w:rPr>
                <w:b/>
                <w:i/>
              </w:rPr>
              <w:t>r</w:t>
            </w:r>
            <w:r w:rsidR="009A401D">
              <w:rPr>
                <w:b/>
                <w:i/>
              </w:rPr>
              <w:t>elevant service</w:t>
            </w:r>
            <w:r w:rsidR="001D3EA4" w:rsidRPr="00DD7543">
              <w:t xml:space="preserve"> means</w:t>
            </w:r>
            <w:r w:rsidR="009A401D">
              <w:t>:</w:t>
            </w:r>
          </w:p>
          <w:p w:rsidR="009A401D" w:rsidRPr="00365E25" w:rsidRDefault="009A401D" w:rsidP="003E6DB6">
            <w:pPr>
              <w:pStyle w:val="SH4"/>
              <w:ind w:left="880" w:hanging="425"/>
            </w:pPr>
            <w:r>
              <w:t xml:space="preserve">eligible war service (other than operational </w:t>
            </w:r>
            <w:r w:rsidRPr="00365E25">
              <w:t>service</w:t>
            </w:r>
            <w:r>
              <w:t>) under the VEA;</w:t>
            </w:r>
          </w:p>
          <w:p w:rsidR="009A401D" w:rsidRPr="00513D05" w:rsidRDefault="009A401D" w:rsidP="003E6DB6">
            <w:pPr>
              <w:pStyle w:val="SH4"/>
              <w:ind w:left="880" w:hanging="425"/>
            </w:pPr>
            <w:r>
              <w:t xml:space="preserve">defence service (other than </w:t>
            </w:r>
            <w:r w:rsidRPr="00513D05">
              <w:t xml:space="preserve">hazardous service </w:t>
            </w:r>
            <w:r>
              <w:t xml:space="preserve">and British nuclear test defence service) </w:t>
            </w:r>
            <w:r w:rsidRPr="00513D05">
              <w:t>under the VEA; or</w:t>
            </w:r>
          </w:p>
          <w:p w:rsidR="009A401D" w:rsidRPr="00513D05" w:rsidRDefault="009A401D" w:rsidP="003E6DB6">
            <w:pPr>
              <w:pStyle w:val="SH4"/>
              <w:ind w:left="880" w:hanging="425"/>
            </w:pPr>
            <w:proofErr w:type="gramStart"/>
            <w:r>
              <w:t>peacetime</w:t>
            </w:r>
            <w:proofErr w:type="gramEnd"/>
            <w:r>
              <w:t xml:space="preserve"> service under the MRCA.</w:t>
            </w:r>
          </w:p>
          <w:p w:rsidR="009A401D" w:rsidRPr="00F52BA4" w:rsidRDefault="009A401D" w:rsidP="003E6DB6">
            <w:pPr>
              <w:pStyle w:val="ScheduleNote"/>
              <w:ind w:left="0"/>
            </w:pPr>
            <w:r w:rsidRPr="00F52BA4">
              <w:t xml:space="preserve">Note: </w:t>
            </w:r>
            <w:r w:rsidRPr="00F52BA4">
              <w:rPr>
                <w:b/>
                <w:i/>
              </w:rPr>
              <w:t>MRCA</w:t>
            </w:r>
            <w:r w:rsidRPr="00F52BA4">
              <w:t xml:space="preserve"> and </w:t>
            </w:r>
            <w:r w:rsidRPr="00F52BA4">
              <w:rPr>
                <w:b/>
                <w:i/>
              </w:rPr>
              <w:t>VEA</w:t>
            </w:r>
            <w:r w:rsidR="005D2DE0">
              <w:t xml:space="preserve"> are</w:t>
            </w:r>
            <w:r w:rsidRPr="00F52BA4">
              <w:t xml:space="preserve"> defined in the Schedule 1 - Dictionary.</w:t>
            </w:r>
          </w:p>
          <w:p w:rsidR="009A401D" w:rsidRDefault="009A401D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  <w:p w:rsidR="002664A2" w:rsidRPr="002664A2" w:rsidRDefault="002664A2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5D2DE0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Restless legs syndrome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61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2023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A1243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A1243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5D2DE0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Restless legs syndrome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0A0E73">
            <w:rPr>
              <w:i/>
              <w:sz w:val="18"/>
              <w:szCs w:val="18"/>
            </w:rPr>
            <w:t>61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 w:rsidR="000A0E73">
            <w:rPr>
              <w:i/>
              <w:sz w:val="18"/>
              <w:szCs w:val="18"/>
            </w:rPr>
            <w:t>2023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A124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A1243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B714012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0E73"/>
    <w:rsid w:val="000A3994"/>
    <w:rsid w:val="000A3D68"/>
    <w:rsid w:val="000B1350"/>
    <w:rsid w:val="000B58FA"/>
    <w:rsid w:val="000B7129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E6DB6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2DE0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46CD2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A401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24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03BD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3E6DB6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  <w:style w:type="paragraph" w:customStyle="1" w:styleId="ScheduleNote">
    <w:name w:val="Schedule Note"/>
    <w:basedOn w:val="Normal"/>
    <w:link w:val="ScheduleNoteChar"/>
    <w:uiPriority w:val="2"/>
    <w:qFormat/>
    <w:rsid w:val="009A401D"/>
    <w:pPr>
      <w:spacing w:before="122" w:line="240" w:lineRule="auto"/>
      <w:ind w:left="851"/>
    </w:pPr>
    <w:rPr>
      <w:rFonts w:eastAsia="Times New Roman"/>
      <w:sz w:val="18"/>
      <w:lang w:eastAsia="en-AU"/>
    </w:rPr>
  </w:style>
  <w:style w:type="character" w:customStyle="1" w:styleId="ScheduleNoteChar">
    <w:name w:val="Schedule Note Char"/>
    <w:basedOn w:val="DefaultParagraphFont"/>
    <w:link w:val="ScheduleNote"/>
    <w:uiPriority w:val="2"/>
    <w:rsid w:val="009A401D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1467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2023-05-16T23:36:00Z</dcterms:created>
  <dcterms:modified xsi:type="dcterms:W3CDTF">2023-05-16T23:36:00Z</dcterms:modified>
  <cp:category/>
  <cp:contentStatus/>
  <dc:language/>
  <cp:version/>
</cp:coreProperties>
</file>