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72086" w:rsidP="006647B7">
      <w:pPr>
        <w:pStyle w:val="Plainheader"/>
      </w:pPr>
      <w:bookmarkStart w:id="0" w:name="SoP_Name_Title"/>
      <w:proofErr w:type="gramStart"/>
      <w:r>
        <w:t>PERICARDITIS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F2479C">
        <w:t>91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72086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693F5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17000F">
        <w:t>25 October 2023</w:t>
      </w:r>
      <w:r w:rsidR="00223629">
        <w:t>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C47DCC" w:rsidRDefault="00C47DCC" w:rsidP="0034373D">
            <w:pPr>
              <w:pStyle w:val="Plain"/>
            </w:pPr>
          </w:p>
        </w:tc>
      </w:tr>
      <w:tr w:rsidR="00C47DCC" w:rsidTr="0034373D">
        <w:tc>
          <w:tcPr>
            <w:tcW w:w="4116" w:type="dxa"/>
          </w:tcPr>
          <w:p w:rsidR="00C47DCC" w:rsidRDefault="00C47DCC" w:rsidP="0034373D">
            <w:pPr>
              <w:pStyle w:val="Plain"/>
            </w:pPr>
          </w:p>
          <w:p w:rsidR="00C47DCC" w:rsidRDefault="00C47DCC" w:rsidP="0034373D">
            <w:pPr>
              <w:pStyle w:val="Plain"/>
            </w:pPr>
          </w:p>
          <w:p w:rsidR="00C47DCC" w:rsidRPr="007527C1" w:rsidRDefault="00C47DCC" w:rsidP="0034373D">
            <w:pPr>
              <w:pStyle w:val="Plain"/>
            </w:pPr>
            <w:r w:rsidRPr="007527C1">
              <w:t xml:space="preserve">Professor </w:t>
            </w:r>
            <w:r w:rsidR="006516BD" w:rsidRPr="006516BD">
              <w:t>Terence Campbell AM</w:t>
            </w:r>
          </w:p>
          <w:p w:rsidR="00C47DCC" w:rsidRDefault="00C47DCC" w:rsidP="0034373D">
            <w:pPr>
              <w:pStyle w:val="Plain"/>
            </w:pPr>
            <w:r w:rsidRPr="007527C1">
              <w:t>Chairperson</w:t>
            </w:r>
          </w:p>
          <w:p w:rsidR="00C47DCC" w:rsidRDefault="00C47DCC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7208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72086">
        <w:rPr>
          <w:noProof/>
        </w:rPr>
        <w:t>1</w:t>
      </w:r>
      <w:r w:rsidR="0047208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72086">
        <w:rPr>
          <w:noProof/>
        </w:rPr>
        <w:t>Name</w:t>
      </w:r>
      <w:r w:rsidR="00472086">
        <w:rPr>
          <w:noProof/>
        </w:rPr>
        <w:tab/>
      </w:r>
      <w:r w:rsidR="00472086">
        <w:rPr>
          <w:noProof/>
        </w:rPr>
        <w:fldChar w:fldCharType="begin"/>
      </w:r>
      <w:r w:rsidR="00472086">
        <w:rPr>
          <w:noProof/>
        </w:rPr>
        <w:instrText xml:space="preserve"> PAGEREF _Toc144815444 \h </w:instrText>
      </w:r>
      <w:r w:rsidR="00472086">
        <w:rPr>
          <w:noProof/>
        </w:rPr>
      </w:r>
      <w:r w:rsidR="00472086">
        <w:rPr>
          <w:noProof/>
        </w:rPr>
        <w:fldChar w:fldCharType="separate"/>
      </w:r>
      <w:r w:rsidR="00F2479C">
        <w:rPr>
          <w:noProof/>
        </w:rPr>
        <w:t>3</w:t>
      </w:r>
      <w:r w:rsidR="00472086"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_Toc144815445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3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_Toc144815446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3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_Toc144815447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3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_Toc144815448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3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_Toc144815449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3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_Toc144815450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4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_Toc144815451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4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_Toc144815452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7</w:t>
      </w:r>
      <w:r>
        <w:rPr>
          <w:noProof/>
        </w:rPr>
        <w:fldChar w:fldCharType="end"/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_Toc144815453 \h </w:instrText>
      </w:r>
      <w:r>
        <w:rPr>
          <w:noProof/>
        </w:rPr>
      </w:r>
      <w:r>
        <w:rPr>
          <w:noProof/>
        </w:rPr>
        <w:fldChar w:fldCharType="separate"/>
      </w:r>
      <w:r w:rsidR="00F2479C">
        <w:rPr>
          <w:noProof/>
        </w:rPr>
        <w:t>7</w:t>
      </w:r>
      <w:r>
        <w:rPr>
          <w:noProof/>
        </w:rPr>
        <w:fldChar w:fldCharType="end"/>
      </w:r>
    </w:p>
    <w:p w:rsidR="00472086" w:rsidRDefault="0047208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 w:rsidR="00494BB4">
        <w:rPr>
          <w:noProof/>
        </w:rPr>
        <w:t>8</w:t>
      </w:r>
    </w:p>
    <w:p w:rsidR="00472086" w:rsidRDefault="0047208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 w:rsidR="00494BB4">
        <w:rPr>
          <w:noProof/>
        </w:rPr>
        <w:t>8</w:t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52B52">
      <w:pPr>
        <w:pStyle w:val="LV1"/>
      </w:pPr>
      <w:bookmarkStart w:id="4" w:name="_Toc144815444"/>
      <w:r>
        <w:lastRenderedPageBreak/>
        <w:t>Name</w:t>
      </w:r>
      <w:bookmarkEnd w:id="4"/>
    </w:p>
    <w:p w:rsidR="00237471" w:rsidRPr="00F97A62" w:rsidRDefault="00715914" w:rsidP="0061476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72086">
        <w:rPr>
          <w:i/>
        </w:rPr>
        <w:t>pericarditis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F2479C">
        <w:t>91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2479C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452B52">
      <w:pPr>
        <w:pStyle w:val="LV1"/>
      </w:pPr>
      <w:bookmarkStart w:id="7" w:name="_Toc144815445"/>
      <w:r w:rsidRPr="00684C0E">
        <w:t>Commencement</w:t>
      </w:r>
      <w:bookmarkEnd w:id="7"/>
    </w:p>
    <w:p w:rsidR="00F67B67" w:rsidRPr="007527C1" w:rsidRDefault="007527C1" w:rsidP="0061476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23629">
        <w:t>28</w:t>
      </w:r>
      <w:r w:rsidR="0017000F">
        <w:t xml:space="preserve"> November 2023</w:t>
      </w:r>
      <w:r w:rsidR="00F67B67" w:rsidRPr="007527C1">
        <w:t>.</w:t>
      </w:r>
    </w:p>
    <w:p w:rsidR="00F67B67" w:rsidRPr="00684C0E" w:rsidRDefault="00F67B67" w:rsidP="00452B52">
      <w:pPr>
        <w:pStyle w:val="LV1"/>
      </w:pPr>
      <w:bookmarkStart w:id="8" w:name="_Toc144815446"/>
      <w:r w:rsidRPr="00684C0E">
        <w:t>Authority</w:t>
      </w:r>
      <w:bookmarkEnd w:id="8"/>
    </w:p>
    <w:p w:rsidR="00F67B67" w:rsidRPr="007527C1" w:rsidRDefault="00F67B67" w:rsidP="0061476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693F5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452B52">
      <w:pPr>
        <w:pStyle w:val="LV1"/>
      </w:pPr>
      <w:bookmarkStart w:id="9" w:name="_Toc144815447"/>
      <w:r w:rsidRPr="00684C0E">
        <w:t>Application</w:t>
      </w:r>
      <w:bookmarkEnd w:id="9"/>
    </w:p>
    <w:p w:rsidR="007C7DEE" w:rsidRPr="007527C1" w:rsidRDefault="007C7DEE" w:rsidP="0061476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52B52">
      <w:pPr>
        <w:pStyle w:val="LV1"/>
      </w:pPr>
      <w:bookmarkStart w:id="10" w:name="_Ref410129949"/>
      <w:bookmarkStart w:id="11" w:name="_Toc144815448"/>
      <w:r w:rsidRPr="00684C0E">
        <w:t>Definitions</w:t>
      </w:r>
      <w:bookmarkEnd w:id="10"/>
      <w:bookmarkEnd w:id="11"/>
    </w:p>
    <w:p w:rsidR="00237471" w:rsidRPr="00D5620B" w:rsidRDefault="007142FB" w:rsidP="0061476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52B52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14481544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61476C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F2479C" w:rsidRPr="00F2479C">
        <w:t>pericarditis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2479C" w:rsidRPr="00F2479C">
        <w:t>pericarditis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F2479C" w:rsidRPr="00F2479C">
        <w:rPr>
          <w:b/>
        </w:rPr>
        <w:t>pericarditis</w:t>
      </w:r>
    </w:p>
    <w:p w:rsidR="002716E4" w:rsidRDefault="007C7DEE" w:rsidP="0061476C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F2479C" w:rsidRPr="00F2479C">
        <w:t>pericarditis</w:t>
      </w:r>
      <w:r w:rsidR="002716E4" w:rsidRPr="00237BAF">
        <w:t>:</w:t>
      </w:r>
      <w:bookmarkEnd w:id="17"/>
    </w:p>
    <w:p w:rsidR="00472086" w:rsidRDefault="00472086" w:rsidP="00472086">
      <w:pPr>
        <w:pStyle w:val="LV3"/>
      </w:pPr>
      <w:r>
        <w:t>means an inflammation of the pericardium; and</w:t>
      </w:r>
    </w:p>
    <w:p w:rsidR="00472086" w:rsidRDefault="00472086" w:rsidP="00472086">
      <w:pPr>
        <w:pStyle w:val="LV3"/>
      </w:pPr>
      <w:r>
        <w:t>includes:</w:t>
      </w:r>
    </w:p>
    <w:p w:rsidR="00472086" w:rsidRDefault="00472086" w:rsidP="00472086">
      <w:pPr>
        <w:pStyle w:val="LV4"/>
      </w:pPr>
      <w:r>
        <w:t xml:space="preserve">acute pericarditis; </w:t>
      </w:r>
    </w:p>
    <w:p w:rsidR="00472086" w:rsidRDefault="00472086" w:rsidP="00472086">
      <w:pPr>
        <w:pStyle w:val="LV4"/>
      </w:pPr>
      <w:r>
        <w:t>chronic pericarditis;</w:t>
      </w:r>
    </w:p>
    <w:p w:rsidR="00472086" w:rsidRDefault="00472086" w:rsidP="00472086">
      <w:pPr>
        <w:pStyle w:val="LV4"/>
      </w:pPr>
      <w:r>
        <w:t>recurrent pericarditis; and</w:t>
      </w:r>
    </w:p>
    <w:p w:rsidR="00472086" w:rsidRDefault="00472086" w:rsidP="00472086">
      <w:pPr>
        <w:pStyle w:val="LV4"/>
      </w:pPr>
      <w:r>
        <w:t xml:space="preserve">constrictive pericarditis; and </w:t>
      </w:r>
    </w:p>
    <w:p w:rsidR="00472086" w:rsidRDefault="00472086" w:rsidP="007310AD">
      <w:pPr>
        <w:pStyle w:val="LV3"/>
      </w:pPr>
      <w:proofErr w:type="gramStart"/>
      <w:r>
        <w:t>excludes</w:t>
      </w:r>
      <w:proofErr w:type="gramEnd"/>
      <w:r w:rsidR="007310AD" w:rsidRPr="007310AD">
        <w:t xml:space="preserve"> haemorrhage from pericardial injury not associated with pericardial inflammation.</w:t>
      </w:r>
    </w:p>
    <w:bookmarkEnd w:id="18"/>
    <w:p w:rsidR="008F572A" w:rsidRPr="00237BAF" w:rsidRDefault="008F572A" w:rsidP="00472086">
      <w:pPr>
        <w:pStyle w:val="LV2"/>
      </w:pPr>
      <w:r w:rsidRPr="00237BAF">
        <w:t xml:space="preserve">While </w:t>
      </w:r>
      <w:r w:rsidR="00F2479C" w:rsidRPr="00F2479C">
        <w:t>pericarditis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472086">
        <w:t xml:space="preserve">codes </w:t>
      </w:r>
      <w:r w:rsidR="00472086" w:rsidRPr="00472086">
        <w:t>I30,</w:t>
      </w:r>
      <w:r w:rsidR="00472086">
        <w:t xml:space="preserve"> I31.0, I31.1, I01.0, and I09.2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2479C" w:rsidRPr="00F2479C">
        <w:t>pericarditis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727B4E" w:rsidP="0061476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F2479C" w:rsidRPr="00F2479C">
        <w:rPr>
          <w:b/>
        </w:rPr>
        <w:t>pericarditis</w:t>
      </w:r>
    </w:p>
    <w:p w:rsidR="008F572A" w:rsidRPr="00237BAF" w:rsidRDefault="008F572A" w:rsidP="0061476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2479C" w:rsidRPr="00F2479C">
        <w:t>pericarditis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693F5A">
        <w:t>'</w:t>
      </w:r>
      <w:r w:rsidRPr="00D5620B">
        <w:t>s</w:t>
      </w:r>
      <w:r w:rsidR="002F77A1">
        <w:t xml:space="preserve"> </w:t>
      </w:r>
      <w:r w:rsidR="00F2479C" w:rsidRPr="00F2479C">
        <w:t>pericarditis</w:t>
      </w:r>
      <w:r w:rsidRPr="00D5620B">
        <w:t>.</w:t>
      </w:r>
    </w:p>
    <w:p w:rsidR="007C7DEE" w:rsidRPr="00046E67" w:rsidRDefault="00046E67" w:rsidP="00C7175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8486E">
        <w:t>–</w:t>
      </w:r>
      <w:r w:rsidR="00D32F71">
        <w:t xml:space="preserve"> </w:t>
      </w:r>
      <w:r w:rsidR="00885EAB" w:rsidRPr="00046E67">
        <w:t>Dictionary</w:t>
      </w:r>
      <w:r w:rsidR="0048486E">
        <w:t>.</w:t>
      </w:r>
    </w:p>
    <w:p w:rsidR="007C7DEE" w:rsidRPr="00A20CA1" w:rsidRDefault="007C7DEE" w:rsidP="00452B52">
      <w:pPr>
        <w:pStyle w:val="LV1"/>
      </w:pPr>
      <w:bookmarkStart w:id="19" w:name="_Toc144815450"/>
      <w:r w:rsidRPr="00A20CA1">
        <w:t>Basis for determining the factors</w:t>
      </w:r>
      <w:bookmarkEnd w:id="19"/>
    </w:p>
    <w:p w:rsidR="007C7DEE" w:rsidRPr="00237BAF" w:rsidRDefault="007C7DEE" w:rsidP="0061476C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F2479C" w:rsidRPr="00F2479C">
        <w:t>pericarditis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F2479C" w:rsidRPr="00F2479C">
        <w:t>pericarditis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C15950">
      <w:pPr>
        <w:pStyle w:val="ScheduleNote"/>
      </w:pPr>
      <w:r>
        <w:t xml:space="preserve">Note: </w:t>
      </w:r>
      <w:r w:rsidR="007C5353" w:rsidRPr="007C5353">
        <w:rPr>
          <w:b/>
          <w:i/>
        </w:rPr>
        <w:t>MRCA</w:t>
      </w:r>
      <w:r w:rsidR="007C5353">
        <w:t xml:space="preserve">, </w:t>
      </w:r>
      <w:r w:rsidR="00C9794D" w:rsidRPr="007C5353">
        <w:rPr>
          <w:b/>
          <w:i/>
        </w:rPr>
        <w:t>r</w:t>
      </w:r>
      <w:r w:rsidR="000E4183" w:rsidRPr="007C5353">
        <w:rPr>
          <w:b/>
          <w:i/>
        </w:rPr>
        <w:t>elevant</w:t>
      </w:r>
      <w:r w:rsidR="000E4183" w:rsidRPr="00FA33FB">
        <w:rPr>
          <w:b/>
          <w:i/>
        </w:rPr>
        <w:t xml:space="preserve"> service</w:t>
      </w:r>
      <w:r w:rsidR="000E4183" w:rsidRPr="00FA33FB">
        <w:t xml:space="preserve"> </w:t>
      </w:r>
      <w:r w:rsidR="007C5353">
        <w:t xml:space="preserve">and </w:t>
      </w:r>
      <w:r w:rsidR="007C5353" w:rsidRPr="007C5353">
        <w:rPr>
          <w:b/>
          <w:i/>
        </w:rPr>
        <w:t>VEA</w:t>
      </w:r>
      <w:r w:rsidR="007C5353">
        <w:t xml:space="preserve"> are</w:t>
      </w:r>
      <w:r w:rsidR="00885EAB" w:rsidRPr="00046E67">
        <w:t xml:space="preserve">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452B52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144815451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1476C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F2479C" w:rsidRPr="00F2479C">
        <w:t>pericarditis</w:t>
      </w:r>
      <w:r w:rsidR="007A3989">
        <w:t xml:space="preserve"> </w:t>
      </w:r>
      <w:r w:rsidR="007C7DEE" w:rsidRPr="00AA6D8B">
        <w:t xml:space="preserve">or death from </w:t>
      </w:r>
      <w:r w:rsidR="00F2479C" w:rsidRPr="00F2479C">
        <w:t>pericarditis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693F5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472086" w:rsidRDefault="00472086" w:rsidP="00472086">
      <w:pPr>
        <w:pStyle w:val="LV2"/>
      </w:pPr>
      <w:r w:rsidRPr="00604CC0">
        <w:t>having open heart surgery within the 20 years bef</w:t>
      </w:r>
      <w:r>
        <w:t>ore the clinical onset</w:t>
      </w:r>
      <w:r w:rsidRPr="00604CC0">
        <w:t xml:space="preserve"> </w:t>
      </w:r>
      <w:r>
        <w:t xml:space="preserve">or clinical worsening </w:t>
      </w:r>
      <w:r w:rsidRPr="00604CC0">
        <w:t>of pericarditis;</w:t>
      </w:r>
    </w:p>
    <w:p w:rsidR="00472086" w:rsidRPr="00604CC0" w:rsidRDefault="00472086" w:rsidP="00472086">
      <w:pPr>
        <w:pStyle w:val="LV2"/>
        <w:rPr>
          <w:lang w:val="en-US"/>
        </w:rPr>
      </w:pPr>
      <w:r w:rsidRPr="00046E67">
        <w:tab/>
      </w:r>
      <w:r w:rsidRPr="00604CC0">
        <w:rPr>
          <w:lang w:val="en-US"/>
        </w:rPr>
        <w:t xml:space="preserve">having a pacemaker, or defibrillator lead insertion within the 20 years before the clinical onset </w:t>
      </w:r>
      <w:r>
        <w:rPr>
          <w:lang w:val="en-US"/>
        </w:rPr>
        <w:t xml:space="preserve">or clinical worsening </w:t>
      </w:r>
      <w:r w:rsidRPr="00604CC0">
        <w:rPr>
          <w:lang w:val="en-US"/>
        </w:rPr>
        <w:t>of pericarditis;</w:t>
      </w:r>
    </w:p>
    <w:p w:rsidR="00472086" w:rsidRPr="00A879E3" w:rsidRDefault="00472086" w:rsidP="00472086">
      <w:pPr>
        <w:pStyle w:val="LV2"/>
      </w:pPr>
      <w:r w:rsidRPr="00A879E3">
        <w:t xml:space="preserve">having a cardiac ablation procedure to treat cardiac dysrhythmia within the 4 </w:t>
      </w:r>
      <w:r>
        <w:t xml:space="preserve">weeks before the clinical onset or clinical </w:t>
      </w:r>
      <w:r w:rsidRPr="00A879E3">
        <w:t>worsening of pericarditis;</w:t>
      </w:r>
    </w:p>
    <w:p w:rsidR="00472086" w:rsidRPr="00A879E3" w:rsidRDefault="00472086" w:rsidP="00472086">
      <w:pPr>
        <w:pStyle w:val="LV2"/>
      </w:pPr>
      <w:r w:rsidRPr="00A879E3">
        <w:t xml:space="preserve">having sclerosants such as talc, and tetracyclines directly introduced into </w:t>
      </w:r>
      <w:r>
        <w:t xml:space="preserve">the </w:t>
      </w:r>
      <w:r w:rsidRPr="00A879E3">
        <w:t xml:space="preserve">pericardial sac </w:t>
      </w:r>
      <w:r>
        <w:t xml:space="preserve">before the clinical onset or clinical </w:t>
      </w:r>
      <w:r w:rsidRPr="00A879E3">
        <w:t>worsening of pericarditis;</w:t>
      </w:r>
    </w:p>
    <w:p w:rsidR="00472086" w:rsidRPr="00046E67" w:rsidRDefault="00472086" w:rsidP="00472086">
      <w:pPr>
        <w:pStyle w:val="LV2"/>
      </w:pPr>
      <w:r w:rsidRPr="00D078BF">
        <w:t>having penetrating or blunt trauma to the heart within the 20 years before the clin</w:t>
      </w:r>
      <w:r>
        <w:t xml:space="preserve">ical onset or clinical </w:t>
      </w:r>
      <w:r w:rsidRPr="00D078BF">
        <w:t>worsening of pericarditis;</w:t>
      </w:r>
    </w:p>
    <w:p w:rsidR="00472086" w:rsidRPr="008E76DC" w:rsidRDefault="00472086" w:rsidP="00472086">
      <w:pPr>
        <w:pStyle w:val="LV2"/>
      </w:pPr>
      <w:r w:rsidRPr="00D078BF">
        <w:t xml:space="preserve">having electrical injury affecting the heart within the 20 </w:t>
      </w:r>
      <w:r>
        <w:t xml:space="preserve">years before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 w:rsidRPr="00D078BF">
        <w:t>having a peptic ulcer that erodes the pericardium at</w:t>
      </w:r>
      <w:r>
        <w:t xml:space="preserve"> the time of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 w:rsidRPr="00D078BF">
        <w:t xml:space="preserve">undergoing a course of therapeutic radiation for cancer, where the heart was in the field of radiation, within the 20 </w:t>
      </w:r>
      <w:r>
        <w:t xml:space="preserve">years before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 w:rsidRPr="00D078BF">
        <w:lastRenderedPageBreak/>
        <w:t>having a pericardial infection at</w:t>
      </w:r>
      <w:r>
        <w:t xml:space="preserve"> the time of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 w:rsidRPr="00D078BF">
        <w:t xml:space="preserve">having a systemic viral infection within the 4 </w:t>
      </w:r>
      <w:r>
        <w:t xml:space="preserve">weeks before the clinical onset or clinical worsening </w:t>
      </w:r>
      <w:r w:rsidRPr="00D078BF">
        <w:t>of pericarditis</w:t>
      </w:r>
      <w:r>
        <w:t>;</w:t>
      </w:r>
    </w:p>
    <w:p w:rsidR="00472086" w:rsidRDefault="00472086" w:rsidP="00472086">
      <w:pPr>
        <w:pStyle w:val="LV2"/>
      </w:pPr>
      <w:r w:rsidRPr="00D078BF">
        <w:t>having tubercu</w:t>
      </w:r>
      <w:r>
        <w:t xml:space="preserve">losis before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>
        <w:t xml:space="preserve">having an infection of the structures contiguous with the pericardium at the time of the clinical onset or clinical worsening of pericarditis; </w:t>
      </w:r>
    </w:p>
    <w:p w:rsidR="00472086" w:rsidRDefault="00472086" w:rsidP="00472086">
      <w:pPr>
        <w:pStyle w:val="NOTE"/>
      </w:pPr>
      <w:r>
        <w:t>Note: Infections reported to spread to the pericardium from anatomical sites contiguous with the pericardium include empyema, and amoebic liver abscess.</w:t>
      </w:r>
    </w:p>
    <w:p w:rsidR="00472086" w:rsidRDefault="00472086" w:rsidP="00472086">
      <w:pPr>
        <w:pStyle w:val="LV2"/>
      </w:pPr>
      <w:r w:rsidRPr="00D078BF">
        <w:t>having myocarditis at</w:t>
      </w:r>
      <w:r>
        <w:t xml:space="preserve"> the time of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 w:rsidRPr="00D078BF">
        <w:t>having acute rheumatic fever at</w:t>
      </w:r>
      <w:r>
        <w:t xml:space="preserve"> the time of the clinical onset or clinical </w:t>
      </w:r>
      <w:r w:rsidRPr="00D078BF">
        <w:t>worsening of pericarditis;</w:t>
      </w:r>
    </w:p>
    <w:p w:rsidR="00472086" w:rsidRDefault="00472086" w:rsidP="00472086">
      <w:pPr>
        <w:pStyle w:val="LV2"/>
      </w:pPr>
      <w:r>
        <w:t>having one of the following vasculitides:</w:t>
      </w:r>
    </w:p>
    <w:p w:rsidR="00472086" w:rsidRDefault="00472086" w:rsidP="00472086">
      <w:pPr>
        <w:pStyle w:val="LV3"/>
      </w:pPr>
      <w:r>
        <w:t xml:space="preserve">Behcet's disease; </w:t>
      </w:r>
    </w:p>
    <w:p w:rsidR="00472086" w:rsidRDefault="00472086" w:rsidP="00472086">
      <w:pPr>
        <w:pStyle w:val="LV3"/>
      </w:pPr>
      <w:r>
        <w:t xml:space="preserve">eosinophilic granulomatosis with polyangiitis (Churg Straus syndrome); </w:t>
      </w:r>
    </w:p>
    <w:p w:rsidR="00472086" w:rsidRDefault="00472086" w:rsidP="00472086">
      <w:pPr>
        <w:pStyle w:val="LV3"/>
      </w:pPr>
      <w:r>
        <w:t xml:space="preserve">giant cell (temporal) arteritis; </w:t>
      </w:r>
    </w:p>
    <w:p w:rsidR="00472086" w:rsidRDefault="00472086" w:rsidP="00472086">
      <w:pPr>
        <w:pStyle w:val="LV3"/>
      </w:pPr>
      <w:r>
        <w:t xml:space="preserve">granulomatosis with polyangiitis (Wegener's granulomatosis); </w:t>
      </w:r>
    </w:p>
    <w:p w:rsidR="00472086" w:rsidRDefault="00472086" w:rsidP="00472086">
      <w:pPr>
        <w:pStyle w:val="LV3"/>
      </w:pPr>
      <w:r>
        <w:t xml:space="preserve">microscopic polyangiitis; </w:t>
      </w:r>
    </w:p>
    <w:p w:rsidR="00472086" w:rsidRDefault="00472086" w:rsidP="00472086">
      <w:pPr>
        <w:pStyle w:val="LV3"/>
      </w:pPr>
      <w:r>
        <w:t xml:space="preserve">polyarteritis nodosa; or </w:t>
      </w:r>
    </w:p>
    <w:p w:rsidR="00472086" w:rsidRDefault="007310AD" w:rsidP="00472086">
      <w:pPr>
        <w:pStyle w:val="LV3"/>
      </w:pPr>
      <w:r>
        <w:t>Takayasu's arteritis;</w:t>
      </w:r>
    </w:p>
    <w:p w:rsidR="00472086" w:rsidRDefault="00472086" w:rsidP="00472086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the clinical onset or clinical worsening of pericarditis;</w:t>
      </w:r>
    </w:p>
    <w:p w:rsidR="00472086" w:rsidRDefault="00472086" w:rsidP="00472086">
      <w:pPr>
        <w:pStyle w:val="LV2"/>
      </w:pPr>
      <w:r>
        <w:t>having one of the following systemic inflammatory diseases:</w:t>
      </w:r>
    </w:p>
    <w:p w:rsidR="00472086" w:rsidRDefault="00472086" w:rsidP="00472086">
      <w:pPr>
        <w:pStyle w:val="LV3"/>
      </w:pPr>
      <w:r>
        <w:t>Addison disease with type 2 autoimmune polyglandular syndrome;</w:t>
      </w:r>
    </w:p>
    <w:p w:rsidR="00472086" w:rsidRDefault="00472086" w:rsidP="00472086">
      <w:pPr>
        <w:pStyle w:val="LV3"/>
      </w:pPr>
      <w:r>
        <w:t xml:space="preserve">ankylosing spondylitis and seronegative </w:t>
      </w:r>
      <w:proofErr w:type="spellStart"/>
      <w:r>
        <w:t>spondyloarthropathies</w:t>
      </w:r>
      <w:proofErr w:type="spellEnd"/>
      <w:r>
        <w:t>;</w:t>
      </w:r>
    </w:p>
    <w:p w:rsidR="00472086" w:rsidRDefault="00472086" w:rsidP="00472086">
      <w:pPr>
        <w:pStyle w:val="LV3"/>
      </w:pPr>
      <w:r>
        <w:t xml:space="preserve">dermatomyositis; </w:t>
      </w:r>
    </w:p>
    <w:p w:rsidR="00472086" w:rsidRDefault="00472086" w:rsidP="00472086">
      <w:pPr>
        <w:pStyle w:val="LV3"/>
      </w:pPr>
      <w:r>
        <w:t>IgG4-related disease;</w:t>
      </w:r>
    </w:p>
    <w:p w:rsidR="00472086" w:rsidRDefault="003D337D" w:rsidP="00472086">
      <w:pPr>
        <w:pStyle w:val="LV3"/>
      </w:pPr>
      <w:r>
        <w:t>i</w:t>
      </w:r>
      <w:r w:rsidR="00472086">
        <w:t>nflammatory bowel disease;</w:t>
      </w:r>
    </w:p>
    <w:p w:rsidR="00472086" w:rsidRDefault="00472086" w:rsidP="00472086">
      <w:pPr>
        <w:pStyle w:val="LV3"/>
      </w:pPr>
      <w:r>
        <w:t>mixed connective tissue disease;</w:t>
      </w:r>
    </w:p>
    <w:p w:rsidR="00472086" w:rsidRDefault="00472086" w:rsidP="00472086">
      <w:pPr>
        <w:pStyle w:val="LV3"/>
      </w:pPr>
      <w:r>
        <w:t xml:space="preserve">polymyositis; </w:t>
      </w:r>
    </w:p>
    <w:p w:rsidR="00472086" w:rsidRDefault="00472086" w:rsidP="00472086">
      <w:pPr>
        <w:pStyle w:val="LV3"/>
      </w:pPr>
      <w:r>
        <w:t xml:space="preserve">rheumatoid arthritis; </w:t>
      </w:r>
    </w:p>
    <w:p w:rsidR="00472086" w:rsidRDefault="00472086" w:rsidP="00472086">
      <w:pPr>
        <w:pStyle w:val="LV3"/>
      </w:pPr>
      <w:r>
        <w:t xml:space="preserve">scleroderma (progressive systemic sclerosis); </w:t>
      </w:r>
    </w:p>
    <w:p w:rsidR="00472086" w:rsidRDefault="00472086" w:rsidP="00472086">
      <w:pPr>
        <w:pStyle w:val="LV3"/>
      </w:pPr>
      <w:proofErr w:type="spellStart"/>
      <w:r>
        <w:t>Sj</w:t>
      </w:r>
      <w:r w:rsidR="002E59C0">
        <w:t>ö</w:t>
      </w:r>
      <w:r>
        <w:t>gren's</w:t>
      </w:r>
      <w:proofErr w:type="spellEnd"/>
      <w:r>
        <w:t xml:space="preserve"> syndrome; or </w:t>
      </w:r>
    </w:p>
    <w:p w:rsidR="00472086" w:rsidRDefault="00472086" w:rsidP="00472086">
      <w:pPr>
        <w:pStyle w:val="LV3"/>
      </w:pPr>
      <w:r>
        <w:t>systemic lupus erythematosus;</w:t>
      </w:r>
    </w:p>
    <w:p w:rsidR="00472086" w:rsidRDefault="00472086" w:rsidP="00472086">
      <w:pPr>
        <w:pStyle w:val="LV2"/>
        <w:numPr>
          <w:ilvl w:val="0"/>
          <w:numId w:val="0"/>
        </w:numPr>
        <w:ind w:left="1418"/>
      </w:pPr>
      <w:proofErr w:type="gramStart"/>
      <w:r>
        <w:t>at</w:t>
      </w:r>
      <w:proofErr w:type="gramEnd"/>
      <w:r>
        <w:t xml:space="preserve"> the time of the clinical onset or clinical worsening of pericarditis; </w:t>
      </w:r>
    </w:p>
    <w:p w:rsidR="00472086" w:rsidRDefault="00472086" w:rsidP="00472086">
      <w:pPr>
        <w:pStyle w:val="LV2"/>
      </w:pPr>
      <w:r w:rsidRPr="004B3100">
        <w:lastRenderedPageBreak/>
        <w:t>having a heart transplant, lung transplant, kidney transplant or haematopoietic cell trans</w:t>
      </w:r>
      <w:r>
        <w:t xml:space="preserve">plant before the clinical onset or clinical </w:t>
      </w:r>
      <w:r w:rsidRPr="004B3100">
        <w:t>worsening of pericarditis;</w:t>
      </w:r>
    </w:p>
    <w:p w:rsidR="00472086" w:rsidRDefault="00472086" w:rsidP="00472086">
      <w:pPr>
        <w:pStyle w:val="LV2"/>
      </w:pPr>
      <w:r w:rsidRPr="004B3100">
        <w:t xml:space="preserve">having a myocardial infarction within the 4 </w:t>
      </w:r>
      <w:r>
        <w:t xml:space="preserve">weeks before the clinical onset or clinical </w:t>
      </w:r>
      <w:r w:rsidRPr="004B3100">
        <w:t>worsening of pericarditis;</w:t>
      </w:r>
    </w:p>
    <w:p w:rsidR="00472086" w:rsidRDefault="00472086" w:rsidP="00472086">
      <w:pPr>
        <w:pStyle w:val="LV2"/>
      </w:pPr>
      <w:r w:rsidRPr="004B3100">
        <w:t>having a dissection of the ascending aorta at</w:t>
      </w:r>
      <w:r>
        <w:t xml:space="preserve"> the time of the clinical onset or clinical </w:t>
      </w:r>
      <w:r w:rsidRPr="004B3100">
        <w:t>worsening of pericarditis;</w:t>
      </w:r>
    </w:p>
    <w:p w:rsidR="00472086" w:rsidRDefault="007310AD" w:rsidP="002204DB">
      <w:pPr>
        <w:pStyle w:val="LV2"/>
      </w:pPr>
      <w:r>
        <w:t>having a pulmonary infarction</w:t>
      </w:r>
      <w:r w:rsidR="00472086">
        <w:t xml:space="preserve"> </w:t>
      </w:r>
      <w:r w:rsidR="00472086" w:rsidRPr="004B3100">
        <w:t>at</w:t>
      </w:r>
      <w:r w:rsidR="00472086">
        <w:t xml:space="preserve"> the time of the clinical onset or clinical </w:t>
      </w:r>
      <w:r w:rsidR="00472086" w:rsidRPr="004B3100">
        <w:t>worsening of pericarditis;</w:t>
      </w:r>
    </w:p>
    <w:p w:rsidR="00472086" w:rsidRDefault="00472086" w:rsidP="00472086">
      <w:pPr>
        <w:pStyle w:val="LV2"/>
      </w:pPr>
      <w:r w:rsidRPr="004B3100">
        <w:t>having pancreatitis at</w:t>
      </w:r>
      <w:r>
        <w:t xml:space="preserve"> the time of the clinical onset or clinical </w:t>
      </w:r>
      <w:r w:rsidRPr="004B3100">
        <w:t>worsening of pericarditis;</w:t>
      </w:r>
    </w:p>
    <w:p w:rsidR="00472086" w:rsidRDefault="00472086" w:rsidP="00472086">
      <w:pPr>
        <w:pStyle w:val="LV2"/>
      </w:pPr>
      <w:r w:rsidRPr="004B3100">
        <w:t>having a benign or malignant cancer involving the pericardium at</w:t>
      </w:r>
      <w:r>
        <w:t xml:space="preserve"> the time of the clinical onset or clinical worsening</w:t>
      </w:r>
      <w:r w:rsidRPr="004B3100">
        <w:t xml:space="preserve"> of pericarditis;</w:t>
      </w:r>
    </w:p>
    <w:p w:rsidR="00472086" w:rsidRDefault="00472086" w:rsidP="00472086">
      <w:pPr>
        <w:pStyle w:val="LV2"/>
      </w:pPr>
      <w:r w:rsidRPr="004B3100">
        <w:t>having a malignant neoplasm with a paraneoplastic pericarditis at</w:t>
      </w:r>
      <w:r>
        <w:t xml:space="preserve"> the time of the clinical onset or clinical </w:t>
      </w:r>
      <w:r w:rsidRPr="004B3100">
        <w:t>worsening of pericarditis;</w:t>
      </w:r>
    </w:p>
    <w:p w:rsidR="00472086" w:rsidRDefault="00472086" w:rsidP="00472086">
      <w:pPr>
        <w:pStyle w:val="LV2"/>
      </w:pPr>
      <w:r w:rsidRPr="004B3100">
        <w:t>having sarcoidosis or amylo</w:t>
      </w:r>
      <w:r>
        <w:t>idosis</w:t>
      </w:r>
      <w:r w:rsidRPr="004B3100">
        <w:t xml:space="preserve"> at</w:t>
      </w:r>
      <w:r>
        <w:t xml:space="preserve"> the time of the clinical onset or clinical </w:t>
      </w:r>
      <w:r w:rsidRPr="004B3100">
        <w:t>worsening of pericarditis;</w:t>
      </w:r>
    </w:p>
    <w:p w:rsidR="00472086" w:rsidRDefault="00472086" w:rsidP="00472086">
      <w:pPr>
        <w:pStyle w:val="LV2"/>
      </w:pPr>
      <w:r>
        <w:t xml:space="preserve">having acute or chronic renal failure at the time of the clinical onset or clinical worsening of pericarditis; </w:t>
      </w:r>
    </w:p>
    <w:p w:rsidR="00472086" w:rsidRDefault="00472086" w:rsidP="00472086">
      <w:pPr>
        <w:pStyle w:val="NOTE"/>
      </w:pPr>
      <w:r>
        <w:t>Note: Pericarditis can occur in patients who are undergoing haemodialysis or peritoneal dialysis. Chronic renal failure is equivalent to a stage 5 chronic kidney disease with a glomerular filtration rate &lt;15 ml/min/1.73 m</w:t>
      </w:r>
      <w:r w:rsidRPr="007310AD">
        <w:rPr>
          <w:vertAlign w:val="superscript"/>
        </w:rPr>
        <w:t>2</w:t>
      </w:r>
      <w:r>
        <w:t>.</w:t>
      </w:r>
    </w:p>
    <w:p w:rsidR="00472086" w:rsidRDefault="00472086" w:rsidP="00472086">
      <w:pPr>
        <w:pStyle w:val="LV2"/>
      </w:pPr>
      <w:r>
        <w:t>taking a drug from the specified list at the time of the clinical onset or clinical worsening of pericarditis;</w:t>
      </w:r>
    </w:p>
    <w:p w:rsidR="00472086" w:rsidRDefault="00472086" w:rsidP="00472086">
      <w:pPr>
        <w:pStyle w:val="NOTE"/>
      </w:pPr>
      <w:r>
        <w:t xml:space="preserve">Note: </w:t>
      </w:r>
      <w:r w:rsidRPr="00BD6A9E">
        <w:rPr>
          <w:b/>
          <w:i/>
        </w:rPr>
        <w:t>drug from the specified list</w:t>
      </w:r>
      <w:r>
        <w:t xml:space="preserve"> is defined in the Schedule1- Dictionary.</w:t>
      </w:r>
    </w:p>
    <w:p w:rsidR="00472086" w:rsidRDefault="00472086" w:rsidP="00472086">
      <w:pPr>
        <w:pStyle w:val="LV2"/>
      </w:pPr>
      <w:r>
        <w:t>taking a drug which is associated in the individual with the development of pericarditis during drug therapy; and either:</w:t>
      </w:r>
    </w:p>
    <w:p w:rsidR="00472086" w:rsidRDefault="00472086" w:rsidP="00472086">
      <w:pPr>
        <w:pStyle w:val="LV3"/>
      </w:pPr>
      <w:r>
        <w:t>the impr</w:t>
      </w:r>
      <w:r w:rsidR="000C53F6">
        <w:t>ovement of pericarditis within one</w:t>
      </w:r>
      <w:r>
        <w:t xml:space="preserve"> month of discontinuing or tapering drug therapy; or</w:t>
      </w:r>
    </w:p>
    <w:p w:rsidR="00472086" w:rsidRDefault="00472086" w:rsidP="00472086">
      <w:pPr>
        <w:pStyle w:val="LV3"/>
      </w:pPr>
      <w:r>
        <w:t>the redevelopment of pericarditis on rechallenge with the same drug; and</w:t>
      </w:r>
    </w:p>
    <w:p w:rsidR="00472086" w:rsidRDefault="00472086" w:rsidP="00472086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taking the drug continued for at least the 7 days before the clinical onset of pericarditis; </w:t>
      </w:r>
    </w:p>
    <w:p w:rsidR="00472086" w:rsidRPr="00161329" w:rsidRDefault="00472086" w:rsidP="00472086">
      <w:pPr>
        <w:pStyle w:val="LV2"/>
      </w:pPr>
      <w:r w:rsidRPr="00161329">
        <w:t>having a COVID-19</w:t>
      </w:r>
      <w:r w:rsidR="00204FAB">
        <w:t xml:space="preserve"> mRNA</w:t>
      </w:r>
      <w:r w:rsidRPr="00161329">
        <w:t xml:space="preserve"> vaccine within the 4 </w:t>
      </w:r>
      <w:r>
        <w:t xml:space="preserve">weeks before the clinical onset or clinical </w:t>
      </w:r>
      <w:r w:rsidRPr="00161329">
        <w:t xml:space="preserve">worsening of pericarditis; </w:t>
      </w:r>
    </w:p>
    <w:p w:rsidR="00472086" w:rsidRDefault="00472086" w:rsidP="00472086">
      <w:pPr>
        <w:pStyle w:val="LV2"/>
      </w:pPr>
      <w:r w:rsidRPr="00161329">
        <w:t xml:space="preserve">having smallpox vaccine within the 4 </w:t>
      </w:r>
      <w:r>
        <w:t xml:space="preserve">weeks before the clinical onset or clinical </w:t>
      </w:r>
      <w:r w:rsidRPr="00161329">
        <w:t>worsening of pericarditis;</w:t>
      </w:r>
    </w:p>
    <w:p w:rsidR="00472086" w:rsidRDefault="00472086" w:rsidP="00472086">
      <w:pPr>
        <w:pStyle w:val="LV2"/>
      </w:pPr>
      <w:r w:rsidRPr="00161329">
        <w:lastRenderedPageBreak/>
        <w:t>having asbestosis or asbestos related pleural pl</w:t>
      </w:r>
      <w:r>
        <w:t xml:space="preserve">aques before the clinical onset or clinical </w:t>
      </w:r>
      <w:r w:rsidRPr="00161329">
        <w:t>worsening of pericarditis;</w:t>
      </w:r>
    </w:p>
    <w:p w:rsidR="00472086" w:rsidRDefault="00472086" w:rsidP="00472086">
      <w:pPr>
        <w:pStyle w:val="LV2"/>
      </w:pPr>
      <w:r>
        <w:t xml:space="preserve">inhaling respirable asbestos fibres in an enclosed space at the time material containing asbestos was being applied, removed, cut, drilled, dislodged or disturbed: </w:t>
      </w:r>
    </w:p>
    <w:p w:rsidR="00472086" w:rsidRDefault="00472086" w:rsidP="00472086">
      <w:pPr>
        <w:pStyle w:val="LV3"/>
      </w:pPr>
      <w:r>
        <w:t xml:space="preserve">for a cumulative period of at least 1,500 hours before </w:t>
      </w:r>
      <w:r w:rsidR="00204FAB">
        <w:t>the clinical onset of pericarditis</w:t>
      </w:r>
      <w:r>
        <w:t xml:space="preserve">; and </w:t>
      </w:r>
    </w:p>
    <w:p w:rsidR="00472086" w:rsidRDefault="00472086" w:rsidP="00472086">
      <w:pPr>
        <w:pStyle w:val="LV3"/>
      </w:pPr>
      <w:r>
        <w:t xml:space="preserve">where the first inhalation of asbestos fibres commenced at least 10 years before </w:t>
      </w:r>
      <w:r w:rsidR="00204FAB">
        <w:t>the clinical onset of pericarditis</w:t>
      </w:r>
      <w:r>
        <w:t xml:space="preserve">; </w:t>
      </w:r>
    </w:p>
    <w:p w:rsidR="00472086" w:rsidRDefault="00472086" w:rsidP="00472086">
      <w:pPr>
        <w:pStyle w:val="NOTE"/>
      </w:pPr>
      <w:r>
        <w:t>Note: Disturbance of debris or dust contaminated with asbestos fibres already present in an enclosed space may result in exposure to respirable asbestos fibres.</w:t>
      </w:r>
    </w:p>
    <w:p w:rsidR="00472086" w:rsidRDefault="00472086" w:rsidP="00472086">
      <w:pPr>
        <w:pStyle w:val="LV2"/>
      </w:pPr>
      <w:r>
        <w:t xml:space="preserve">inhaling respirable asbestos fibres in an open environment at the time material containing asbestos was being applied, removed, cut, drilled, dislodged or disturbed: </w:t>
      </w:r>
    </w:p>
    <w:p w:rsidR="00472086" w:rsidRDefault="00472086" w:rsidP="00472086">
      <w:pPr>
        <w:pStyle w:val="LV3"/>
      </w:pPr>
      <w:r>
        <w:t xml:space="preserve">for a cumulative period of at least 5,000 hours before </w:t>
      </w:r>
      <w:r w:rsidR="00204FAB">
        <w:t>the clinical onset of pericarditis</w:t>
      </w:r>
      <w:r>
        <w:t xml:space="preserve">; and </w:t>
      </w:r>
    </w:p>
    <w:p w:rsidR="00472086" w:rsidRDefault="00472086" w:rsidP="00472086">
      <w:pPr>
        <w:pStyle w:val="LV3"/>
      </w:pPr>
      <w:r>
        <w:t xml:space="preserve">where the first inhalation of asbestos fibres commenced at least 10 years before </w:t>
      </w:r>
      <w:r w:rsidR="00204FAB">
        <w:t>the clinical onset of pericarditis</w:t>
      </w:r>
      <w:r>
        <w:t xml:space="preserve">; </w:t>
      </w:r>
    </w:p>
    <w:p w:rsidR="00472086" w:rsidRDefault="00472086" w:rsidP="00472086">
      <w:pPr>
        <w:pStyle w:val="NOTE"/>
      </w:pPr>
      <w:r>
        <w:t>Note: Disturbance of debris or dust contaminated with asbestos fibres already present in an open environment may result in exposure to respirable asbestos fibres.</w:t>
      </w:r>
    </w:p>
    <w:p w:rsidR="00472086" w:rsidRPr="008D1B8B" w:rsidRDefault="00472086" w:rsidP="00472086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r>
        <w:t xml:space="preserve"> </w:t>
      </w:r>
      <w:r w:rsidR="00F2479C" w:rsidRPr="00F2479C">
        <w:t>pericarditis</w:t>
      </w:r>
      <w:r>
        <w:t xml:space="preserve"> before the clinical worsening of pericarditis</w:t>
      </w:r>
      <w:r w:rsidRPr="008D1B8B">
        <w:t>.</w:t>
      </w:r>
    </w:p>
    <w:p w:rsidR="000C21A3" w:rsidRPr="00684C0E" w:rsidRDefault="00D32F71" w:rsidP="00452B52">
      <w:pPr>
        <w:pStyle w:val="LV1"/>
      </w:pPr>
      <w:bookmarkStart w:id="25" w:name="_Toc144815452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61476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6"/>
    <w:p w:rsidR="00CF2367" w:rsidRPr="00187DE1" w:rsidRDefault="00F03C06" w:rsidP="0061476C">
      <w:pPr>
        <w:pStyle w:val="LV2"/>
      </w:pPr>
      <w:r w:rsidRPr="00187DE1">
        <w:t xml:space="preserve">The </w:t>
      </w:r>
      <w:r w:rsidR="00354005">
        <w:t>clinical worsening aspect</w:t>
      </w:r>
      <w:r w:rsidR="00AA7CA8">
        <w:t>s</w:t>
      </w:r>
      <w:r w:rsidR="00472086">
        <w:t xml:space="preserve"> of </w:t>
      </w:r>
      <w:r w:rsidRPr="00187DE1">
        <w:t>factor</w:t>
      </w:r>
      <w:r w:rsidR="00472086">
        <w:t>s</w:t>
      </w:r>
      <w:r w:rsidR="00FF1D47">
        <w:t xml:space="preserve"> </w:t>
      </w:r>
      <w:r w:rsidRPr="00187DE1">
        <w:t>appl</w:t>
      </w:r>
      <w:r w:rsidR="00472086">
        <w:t>y</w:t>
      </w:r>
      <w:r w:rsidRPr="00187DE1">
        <w:t xml:space="preserve"> only to material contribution to, or aggravation of, </w:t>
      </w:r>
      <w:r w:rsidR="00F2479C" w:rsidRPr="00F2479C">
        <w:t>pericarditis</w:t>
      </w:r>
      <w:r w:rsidR="007A3989">
        <w:t xml:space="preserve"> </w:t>
      </w:r>
      <w:r w:rsidRPr="00187DE1">
        <w:t>where the person</w:t>
      </w:r>
      <w:r w:rsidR="00693F5A">
        <w:t>'</w:t>
      </w:r>
      <w:r w:rsidRPr="00187DE1">
        <w:t xml:space="preserve">s </w:t>
      </w:r>
      <w:r w:rsidR="00F2479C" w:rsidRPr="00F2479C">
        <w:t>pericarditis</w:t>
      </w:r>
      <w:r w:rsidR="007A3989">
        <w:t xml:space="preserve"> </w:t>
      </w:r>
      <w:r w:rsidRPr="00187DE1">
        <w:t>was suffered or contracted before or during (but did not arise out of) the person</w:t>
      </w:r>
      <w:r w:rsidR="00693F5A">
        <w:t>'</w:t>
      </w:r>
      <w:r w:rsidRPr="00187DE1">
        <w:t xml:space="preserve">s relevant service. </w:t>
      </w:r>
    </w:p>
    <w:p w:rsidR="00774897" w:rsidRPr="00301C54" w:rsidRDefault="00774897" w:rsidP="00452B52">
      <w:pPr>
        <w:pStyle w:val="LV1"/>
      </w:pPr>
      <w:bookmarkStart w:id="27" w:name="_Toc14481545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61476C">
      <w:pPr>
        <w:pStyle w:val="PlainIndent"/>
      </w:pPr>
      <w:r w:rsidRPr="00E64EE4">
        <w:t>In this Statement of Principles:</w:t>
      </w:r>
    </w:p>
    <w:p w:rsidR="00F03C06" w:rsidRPr="00E64EE4" w:rsidRDefault="00F03C06" w:rsidP="0061476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61476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61476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61476C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61476C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14481545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1" w:name="_Toc405472918"/>
      <w:bookmarkStart w:id="32" w:name="_Toc144815455"/>
      <w:r w:rsidRPr="00D97BB3">
        <w:t>Definitions</w:t>
      </w:r>
      <w:bookmarkEnd w:id="31"/>
      <w:bookmarkEnd w:id="32"/>
    </w:p>
    <w:p w:rsidR="00702C42" w:rsidRPr="00516768" w:rsidRDefault="00702C42" w:rsidP="0061476C">
      <w:pPr>
        <w:pStyle w:val="SH2"/>
      </w:pPr>
      <w:r w:rsidRPr="00516768">
        <w:t>In this instrument:</w:t>
      </w:r>
    </w:p>
    <w:p w:rsidR="00E15DAF" w:rsidRDefault="00E15DAF" w:rsidP="00E15DAF">
      <w:pPr>
        <w:pStyle w:val="SH3"/>
        <w:rPr>
          <w:lang w:val="en-US"/>
        </w:rPr>
      </w:pPr>
      <w:bookmarkStart w:id="33" w:name="_Ref402530810"/>
      <w:r w:rsidRPr="00BD6A9E">
        <w:rPr>
          <w:b/>
          <w:i/>
          <w:lang w:val="en-US"/>
        </w:rPr>
        <w:t>drug from the specified list</w:t>
      </w:r>
      <w:r>
        <w:rPr>
          <w:lang w:val="en-US"/>
        </w:rPr>
        <w:t xml:space="preserve"> means:</w:t>
      </w:r>
    </w:p>
    <w:p w:rsidR="00E15DAF" w:rsidRDefault="00E15DAF" w:rsidP="00E15DAF">
      <w:pPr>
        <w:pStyle w:val="SH4"/>
      </w:pPr>
      <w:r>
        <w:t>5-fluorouracil;</w:t>
      </w:r>
    </w:p>
    <w:p w:rsidR="00E15DAF" w:rsidRDefault="00E15DAF" w:rsidP="00E15DAF">
      <w:pPr>
        <w:pStyle w:val="SH4"/>
      </w:pPr>
      <w:r>
        <w:t>amiodarone;</w:t>
      </w:r>
    </w:p>
    <w:p w:rsidR="00E15DAF" w:rsidRDefault="00E15DAF" w:rsidP="00E15DAF">
      <w:pPr>
        <w:pStyle w:val="SH4"/>
      </w:pPr>
      <w:r>
        <w:t>anthracyclines including doxorubicin, daunorubicin, idarubicin, epirubicin and mitoxantrone;</w:t>
      </w:r>
    </w:p>
    <w:p w:rsidR="00E15DAF" w:rsidRDefault="00E15DAF" w:rsidP="00E15DAF">
      <w:pPr>
        <w:pStyle w:val="SH4"/>
      </w:pPr>
      <w:r>
        <w:t>anticoagulants;</w:t>
      </w:r>
    </w:p>
    <w:p w:rsidR="00E15DAF" w:rsidRDefault="00E15DAF" w:rsidP="00E15DAF">
      <w:pPr>
        <w:pStyle w:val="SH4"/>
      </w:pPr>
      <w:r>
        <w:t>bromocriptine;</w:t>
      </w:r>
    </w:p>
    <w:p w:rsidR="00E15DAF" w:rsidRDefault="00E15DAF" w:rsidP="00E15DAF">
      <w:pPr>
        <w:pStyle w:val="SH4"/>
      </w:pPr>
      <w:r>
        <w:t>cabergoline;</w:t>
      </w:r>
    </w:p>
    <w:p w:rsidR="00E15DAF" w:rsidRDefault="00E15DAF" w:rsidP="00E15DAF">
      <w:pPr>
        <w:pStyle w:val="SH4"/>
      </w:pPr>
      <w:r>
        <w:t xml:space="preserve">clozapine; </w:t>
      </w:r>
    </w:p>
    <w:p w:rsidR="00E15DAF" w:rsidRDefault="00E15DAF" w:rsidP="00E15DAF">
      <w:pPr>
        <w:pStyle w:val="SH4"/>
      </w:pPr>
      <w:r>
        <w:t xml:space="preserve">cromolyn sodium; </w:t>
      </w:r>
    </w:p>
    <w:p w:rsidR="00E15DAF" w:rsidRDefault="00E15DAF" w:rsidP="00E15DAF">
      <w:pPr>
        <w:pStyle w:val="SH4"/>
      </w:pPr>
      <w:r>
        <w:t>cyclophosphamide</w:t>
      </w:r>
      <w:r w:rsidR="007506C5">
        <w:t>;</w:t>
      </w:r>
    </w:p>
    <w:p w:rsidR="00E15DAF" w:rsidRDefault="00E15DAF" w:rsidP="00E15DAF">
      <w:pPr>
        <w:pStyle w:val="SH4"/>
      </w:pPr>
      <w:r>
        <w:t>cyclosporine;</w:t>
      </w:r>
    </w:p>
    <w:p w:rsidR="00E15DAF" w:rsidRDefault="00E15DAF" w:rsidP="00E15DAF">
      <w:pPr>
        <w:pStyle w:val="SH4"/>
      </w:pPr>
      <w:r>
        <w:t xml:space="preserve">cytarabine/cytosine arabinoside; </w:t>
      </w:r>
    </w:p>
    <w:p w:rsidR="00E15DAF" w:rsidRDefault="00E15DAF" w:rsidP="00E15DAF">
      <w:pPr>
        <w:pStyle w:val="SH4"/>
      </w:pPr>
      <w:r>
        <w:t xml:space="preserve">dantrolene; </w:t>
      </w:r>
    </w:p>
    <w:p w:rsidR="00E15DAF" w:rsidRDefault="00E15DAF" w:rsidP="00E15DAF">
      <w:pPr>
        <w:pStyle w:val="SH4"/>
      </w:pPr>
      <w:r>
        <w:t>GM-CSF/granulocyte macrophage colony stimulating factor;</w:t>
      </w:r>
    </w:p>
    <w:p w:rsidR="00E15DAF" w:rsidRDefault="00E15DAF" w:rsidP="00E15DAF">
      <w:pPr>
        <w:pStyle w:val="SH4"/>
      </w:pPr>
      <w:proofErr w:type="spellStart"/>
      <w:r>
        <w:t>hydantoins</w:t>
      </w:r>
      <w:proofErr w:type="spellEnd"/>
      <w:r>
        <w:t>;</w:t>
      </w:r>
    </w:p>
    <w:p w:rsidR="00E15DAF" w:rsidRDefault="00E15DAF" w:rsidP="00E15DAF">
      <w:pPr>
        <w:pStyle w:val="SH4"/>
      </w:pPr>
      <w:r>
        <w:t>hydralazine;</w:t>
      </w:r>
    </w:p>
    <w:p w:rsidR="00E15DAF" w:rsidRDefault="00E15DAF" w:rsidP="00E15DAF">
      <w:pPr>
        <w:pStyle w:val="SH4"/>
      </w:pPr>
      <w:r>
        <w:t xml:space="preserve">immune checkpoint inhibitors including </w:t>
      </w:r>
      <w:proofErr w:type="spellStart"/>
      <w:r>
        <w:t>ipilimumab</w:t>
      </w:r>
      <w:proofErr w:type="spellEnd"/>
      <w:r>
        <w:t xml:space="preserve">, </w:t>
      </w:r>
      <w:proofErr w:type="spellStart"/>
      <w:r>
        <w:t>nivolumab</w:t>
      </w:r>
      <w:proofErr w:type="spellEnd"/>
      <w:r>
        <w:t xml:space="preserve">, </w:t>
      </w:r>
      <w:proofErr w:type="spellStart"/>
      <w:r>
        <w:t>pembrolizumab</w:t>
      </w:r>
      <w:proofErr w:type="spellEnd"/>
      <w:r>
        <w:t xml:space="preserve">, </w:t>
      </w:r>
      <w:proofErr w:type="spellStart"/>
      <w:r>
        <w:t>atexolizumab</w:t>
      </w:r>
      <w:proofErr w:type="spellEnd"/>
      <w:r>
        <w:t xml:space="preserve">, </w:t>
      </w:r>
      <w:proofErr w:type="spellStart"/>
      <w:r>
        <w:t>avelumab</w:t>
      </w:r>
      <w:proofErr w:type="spellEnd"/>
      <w:r>
        <w:t xml:space="preserve">, </w:t>
      </w:r>
      <w:proofErr w:type="spellStart"/>
      <w:r>
        <w:t>dostarlimab</w:t>
      </w:r>
      <w:proofErr w:type="spellEnd"/>
      <w:r>
        <w:t xml:space="preserve">, and </w:t>
      </w:r>
      <w:proofErr w:type="spellStart"/>
      <w:r>
        <w:t>durvalumab</w:t>
      </w:r>
      <w:proofErr w:type="spellEnd"/>
      <w:r>
        <w:t>;</w:t>
      </w:r>
    </w:p>
    <w:p w:rsidR="00E15DAF" w:rsidRDefault="00E15DAF" w:rsidP="00E15DAF">
      <w:pPr>
        <w:pStyle w:val="SH4"/>
      </w:pPr>
      <w:proofErr w:type="spellStart"/>
      <w:r>
        <w:t>intravesicular</w:t>
      </w:r>
      <w:proofErr w:type="spellEnd"/>
      <w:r>
        <w:t xml:space="preserve"> BCG; </w:t>
      </w:r>
    </w:p>
    <w:p w:rsidR="00E15DAF" w:rsidRDefault="00E15DAF" w:rsidP="00E15DAF">
      <w:pPr>
        <w:pStyle w:val="SH4"/>
      </w:pPr>
      <w:r>
        <w:t>isoniazid;</w:t>
      </w:r>
    </w:p>
    <w:p w:rsidR="00E15DAF" w:rsidRDefault="00E15DAF" w:rsidP="00E15DAF">
      <w:pPr>
        <w:pStyle w:val="SH4"/>
      </w:pPr>
      <w:r>
        <w:t>mesalazine/mesalamine/5-aminosalicylic acid;</w:t>
      </w:r>
    </w:p>
    <w:p w:rsidR="00E15DAF" w:rsidRDefault="00E15DAF" w:rsidP="00E15DAF">
      <w:pPr>
        <w:pStyle w:val="SH4"/>
      </w:pPr>
      <w:r>
        <w:t>methyldopa;</w:t>
      </w:r>
    </w:p>
    <w:p w:rsidR="00E15DAF" w:rsidRDefault="00E15DAF" w:rsidP="00E15DAF">
      <w:pPr>
        <w:pStyle w:val="SH4"/>
      </w:pPr>
      <w:r>
        <w:t>methysergide;</w:t>
      </w:r>
    </w:p>
    <w:p w:rsidR="00E15DAF" w:rsidRDefault="00E15DAF" w:rsidP="00E15DAF">
      <w:pPr>
        <w:pStyle w:val="SH4"/>
      </w:pPr>
      <w:r>
        <w:t>minoxidil;</w:t>
      </w:r>
    </w:p>
    <w:p w:rsidR="00E15DAF" w:rsidRDefault="00E15DAF" w:rsidP="00E15DAF">
      <w:pPr>
        <w:pStyle w:val="SH4"/>
      </w:pPr>
      <w:r>
        <w:t>penicillins;</w:t>
      </w:r>
    </w:p>
    <w:p w:rsidR="00E15DAF" w:rsidRDefault="00E15DAF" w:rsidP="00E15DAF">
      <w:pPr>
        <w:pStyle w:val="SH4"/>
      </w:pPr>
      <w:r>
        <w:t>pergolide;</w:t>
      </w:r>
    </w:p>
    <w:p w:rsidR="00E15DAF" w:rsidRDefault="00E15DAF" w:rsidP="00E15DAF">
      <w:pPr>
        <w:pStyle w:val="SH4"/>
      </w:pPr>
      <w:r>
        <w:t>phenylbutazone;</w:t>
      </w:r>
    </w:p>
    <w:p w:rsidR="00E15DAF" w:rsidRDefault="00E15DAF" w:rsidP="00E15DAF">
      <w:pPr>
        <w:pStyle w:val="SH4"/>
      </w:pPr>
      <w:r>
        <w:t>phenytoin;</w:t>
      </w:r>
    </w:p>
    <w:p w:rsidR="00E15DAF" w:rsidRDefault="00E15DAF" w:rsidP="00E15DAF">
      <w:pPr>
        <w:pStyle w:val="SH4"/>
      </w:pPr>
      <w:r>
        <w:t>practolol;</w:t>
      </w:r>
    </w:p>
    <w:p w:rsidR="00E15DAF" w:rsidRDefault="00E15DAF" w:rsidP="00E15DAF">
      <w:pPr>
        <w:pStyle w:val="SH4"/>
      </w:pPr>
      <w:r>
        <w:t>procainamide;</w:t>
      </w:r>
    </w:p>
    <w:p w:rsidR="00E15DAF" w:rsidRDefault="00E15DAF" w:rsidP="00E15DAF">
      <w:pPr>
        <w:pStyle w:val="SH4"/>
      </w:pPr>
      <w:r>
        <w:t>psicofuranine;</w:t>
      </w:r>
    </w:p>
    <w:p w:rsidR="00E15DAF" w:rsidRDefault="00E15DAF" w:rsidP="00E15DAF">
      <w:pPr>
        <w:pStyle w:val="SH4"/>
      </w:pPr>
      <w:r>
        <w:t>reserpine;</w:t>
      </w:r>
    </w:p>
    <w:p w:rsidR="00E15DAF" w:rsidRDefault="00E15DAF" w:rsidP="00E15DAF">
      <w:pPr>
        <w:pStyle w:val="SH4"/>
      </w:pPr>
      <w:r>
        <w:t>rifampicin;</w:t>
      </w:r>
    </w:p>
    <w:p w:rsidR="00E15DAF" w:rsidRDefault="00E15DAF" w:rsidP="00E15DAF">
      <w:pPr>
        <w:pStyle w:val="SH4"/>
      </w:pPr>
      <w:r>
        <w:t>Streptokinase;</w:t>
      </w:r>
    </w:p>
    <w:p w:rsidR="00E15DAF" w:rsidRDefault="00E15DAF" w:rsidP="00E15DAF">
      <w:pPr>
        <w:pStyle w:val="SH4"/>
      </w:pPr>
      <w:r>
        <w:t>streptomycin;</w:t>
      </w:r>
    </w:p>
    <w:p w:rsidR="00E15DAF" w:rsidRDefault="00E15DAF" w:rsidP="00E15DAF">
      <w:pPr>
        <w:pStyle w:val="SH4"/>
      </w:pPr>
      <w:proofErr w:type="spellStart"/>
      <w:r>
        <w:t>sulfa</w:t>
      </w:r>
      <w:proofErr w:type="spellEnd"/>
      <w:r>
        <w:t xml:space="preserve"> drugs;</w:t>
      </w:r>
    </w:p>
    <w:p w:rsidR="00E15DAF" w:rsidRDefault="00E15DAF" w:rsidP="00E15DAF">
      <w:pPr>
        <w:pStyle w:val="SH4"/>
      </w:pPr>
      <w:r>
        <w:t>thiazides;</w:t>
      </w:r>
    </w:p>
    <w:p w:rsidR="00E15DAF" w:rsidRDefault="00E15DAF" w:rsidP="00E15DAF">
      <w:pPr>
        <w:pStyle w:val="SH4"/>
      </w:pPr>
      <w:r>
        <w:t>thrombolytic agents;</w:t>
      </w:r>
    </w:p>
    <w:p w:rsidR="00E15DAF" w:rsidRDefault="00E15DAF" w:rsidP="00E15DAF">
      <w:pPr>
        <w:pStyle w:val="SH4"/>
      </w:pPr>
      <w:r>
        <w:lastRenderedPageBreak/>
        <w:t>tocainide;</w:t>
      </w:r>
    </w:p>
    <w:p w:rsidR="00E15DAF" w:rsidRDefault="00E15DAF" w:rsidP="00E15DAF">
      <w:pPr>
        <w:pStyle w:val="SH4"/>
      </w:pPr>
      <w:r>
        <w:t>tryptophan;</w:t>
      </w:r>
    </w:p>
    <w:p w:rsidR="00E15DAF" w:rsidRDefault="00E15DAF" w:rsidP="00E15DAF">
      <w:pPr>
        <w:pStyle w:val="SH4"/>
      </w:pPr>
      <w:r>
        <w:t>tumour necrosis alpha antagonists; or</w:t>
      </w:r>
    </w:p>
    <w:p w:rsidR="00E15DAF" w:rsidRDefault="00E15DAF" w:rsidP="00E15DAF">
      <w:pPr>
        <w:pStyle w:val="SH4"/>
      </w:pPr>
      <w:proofErr w:type="gramStart"/>
      <w:r>
        <w:t>tyrosine</w:t>
      </w:r>
      <w:proofErr w:type="gramEnd"/>
      <w:r>
        <w:t xml:space="preserve"> kinase inhibitors.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E15DAF" w:rsidRPr="00E15DAF" w:rsidRDefault="00E15DAF" w:rsidP="00E15DAF">
      <w:pPr>
        <w:pStyle w:val="SH3"/>
      </w:pPr>
      <w:proofErr w:type="gramStart"/>
      <w:r w:rsidRPr="00E15DAF">
        <w:rPr>
          <w:b/>
          <w:i/>
        </w:rPr>
        <w:t>pericarditis</w:t>
      </w:r>
      <w:r w:rsidRPr="00E15DAF">
        <w:t>—</w:t>
      </w:r>
      <w:proofErr w:type="gramEnd"/>
      <w:r w:rsidRPr="00E15DAF">
        <w:t>see subsection 6(2).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970E5E" w:rsidRPr="00513D05" w:rsidRDefault="00970E5E" w:rsidP="00C71759">
      <w:pPr>
        <w:pStyle w:val="ScheduleNote"/>
      </w:pPr>
      <w:r>
        <w:t xml:space="preserve">Note: </w:t>
      </w:r>
      <w:r>
        <w:rPr>
          <w:b/>
          <w:i/>
        </w:rPr>
        <w:t>MRCA</w:t>
      </w:r>
      <w:r w:rsidRPr="00DE72B1">
        <w:t xml:space="preserve"> </w:t>
      </w:r>
      <w:r w:rsidRPr="00D3768C">
        <w:t>and</w:t>
      </w:r>
      <w:r w:rsidRPr="00DE72B1">
        <w:t xml:space="preserve"> </w:t>
      </w:r>
      <w:r>
        <w:rPr>
          <w:b/>
          <w:i/>
        </w:rPr>
        <w:t>VEA</w:t>
      </w:r>
      <w:r w:rsidR="006D635F">
        <w:t xml:space="preserve"> are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5" w:name="_GoBack"/>
      <w:bookmarkEnd w:id="35"/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F2479C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2479C">
            <w:rPr>
              <w:i/>
              <w:sz w:val="18"/>
              <w:szCs w:val="18"/>
            </w:rPr>
            <w:t>Pericarditis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F2479C">
            <w:rPr>
              <w:i/>
              <w:sz w:val="18"/>
              <w:szCs w:val="18"/>
            </w:rPr>
            <w:t>91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F2479C">
            <w:rPr>
              <w:i/>
              <w:sz w:val="18"/>
              <w:szCs w:val="18"/>
            </w:rPr>
            <w:t>2023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D0F1C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D0F1C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35BD7" w:rsidRDefault="00F03C06" w:rsidP="0003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E33C1C" w:rsidRDefault="00035BD7" w:rsidP="00035B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35BD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Default="00035BD7" w:rsidP="00035BD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35BD7" w:rsidRDefault="00F2479C" w:rsidP="00035BD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2479C">
            <w:rPr>
              <w:i/>
              <w:sz w:val="18"/>
              <w:szCs w:val="18"/>
            </w:rPr>
            <w:t>Pericarditis</w:t>
          </w:r>
          <w:r w:rsidR="00035BD7">
            <w:rPr>
              <w:i/>
              <w:sz w:val="18"/>
              <w:szCs w:val="18"/>
            </w:rPr>
            <w:t xml:space="preserve"> (Balance of Probabilities) </w:t>
          </w:r>
          <w:r w:rsidR="00035BD7" w:rsidRPr="007C5CE0">
            <w:rPr>
              <w:i/>
              <w:sz w:val="18"/>
            </w:rPr>
            <w:t xml:space="preserve">(No. </w:t>
          </w:r>
          <w:r w:rsidRPr="00F2479C">
            <w:rPr>
              <w:i/>
              <w:sz w:val="18"/>
              <w:szCs w:val="18"/>
            </w:rPr>
            <w:t>91</w:t>
          </w:r>
          <w:r w:rsidR="00035BD7" w:rsidRPr="007C5CE0">
            <w:rPr>
              <w:i/>
              <w:sz w:val="18"/>
              <w:szCs w:val="18"/>
            </w:rPr>
            <w:t xml:space="preserve"> of </w:t>
          </w:r>
          <w:r w:rsidRPr="00F2479C">
            <w:rPr>
              <w:i/>
              <w:sz w:val="18"/>
              <w:szCs w:val="18"/>
            </w:rPr>
            <w:t>2023</w:t>
          </w:r>
          <w:r w:rsidR="00035BD7" w:rsidRPr="007C5CE0">
            <w:rPr>
              <w:i/>
              <w:sz w:val="18"/>
              <w:szCs w:val="18"/>
            </w:rPr>
            <w:t>)</w:t>
          </w:r>
        </w:p>
        <w:p w:rsidR="00035BD7" w:rsidRPr="007C5CE0" w:rsidRDefault="00035BD7" w:rsidP="00035BD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35BD7" w:rsidRPr="00C01863" w:rsidRDefault="00035BD7" w:rsidP="00035BD7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D0F1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D0F1C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035BD7" w:rsidRDefault="00035BD7" w:rsidP="0003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D7" w:rsidRPr="00C47DCC" w:rsidRDefault="00035BD7" w:rsidP="00C47DCC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C" w:rsidRDefault="007D20DC" w:rsidP="007D20DC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D20DC" w:rsidRDefault="007D20DC" w:rsidP="007D20DC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35BD7" w:rsidRDefault="00885EAB" w:rsidP="00035BD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B54D10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5BD7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53F6"/>
    <w:rsid w:val="000C664A"/>
    <w:rsid w:val="000C6D96"/>
    <w:rsid w:val="000D05EF"/>
    <w:rsid w:val="000D0F1C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7000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51E6"/>
    <w:rsid w:val="001D67F6"/>
    <w:rsid w:val="001E3590"/>
    <w:rsid w:val="001E44BE"/>
    <w:rsid w:val="001E4EF7"/>
    <w:rsid w:val="001E7407"/>
    <w:rsid w:val="001F5D5E"/>
    <w:rsid w:val="001F6219"/>
    <w:rsid w:val="001F6CD4"/>
    <w:rsid w:val="00204FAB"/>
    <w:rsid w:val="00206C4D"/>
    <w:rsid w:val="0021053C"/>
    <w:rsid w:val="00214488"/>
    <w:rsid w:val="00215860"/>
    <w:rsid w:val="00215AF1"/>
    <w:rsid w:val="002204DB"/>
    <w:rsid w:val="00223629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AAF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23E"/>
    <w:rsid w:val="002C7539"/>
    <w:rsid w:val="002D043A"/>
    <w:rsid w:val="002D2AA2"/>
    <w:rsid w:val="002D6224"/>
    <w:rsid w:val="002E35CD"/>
    <w:rsid w:val="002E3F4B"/>
    <w:rsid w:val="002E59C0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4005"/>
    <w:rsid w:val="00356690"/>
    <w:rsid w:val="00360459"/>
    <w:rsid w:val="00365E25"/>
    <w:rsid w:val="003734C6"/>
    <w:rsid w:val="003771F2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37D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B52"/>
    <w:rsid w:val="00456CE5"/>
    <w:rsid w:val="00467661"/>
    <w:rsid w:val="004705B7"/>
    <w:rsid w:val="00472086"/>
    <w:rsid w:val="00472DBE"/>
    <w:rsid w:val="00474A19"/>
    <w:rsid w:val="004834A1"/>
    <w:rsid w:val="004840A6"/>
    <w:rsid w:val="0048486E"/>
    <w:rsid w:val="004916B9"/>
    <w:rsid w:val="00494BB4"/>
    <w:rsid w:val="00496F97"/>
    <w:rsid w:val="004A4764"/>
    <w:rsid w:val="004A5E4B"/>
    <w:rsid w:val="004C2F25"/>
    <w:rsid w:val="004C6AE8"/>
    <w:rsid w:val="004C6D55"/>
    <w:rsid w:val="004D10CF"/>
    <w:rsid w:val="004D4BCA"/>
    <w:rsid w:val="004E063A"/>
    <w:rsid w:val="004E7BEC"/>
    <w:rsid w:val="004F23E0"/>
    <w:rsid w:val="00505D3D"/>
    <w:rsid w:val="00505F6E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BD5"/>
    <w:rsid w:val="005E7FC2"/>
    <w:rsid w:val="00600219"/>
    <w:rsid w:val="006013B7"/>
    <w:rsid w:val="00603D01"/>
    <w:rsid w:val="00603DC4"/>
    <w:rsid w:val="0061476C"/>
    <w:rsid w:val="00615B89"/>
    <w:rsid w:val="00616FF5"/>
    <w:rsid w:val="00617C4E"/>
    <w:rsid w:val="00620076"/>
    <w:rsid w:val="006314DD"/>
    <w:rsid w:val="00643F11"/>
    <w:rsid w:val="006466F2"/>
    <w:rsid w:val="006516BD"/>
    <w:rsid w:val="0066266D"/>
    <w:rsid w:val="006647B7"/>
    <w:rsid w:val="00667A4E"/>
    <w:rsid w:val="00670EA1"/>
    <w:rsid w:val="00677643"/>
    <w:rsid w:val="00677CC2"/>
    <w:rsid w:val="006840B0"/>
    <w:rsid w:val="00684C0E"/>
    <w:rsid w:val="006905DE"/>
    <w:rsid w:val="0069207B"/>
    <w:rsid w:val="00693F5A"/>
    <w:rsid w:val="00695023"/>
    <w:rsid w:val="006B5789"/>
    <w:rsid w:val="006C30C5"/>
    <w:rsid w:val="006C4E18"/>
    <w:rsid w:val="006C7F8C"/>
    <w:rsid w:val="006D635F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68F9"/>
    <w:rsid w:val="00727B4E"/>
    <w:rsid w:val="007310AD"/>
    <w:rsid w:val="00731E00"/>
    <w:rsid w:val="00733269"/>
    <w:rsid w:val="00741718"/>
    <w:rsid w:val="00741BDE"/>
    <w:rsid w:val="007440B7"/>
    <w:rsid w:val="007500C8"/>
    <w:rsid w:val="007506C5"/>
    <w:rsid w:val="007527C1"/>
    <w:rsid w:val="007534B2"/>
    <w:rsid w:val="00756272"/>
    <w:rsid w:val="00757544"/>
    <w:rsid w:val="007600D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09CC"/>
    <w:rsid w:val="007C2253"/>
    <w:rsid w:val="007C5353"/>
    <w:rsid w:val="007C5CE0"/>
    <w:rsid w:val="007C7DEE"/>
    <w:rsid w:val="007D20DC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69C7"/>
    <w:rsid w:val="00947D5A"/>
    <w:rsid w:val="009532A5"/>
    <w:rsid w:val="00956922"/>
    <w:rsid w:val="009612CF"/>
    <w:rsid w:val="00965B1F"/>
    <w:rsid w:val="00970E5E"/>
    <w:rsid w:val="009724F4"/>
    <w:rsid w:val="00973808"/>
    <w:rsid w:val="00982242"/>
    <w:rsid w:val="00984EE9"/>
    <w:rsid w:val="00985EC2"/>
    <w:rsid w:val="009868E9"/>
    <w:rsid w:val="00997416"/>
    <w:rsid w:val="009B5A4E"/>
    <w:rsid w:val="009B7729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39D8"/>
    <w:rsid w:val="00A86FBC"/>
    <w:rsid w:val="00A931D7"/>
    <w:rsid w:val="00AA64D6"/>
    <w:rsid w:val="00AA6D8B"/>
    <w:rsid w:val="00AA7CA8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15E3"/>
    <w:rsid w:val="00B33709"/>
    <w:rsid w:val="00B33B3C"/>
    <w:rsid w:val="00B40B23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0B5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5469"/>
    <w:rsid w:val="00C11D03"/>
    <w:rsid w:val="00C15950"/>
    <w:rsid w:val="00C25E7F"/>
    <w:rsid w:val="00C2746F"/>
    <w:rsid w:val="00C324A0"/>
    <w:rsid w:val="00C3300F"/>
    <w:rsid w:val="00C349C5"/>
    <w:rsid w:val="00C42BF8"/>
    <w:rsid w:val="00C47DCC"/>
    <w:rsid w:val="00C50043"/>
    <w:rsid w:val="00C571E9"/>
    <w:rsid w:val="00C5731E"/>
    <w:rsid w:val="00C7175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2C14"/>
    <w:rsid w:val="00CF3EE8"/>
    <w:rsid w:val="00D050E6"/>
    <w:rsid w:val="00D13441"/>
    <w:rsid w:val="00D150E7"/>
    <w:rsid w:val="00D32F65"/>
    <w:rsid w:val="00D32F71"/>
    <w:rsid w:val="00D3768C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E72B1"/>
    <w:rsid w:val="00DF24DC"/>
    <w:rsid w:val="00DF5291"/>
    <w:rsid w:val="00DF6D11"/>
    <w:rsid w:val="00E05704"/>
    <w:rsid w:val="00E11E44"/>
    <w:rsid w:val="00E15DAF"/>
    <w:rsid w:val="00E3270E"/>
    <w:rsid w:val="00E338EF"/>
    <w:rsid w:val="00E35C4E"/>
    <w:rsid w:val="00E50B14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479C"/>
    <w:rsid w:val="00F32BA8"/>
    <w:rsid w:val="00F349F1"/>
    <w:rsid w:val="00F4350D"/>
    <w:rsid w:val="00F567F7"/>
    <w:rsid w:val="00F62036"/>
    <w:rsid w:val="00F65B52"/>
    <w:rsid w:val="00F67B67"/>
    <w:rsid w:val="00F67BCA"/>
    <w:rsid w:val="00F7027E"/>
    <w:rsid w:val="00F737EA"/>
    <w:rsid w:val="00F73BD6"/>
    <w:rsid w:val="00F75B5F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61476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link w:val="NOTEChar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52B5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61476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7C5353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7C5353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C15950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C15950"/>
    <w:pPr>
      <w:ind w:hanging="510"/>
    </w:pPr>
  </w:style>
  <w:style w:type="character" w:customStyle="1" w:styleId="NOTEChar">
    <w:name w:val="NOTE Char"/>
    <w:basedOn w:val="DefaultParagraphFont"/>
    <w:link w:val="NOTE"/>
    <w:rsid w:val="00C15950"/>
    <w:rPr>
      <w:rFonts w:eastAsia="Times New Roman"/>
      <w:sz w:val="18"/>
    </w:rPr>
  </w:style>
  <w:style w:type="character" w:customStyle="1" w:styleId="Note1Char">
    <w:name w:val="Note 1 Char"/>
    <w:basedOn w:val="NOTEChar"/>
    <w:link w:val="Note1"/>
    <w:uiPriority w:val="2"/>
    <w:rsid w:val="00C15950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C15950"/>
    <w:pPr>
      <w:ind w:left="851" w:firstLine="0"/>
    </w:pPr>
  </w:style>
  <w:style w:type="character" w:customStyle="1" w:styleId="Note2Char">
    <w:name w:val="Note 2 Char"/>
    <w:basedOn w:val="NOTEChar"/>
    <w:link w:val="Note2"/>
    <w:uiPriority w:val="2"/>
    <w:rsid w:val="00C15950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C15950"/>
    <w:pPr>
      <w:ind w:left="2977" w:hanging="425"/>
    </w:pPr>
  </w:style>
  <w:style w:type="character" w:customStyle="1" w:styleId="ScheduleNoteChar">
    <w:name w:val="Schedule Note Char"/>
    <w:basedOn w:val="NOTEChar"/>
    <w:link w:val="ScheduleNote"/>
    <w:uiPriority w:val="2"/>
    <w:rsid w:val="00C15950"/>
    <w:rPr>
      <w:rFonts w:eastAsia="Times New Roman"/>
      <w:sz w:val="18"/>
    </w:rPr>
  </w:style>
  <w:style w:type="character" w:customStyle="1" w:styleId="Note3Char">
    <w:name w:val="Note 3 Char"/>
    <w:basedOn w:val="NOTEChar"/>
    <w:link w:val="Note3"/>
    <w:uiPriority w:val="2"/>
    <w:rsid w:val="00C15950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1881</Words>
  <Characters>10723</Characters>
  <Application>Microsoft Office Word</Application>
  <DocSecurity>0</DocSecurity>
  <PresentationFormat/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2023-09-05T02:10:00Z</dcterms:created>
  <dcterms:modified xsi:type="dcterms:W3CDTF">2023-11-01T05:15:00Z</dcterms:modified>
  <cp:category/>
  <cp:contentStatus/>
  <dc:language/>
  <cp:version/>
</cp:coreProperties>
</file>