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E346F" w:rsidP="006647B7">
      <w:pPr>
        <w:pStyle w:val="Plainheader"/>
      </w:pPr>
      <w:bookmarkStart w:id="0" w:name="SoP_Name_Title"/>
      <w:r>
        <w:t xml:space="preserve">CHRONIC OBSTRUCTIVE PULMONARY </w:t>
      </w:r>
      <w:proofErr w:type="gramStart"/>
      <w:r>
        <w:t>DISEASE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774AA7">
        <w:t>17</w:t>
      </w:r>
      <w:bookmarkEnd w:id="1"/>
      <w:r w:rsidRPr="00024911">
        <w:t xml:space="preserve"> of</w:t>
      </w:r>
      <w:r w:rsidR="00085567">
        <w:t xml:space="preserve"> </w:t>
      </w:r>
      <w:bookmarkStart w:id="2" w:name="year"/>
      <w:r w:rsidR="00EE346F">
        <w:t>202</w:t>
      </w:r>
      <w:r w:rsidR="00774AA7">
        <w:t>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774AA7">
        <w:rPr>
          <w:b w:val="0"/>
        </w:rPr>
        <w:t>27 February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t>Contents</w:t>
      </w:r>
    </w:p>
    <w:bookmarkStart w:id="3" w:name="BKCheck15B_2"/>
    <w:bookmarkEnd w:id="3"/>
    <w:p w:rsidR="00774AA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74AA7">
        <w:rPr>
          <w:noProof/>
        </w:rPr>
        <w:t>1</w:t>
      </w:r>
      <w:r w:rsidR="00774AA7">
        <w:rPr>
          <w:rFonts w:asciiTheme="minorHAnsi" w:eastAsiaTheme="minorEastAsia" w:hAnsiTheme="minorHAnsi" w:cstheme="minorBidi"/>
          <w:noProof/>
          <w:kern w:val="0"/>
          <w:sz w:val="22"/>
          <w:szCs w:val="22"/>
        </w:rPr>
        <w:tab/>
      </w:r>
      <w:r w:rsidR="00774AA7">
        <w:rPr>
          <w:noProof/>
        </w:rPr>
        <w:t>Name</w:t>
      </w:r>
      <w:r w:rsidR="00774AA7">
        <w:rPr>
          <w:noProof/>
        </w:rPr>
        <w:tab/>
      </w:r>
      <w:r w:rsidR="00774AA7">
        <w:rPr>
          <w:noProof/>
        </w:rPr>
        <w:fldChar w:fldCharType="begin"/>
      </w:r>
      <w:r w:rsidR="00774AA7">
        <w:rPr>
          <w:noProof/>
        </w:rPr>
        <w:instrText xml:space="preserve"> PAGEREF _Toc127530263 \h </w:instrText>
      </w:r>
      <w:r w:rsidR="00774AA7">
        <w:rPr>
          <w:noProof/>
        </w:rPr>
      </w:r>
      <w:r w:rsidR="00774AA7">
        <w:rPr>
          <w:noProof/>
        </w:rPr>
        <w:fldChar w:fldCharType="separate"/>
      </w:r>
      <w:r w:rsidR="00774AA7">
        <w:rPr>
          <w:noProof/>
        </w:rPr>
        <w:t>3</w:t>
      </w:r>
      <w:r w:rsidR="00774AA7">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_Toc127530264 \h </w:instrText>
      </w:r>
      <w:r>
        <w:rPr>
          <w:noProof/>
        </w:rPr>
      </w:r>
      <w:r>
        <w:rPr>
          <w:noProof/>
        </w:rPr>
        <w:fldChar w:fldCharType="separate"/>
      </w:r>
      <w:r>
        <w:rPr>
          <w:noProof/>
        </w:rPr>
        <w:t>3</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_Toc127530265 \h </w:instrText>
      </w:r>
      <w:r>
        <w:rPr>
          <w:noProof/>
        </w:rPr>
      </w:r>
      <w:r>
        <w:rPr>
          <w:noProof/>
        </w:rPr>
        <w:fldChar w:fldCharType="separate"/>
      </w:r>
      <w:r>
        <w:rPr>
          <w:noProof/>
        </w:rPr>
        <w:t>3</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_Toc127530266 \h </w:instrText>
      </w:r>
      <w:r>
        <w:rPr>
          <w:noProof/>
        </w:rPr>
      </w:r>
      <w:r>
        <w:rPr>
          <w:noProof/>
        </w:rPr>
        <w:fldChar w:fldCharType="separate"/>
      </w:r>
      <w:r>
        <w:rPr>
          <w:noProof/>
        </w:rPr>
        <w:t>3</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_Toc127530267 \h </w:instrText>
      </w:r>
      <w:r>
        <w:rPr>
          <w:noProof/>
        </w:rPr>
      </w:r>
      <w:r>
        <w:rPr>
          <w:noProof/>
        </w:rPr>
        <w:fldChar w:fldCharType="separate"/>
      </w:r>
      <w:r>
        <w:rPr>
          <w:noProof/>
        </w:rPr>
        <w:t>3</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_Toc127530268 \h </w:instrText>
      </w:r>
      <w:r>
        <w:rPr>
          <w:noProof/>
        </w:rPr>
      </w:r>
      <w:r>
        <w:rPr>
          <w:noProof/>
        </w:rPr>
        <w:fldChar w:fldCharType="separate"/>
      </w:r>
      <w:r>
        <w:rPr>
          <w:noProof/>
        </w:rPr>
        <w:t>3</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_Toc127530269 \h </w:instrText>
      </w:r>
      <w:r>
        <w:rPr>
          <w:noProof/>
        </w:rPr>
      </w:r>
      <w:r>
        <w:rPr>
          <w:noProof/>
        </w:rPr>
        <w:fldChar w:fldCharType="separate"/>
      </w:r>
      <w:r>
        <w:rPr>
          <w:noProof/>
        </w:rPr>
        <w:t>3</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_Toc127530270 \h </w:instrText>
      </w:r>
      <w:r>
        <w:rPr>
          <w:noProof/>
        </w:rPr>
      </w:r>
      <w:r>
        <w:rPr>
          <w:noProof/>
        </w:rPr>
        <w:fldChar w:fldCharType="separate"/>
      </w:r>
      <w:r>
        <w:rPr>
          <w:noProof/>
        </w:rPr>
        <w:t>4</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_Toc127530271 \h </w:instrText>
      </w:r>
      <w:r>
        <w:rPr>
          <w:noProof/>
        </w:rPr>
      </w:r>
      <w:r>
        <w:rPr>
          <w:noProof/>
        </w:rPr>
        <w:fldChar w:fldCharType="separate"/>
      </w:r>
      <w:r>
        <w:rPr>
          <w:noProof/>
        </w:rPr>
        <w:t>4</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_Toc127530272 \h </w:instrText>
      </w:r>
      <w:r>
        <w:rPr>
          <w:noProof/>
        </w:rPr>
      </w:r>
      <w:r>
        <w:rPr>
          <w:noProof/>
        </w:rPr>
        <w:fldChar w:fldCharType="separate"/>
      </w:r>
      <w:r>
        <w:rPr>
          <w:noProof/>
        </w:rPr>
        <w:t>9</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_Toc127530273 \h </w:instrText>
      </w:r>
      <w:r>
        <w:rPr>
          <w:noProof/>
        </w:rPr>
      </w:r>
      <w:r>
        <w:rPr>
          <w:noProof/>
        </w:rPr>
        <w:fldChar w:fldCharType="separate"/>
      </w:r>
      <w:r>
        <w:rPr>
          <w:noProof/>
        </w:rPr>
        <w:t>9</w:t>
      </w:r>
      <w:r>
        <w:rPr>
          <w:noProof/>
        </w:rPr>
        <w:fldChar w:fldCharType="end"/>
      </w:r>
    </w:p>
    <w:p w:rsidR="00774AA7" w:rsidRDefault="00774AA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_Toc127530274 \h </w:instrText>
      </w:r>
      <w:r>
        <w:rPr>
          <w:noProof/>
        </w:rPr>
      </w:r>
      <w:r>
        <w:rPr>
          <w:noProof/>
        </w:rPr>
        <w:fldChar w:fldCharType="separate"/>
      </w:r>
      <w:r>
        <w:rPr>
          <w:noProof/>
        </w:rPr>
        <w:t>10</w:t>
      </w:r>
      <w:r>
        <w:rPr>
          <w:noProof/>
        </w:rPr>
        <w:fldChar w:fldCharType="end"/>
      </w:r>
    </w:p>
    <w:p w:rsidR="00774AA7" w:rsidRDefault="00774AA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_Toc127530275 \h </w:instrText>
      </w:r>
      <w:r>
        <w:rPr>
          <w:noProof/>
        </w:rPr>
      </w:r>
      <w:r>
        <w:rPr>
          <w:noProof/>
        </w:rPr>
        <w:fldChar w:fldCharType="separate"/>
      </w:r>
      <w:r>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bookmarkStart w:id="4" w:name="_GoBack"/>
      <w:bookmarkEnd w:id="4"/>
    </w:p>
    <w:p w:rsidR="00877AE3" w:rsidRDefault="00877AE3" w:rsidP="00253D7C">
      <w:pPr>
        <w:pStyle w:val="LV1"/>
      </w:pPr>
      <w:bookmarkStart w:id="5" w:name="_Toc127530263"/>
      <w:r>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EE346F">
        <w:rPr>
          <w:i/>
        </w:rPr>
        <w:t>chronic obstructive pulmonary disease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774AA7">
        <w:t>17</w:t>
      </w:r>
      <w:r w:rsidR="00085567">
        <w:t xml:space="preserve"> </w:t>
      </w:r>
      <w:r w:rsidR="00E55F66" w:rsidRPr="00F97A62">
        <w:t>of</w:t>
      </w:r>
      <w:r w:rsidR="00085567">
        <w:t xml:space="preserve"> </w:t>
      </w:r>
      <w:r w:rsidR="00774AA7">
        <w:t>2023</w:t>
      </w:r>
      <w:r w:rsidR="00E55F66" w:rsidRPr="00F97A62">
        <w:t>)</w:t>
      </w:r>
      <w:r w:rsidRPr="00F97A62">
        <w:t>.</w:t>
      </w:r>
    </w:p>
    <w:p w:rsidR="00F67B67" w:rsidRPr="00684C0E" w:rsidRDefault="00F67B67" w:rsidP="00253D7C">
      <w:pPr>
        <w:pStyle w:val="LV1"/>
      </w:pPr>
      <w:bookmarkStart w:id="8" w:name="_Toc127530264"/>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774AA7" w:rsidRPr="00774AA7">
        <w:t>27 March 2023</w:t>
      </w:r>
      <w:r w:rsidR="00F67B67" w:rsidRPr="007527C1">
        <w:t>.</w:t>
      </w:r>
    </w:p>
    <w:p w:rsidR="00F67B67" w:rsidRPr="00684C0E" w:rsidRDefault="00F67B67" w:rsidP="00253D7C">
      <w:pPr>
        <w:pStyle w:val="LV1"/>
      </w:pPr>
      <w:bookmarkStart w:id="9" w:name="_Toc127530265"/>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127530266"/>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774AA7" w:rsidRPr="00774AA7">
        <w:t>chronic obstructive pulmonary disease</w:t>
      </w:r>
      <w:r w:rsidR="00EE346F">
        <w:t xml:space="preserve"> No. 37</w:t>
      </w:r>
      <w:r w:rsidRPr="00DA3996">
        <w:t xml:space="preserve"> of</w:t>
      </w:r>
      <w:r w:rsidR="00EE346F">
        <w:t xml:space="preserve"> 2014</w:t>
      </w:r>
      <w:r w:rsidR="005962C4">
        <w:t xml:space="preserve"> </w:t>
      </w:r>
      <w:r w:rsidR="005962C4" w:rsidRPr="00786DAE">
        <w:t>(Federal Re</w:t>
      </w:r>
      <w:r w:rsidR="00EE346F">
        <w:t>gister of Legislation No. F2014L00472</w:t>
      </w:r>
      <w:r w:rsidR="005962C4" w:rsidRPr="00786DAE">
        <w:t xml:space="preserve">) </w:t>
      </w:r>
      <w:r w:rsidR="00EE346F">
        <w:t xml:space="preserve">made under subsections </w:t>
      </w:r>
      <w:proofErr w:type="gramStart"/>
      <w:r w:rsidR="00EE346F">
        <w:t>196B(</w:t>
      </w:r>
      <w:proofErr w:type="gramEnd"/>
      <w:r w:rsidR="00EE346F">
        <w:t xml:space="preserve">2) </w:t>
      </w:r>
      <w:r w:rsidR="005962C4" w:rsidRPr="00DA3996">
        <w:t xml:space="preserve">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127530267"/>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127530268"/>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12753026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774AA7" w:rsidRPr="00774AA7">
        <w:t>chronic obstructive pulmonary disease</w:t>
      </w:r>
      <w:r w:rsidR="00D5620B" w:rsidRPr="002F77A1">
        <w:t xml:space="preserve"> </w:t>
      </w:r>
      <w:r w:rsidRPr="002F77A1">
        <w:t>and death</w:t>
      </w:r>
      <w:r w:rsidRPr="00D5620B">
        <w:t xml:space="preserve"> from</w:t>
      </w:r>
      <w:r w:rsidR="002F77A1">
        <w:t xml:space="preserve"> </w:t>
      </w:r>
      <w:r w:rsidR="00774AA7" w:rsidRPr="00774AA7">
        <w:t>chronic obstructive pulmonary disease</w:t>
      </w:r>
      <w:r w:rsidRPr="00D5620B">
        <w:t>.</w:t>
      </w:r>
      <w:bookmarkEnd w:id="18"/>
    </w:p>
    <w:p w:rsidR="00215860" w:rsidRPr="00C670B0" w:rsidRDefault="00215860" w:rsidP="00C670B0">
      <w:pPr>
        <w:pStyle w:val="LVtext"/>
      </w:pPr>
      <w:r w:rsidRPr="00C670B0">
        <w:t>Meaning of</w:t>
      </w:r>
      <w:r w:rsidR="00D60FC8" w:rsidRPr="00C670B0">
        <w:t xml:space="preserve"> </w:t>
      </w:r>
      <w:r w:rsidR="00774AA7" w:rsidRPr="00774AA7">
        <w:rPr>
          <w:b/>
        </w:rPr>
        <w:t>chronic obstructive pulmonary disease</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774AA7" w:rsidRPr="00774AA7">
        <w:t>chronic obstructive pulmonary disease</w:t>
      </w:r>
      <w:r w:rsidR="002716E4" w:rsidRPr="00237BAF">
        <w:t>:</w:t>
      </w:r>
      <w:bookmarkEnd w:id="19"/>
    </w:p>
    <w:bookmarkEnd w:id="20"/>
    <w:p w:rsidR="001C6493" w:rsidRDefault="001C6493" w:rsidP="001C6493">
      <w:pPr>
        <w:pStyle w:val="LV3"/>
      </w:pPr>
      <w:r>
        <w:t xml:space="preserve">means a chronic progressive inflammatory pathology occurring with different proportions of involvement of the airways, lung parenchyma and vasculature; and </w:t>
      </w:r>
    </w:p>
    <w:p w:rsidR="001C6493" w:rsidRDefault="001C6493" w:rsidP="001C6493">
      <w:pPr>
        <w:pStyle w:val="LV3"/>
      </w:pPr>
      <w:r>
        <w:t>includes:</w:t>
      </w:r>
    </w:p>
    <w:p w:rsidR="001C6493" w:rsidRDefault="001C6493" w:rsidP="001C6493">
      <w:pPr>
        <w:pStyle w:val="LV4"/>
      </w:pPr>
      <w:r>
        <w:t xml:space="preserve"> chronic bronchitis;</w:t>
      </w:r>
    </w:p>
    <w:p w:rsidR="001C6493" w:rsidRDefault="001C6493" w:rsidP="001C6493">
      <w:pPr>
        <w:pStyle w:val="LV4"/>
      </w:pPr>
      <w:r>
        <w:t xml:space="preserve"> emphysema; and </w:t>
      </w:r>
    </w:p>
    <w:p w:rsidR="001C6493" w:rsidRDefault="001C6493" w:rsidP="001C6493">
      <w:pPr>
        <w:pStyle w:val="LV4"/>
      </w:pPr>
      <w:r>
        <w:t xml:space="preserve"> persistent airflow limitation; and</w:t>
      </w:r>
    </w:p>
    <w:p w:rsidR="001C6493" w:rsidRDefault="001C6493" w:rsidP="001C6493">
      <w:pPr>
        <w:pStyle w:val="LV3"/>
      </w:pPr>
      <w:r>
        <w:t>excludes:</w:t>
      </w:r>
    </w:p>
    <w:p w:rsidR="001C6493" w:rsidRDefault="001C6493" w:rsidP="001C6493">
      <w:pPr>
        <w:pStyle w:val="LV4"/>
      </w:pPr>
      <w:r>
        <w:t xml:space="preserve">asbestosis; </w:t>
      </w:r>
    </w:p>
    <w:p w:rsidR="001C6493" w:rsidRDefault="001C6493" w:rsidP="001C6493">
      <w:pPr>
        <w:pStyle w:val="LV4"/>
      </w:pPr>
      <w:r>
        <w:t>asthma;</w:t>
      </w:r>
    </w:p>
    <w:p w:rsidR="001C6493" w:rsidRDefault="001C6493" w:rsidP="001C6493">
      <w:pPr>
        <w:pStyle w:val="LV4"/>
      </w:pPr>
      <w:r>
        <w:t>bronchiectasis;</w:t>
      </w:r>
    </w:p>
    <w:p w:rsidR="001C6493" w:rsidRDefault="001C6493" w:rsidP="001C6493">
      <w:pPr>
        <w:pStyle w:val="LV4"/>
      </w:pPr>
      <w:r>
        <w:t>bronchiolitis obliterans;</w:t>
      </w:r>
    </w:p>
    <w:p w:rsidR="001C6493" w:rsidRDefault="001C6493" w:rsidP="001C6493">
      <w:pPr>
        <w:pStyle w:val="LV4"/>
      </w:pPr>
      <w:r>
        <w:t>fibrosing interstitial lung disease and other fibrosing lung disease;</w:t>
      </w:r>
    </w:p>
    <w:p w:rsidR="001C6493" w:rsidRDefault="001C6493" w:rsidP="001C6493">
      <w:pPr>
        <w:pStyle w:val="LV4"/>
      </w:pPr>
      <w:r>
        <w:t xml:space="preserve">hypersensitivity pneumonitis (extrinsic allergic </w:t>
      </w:r>
      <w:proofErr w:type="spellStart"/>
      <w:r>
        <w:t>alveolitis</w:t>
      </w:r>
      <w:proofErr w:type="spellEnd"/>
      <w:r>
        <w:t>); and</w:t>
      </w:r>
    </w:p>
    <w:p w:rsidR="001C6493" w:rsidRDefault="001C6493" w:rsidP="001C6493">
      <w:pPr>
        <w:pStyle w:val="LV4"/>
      </w:pPr>
      <w:proofErr w:type="gramStart"/>
      <w:r>
        <w:t>surgical</w:t>
      </w:r>
      <w:proofErr w:type="gramEnd"/>
      <w:r>
        <w:t>, traumatic or localised emphysema.</w:t>
      </w:r>
    </w:p>
    <w:p w:rsidR="00253D7C" w:rsidRPr="00C15950" w:rsidRDefault="00253D7C" w:rsidP="001C6493">
      <w:pPr>
        <w:pStyle w:val="Note1"/>
        <w:ind w:left="0"/>
      </w:pPr>
    </w:p>
    <w:p w:rsidR="001C6493" w:rsidRDefault="001C6493" w:rsidP="00387517">
      <w:pPr>
        <w:pStyle w:val="Note2"/>
      </w:pPr>
      <w:r>
        <w:t>Note 1: Symptoms of chronic obstructive pulmonary disease include dy</w:t>
      </w:r>
      <w:r w:rsidR="008D23B9">
        <w:t>spnoea, cough and the production</w:t>
      </w:r>
      <w:r>
        <w:t xml:space="preserve"> of phlegm. Chronic bronchitis typically occurs with the presen</w:t>
      </w:r>
      <w:r w:rsidR="00224C03">
        <w:t>ce of a productive</w:t>
      </w:r>
      <w:r>
        <w:t xml:space="preserve"> cough for at least three months of the year for at least two consecutive years. Emphysema is characterized by the destruction of alveolar septa with the enlargement of alveolar airspaces. </w:t>
      </w:r>
    </w:p>
    <w:p w:rsidR="00253D7C" w:rsidRPr="008E76DC" w:rsidRDefault="001C6493" w:rsidP="00387517">
      <w:pPr>
        <w:pStyle w:val="Note2"/>
      </w:pPr>
      <w:r>
        <w:t xml:space="preserve">Note 2: </w:t>
      </w:r>
      <w:r w:rsidRPr="001A41A4">
        <w:rPr>
          <w:b/>
          <w:i/>
        </w:rPr>
        <w:t>persistent airflow limitation</w:t>
      </w:r>
      <w:r>
        <w:t xml:space="preserve"> is defined in the Schedule 1 – Dictionary.</w:t>
      </w:r>
    </w:p>
    <w:p w:rsidR="008F572A" w:rsidRPr="00237BAF" w:rsidRDefault="008F572A" w:rsidP="00253D7C">
      <w:pPr>
        <w:pStyle w:val="LV2"/>
      </w:pPr>
      <w:r w:rsidRPr="00237BAF">
        <w:t xml:space="preserve">While </w:t>
      </w:r>
      <w:r w:rsidR="00774AA7" w:rsidRPr="00774AA7">
        <w:t>chronic obstructive pulmonary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D33B2E">
        <w:t>s J41, J42,</w:t>
      </w:r>
      <w:r w:rsidR="00387517">
        <w:t xml:space="preserve"> </w:t>
      </w:r>
      <w:r w:rsidR="001A41A4">
        <w:t>J43 and J44</w:t>
      </w:r>
      <w:r w:rsidR="00885EAB" w:rsidRPr="00EB2BC4">
        <w:t>,</w:t>
      </w:r>
      <w:r w:rsidRPr="00237BAF">
        <w:t xml:space="preserve"> in applying this Statement of Principles the </w:t>
      </w:r>
      <w:r w:rsidR="00FA33FB" w:rsidRPr="00D5620B">
        <w:t xml:space="preserve">meaning </w:t>
      </w:r>
      <w:r w:rsidRPr="00D5620B">
        <w:t xml:space="preserve">of </w:t>
      </w:r>
      <w:r w:rsidR="00774AA7" w:rsidRPr="00774AA7">
        <w:t>chronic obstructive pulmonary disease</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774AA7" w:rsidRPr="00774AA7">
        <w:rPr>
          <w:b/>
        </w:rPr>
        <w:t>chronic obstructive pulmonary disease</w:t>
      </w:r>
    </w:p>
    <w:p w:rsidR="008F572A" w:rsidRPr="00237BAF" w:rsidRDefault="008F572A" w:rsidP="00253D7C">
      <w:pPr>
        <w:pStyle w:val="LV2"/>
      </w:pPr>
      <w:r w:rsidRPr="00237BAF">
        <w:t xml:space="preserve">For the purposes of this Statement of </w:t>
      </w:r>
      <w:r w:rsidR="00D5620B">
        <w:t xml:space="preserve">Principles, </w:t>
      </w:r>
      <w:r w:rsidR="00774AA7" w:rsidRPr="00774AA7">
        <w:t>chronic obstructive pulmonary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774AA7" w:rsidRPr="00774AA7">
        <w:t>chronic obstructive pulmonary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127530270"/>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774AA7" w:rsidRPr="00774AA7">
        <w:t>chronic obstructive pulmonary disease</w:t>
      </w:r>
      <w:r>
        <w:t xml:space="preserve"> </w:t>
      </w:r>
      <w:r w:rsidRPr="00D5620B">
        <w:t>and death from</w:t>
      </w:r>
      <w:r>
        <w:t xml:space="preserve"> </w:t>
      </w:r>
      <w:r w:rsidR="00774AA7" w:rsidRPr="00774AA7">
        <w:t>chronic obstructive pulmonary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127530271"/>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774AA7" w:rsidRPr="00774AA7">
        <w:t>chronic obstructive pulmonary disease</w:t>
      </w:r>
      <w:r w:rsidR="007A3989">
        <w:t xml:space="preserve"> </w:t>
      </w:r>
      <w:r w:rsidR="007C7DEE" w:rsidRPr="00AA6D8B">
        <w:t xml:space="preserve">or death from </w:t>
      </w:r>
      <w:r w:rsidR="00774AA7" w:rsidRPr="00774AA7">
        <w:t>chronic obstructive pulmonary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F35D26" w:rsidP="00F35D26">
      <w:pPr>
        <w:pStyle w:val="LV2"/>
      </w:pPr>
      <w:bookmarkStart w:id="27" w:name="_Ref402530260"/>
      <w:bookmarkStart w:id="28" w:name="_Ref409598844"/>
      <w:r w:rsidRPr="00F35D26">
        <w:t>having smoked tobacco products:</w:t>
      </w:r>
    </w:p>
    <w:p w:rsidR="00F35D26" w:rsidRDefault="00F35D26" w:rsidP="00F35D26">
      <w:pPr>
        <w:pStyle w:val="LV3"/>
      </w:pPr>
      <w:r>
        <w:t>in an amount of at least 5 pack-years before the clinical onset of chronic obstructive pulmonary disease; and</w:t>
      </w:r>
    </w:p>
    <w:p w:rsidR="00F35D26" w:rsidRDefault="00F35D26" w:rsidP="00F35D26">
      <w:pPr>
        <w:pStyle w:val="LV3"/>
      </w:pPr>
      <w:r>
        <w:t>if smoking has ceased before the clinical onset of chronic obstructive pulmonary disease, then that onset occurred within 20 years of cessation;</w:t>
      </w:r>
    </w:p>
    <w:p w:rsidR="00253D7C" w:rsidRPr="00046E67" w:rsidRDefault="00F35D26" w:rsidP="00F35D26">
      <w:pPr>
        <w:pStyle w:val="Note2"/>
      </w:pPr>
      <w:r w:rsidRPr="00F35D26">
        <w:t xml:space="preserve">Note: </w:t>
      </w:r>
      <w:r w:rsidRPr="00F35D26">
        <w:rPr>
          <w:b/>
          <w:i/>
        </w:rPr>
        <w:t>one pack-year</w:t>
      </w:r>
      <w:r w:rsidRPr="00F35D26">
        <w:t xml:space="preserve"> is defined </w:t>
      </w:r>
      <w:r>
        <w:t>in the Schedule 1 – Dictionary.</w:t>
      </w:r>
    </w:p>
    <w:p w:rsidR="00253D7C" w:rsidRPr="008E76DC" w:rsidRDefault="00B11E4A" w:rsidP="00F35D26">
      <w:pPr>
        <w:pStyle w:val="LV2"/>
      </w:pPr>
      <w:r>
        <w:t>being</w:t>
      </w:r>
      <w:r w:rsidR="00FE5DE6">
        <w:t xml:space="preserve"> exposed to second-hand smoke:</w:t>
      </w:r>
    </w:p>
    <w:p w:rsidR="00FE5DE6" w:rsidRDefault="00FE5DE6" w:rsidP="00FE5DE6">
      <w:pPr>
        <w:pStyle w:val="LV3"/>
      </w:pPr>
      <w:r>
        <w:t>for at</w:t>
      </w:r>
      <w:r w:rsidR="00A41812">
        <w:t xml:space="preserve"> least 10,000 hours</w:t>
      </w:r>
      <w:r>
        <w:t xml:space="preserve"> before the clinical onset of chronic obstructive pulmonary disease; and </w:t>
      </w:r>
    </w:p>
    <w:p w:rsidR="00253D7C" w:rsidRPr="008E76DC" w:rsidRDefault="00FE5DE6" w:rsidP="00FE5DE6">
      <w:pPr>
        <w:pStyle w:val="LV3"/>
      </w:pPr>
      <w:r>
        <w:t>if exposure to second-hand smoke has ceased before the clinical onset of chronic obstructive pulmonary disease, then that onset occurred within 20 years of cessation;</w:t>
      </w:r>
    </w:p>
    <w:p w:rsidR="00253D7C" w:rsidRPr="00046E67" w:rsidRDefault="00FE5DE6" w:rsidP="00253D7C">
      <w:pPr>
        <w:pStyle w:val="Note1"/>
      </w:pPr>
      <w:r w:rsidRPr="00FE5DE6">
        <w:t xml:space="preserve">Note: </w:t>
      </w:r>
      <w:r w:rsidRPr="00FE5DE6">
        <w:rPr>
          <w:b/>
          <w:i/>
        </w:rPr>
        <w:t>being exposed to second-hand smoke</w:t>
      </w:r>
      <w:r w:rsidRPr="00FE5DE6">
        <w:t xml:space="preserve"> is defined </w:t>
      </w:r>
      <w:r>
        <w:t>in the Schedule 1 – Dictionary.</w:t>
      </w:r>
    </w:p>
    <w:p w:rsidR="00253D7C" w:rsidRPr="008E76DC" w:rsidRDefault="00FE5DE6" w:rsidP="00FE5DE6">
      <w:pPr>
        <w:pStyle w:val="LV2"/>
      </w:pPr>
      <w:r w:rsidRPr="00FE5DE6">
        <w:t>having smoked cannabis:</w:t>
      </w:r>
    </w:p>
    <w:p w:rsidR="00FE5DE6" w:rsidRPr="00FE5DE6" w:rsidRDefault="00FE5DE6" w:rsidP="00FE5DE6">
      <w:pPr>
        <w:pStyle w:val="LV3"/>
      </w:pPr>
      <w:r w:rsidRPr="00FE5DE6">
        <w:t xml:space="preserve">in an amount of at least </w:t>
      </w:r>
      <w:r w:rsidR="00526922">
        <w:t>10</w:t>
      </w:r>
      <w:r w:rsidRPr="00FE5DE6">
        <w:t xml:space="preserve"> joint-years before the clinical onset of chronic obstructive pulmonary disease; and</w:t>
      </w:r>
    </w:p>
    <w:p w:rsidR="00FE5DE6" w:rsidRPr="00FE5DE6" w:rsidRDefault="00FE5DE6" w:rsidP="00FE5DE6">
      <w:pPr>
        <w:pStyle w:val="LV3"/>
      </w:pPr>
      <w:r w:rsidRPr="00FE5DE6">
        <w:t xml:space="preserve">if smoking has </w:t>
      </w:r>
      <w:r>
        <w:t>ceased before the clinical onset</w:t>
      </w:r>
      <w:r w:rsidRPr="00FE5DE6">
        <w:t xml:space="preserve"> of chronic obstructive pulmonary disease, then that onset occurred within 20 years of cessation;</w:t>
      </w:r>
    </w:p>
    <w:p w:rsidR="00253D7C" w:rsidRPr="008E76DC" w:rsidRDefault="00FE5DE6" w:rsidP="00FE5DE6">
      <w:pPr>
        <w:pStyle w:val="Note1"/>
      </w:pPr>
      <w:r w:rsidRPr="00FE5DE6">
        <w:t xml:space="preserve">Note: </w:t>
      </w:r>
      <w:r w:rsidRPr="00FE5DE6">
        <w:rPr>
          <w:b/>
          <w:i/>
        </w:rPr>
        <w:t>joint-years of cannabis</w:t>
      </w:r>
      <w:r w:rsidRPr="00FE5DE6">
        <w:t xml:space="preserve"> is defined </w:t>
      </w:r>
      <w:r>
        <w:t>in the Schedule 1 – Dictionary.</w:t>
      </w:r>
      <w:r w:rsidR="00253D7C" w:rsidRPr="0054161E">
        <w:tab/>
      </w:r>
    </w:p>
    <w:p w:rsidR="00FE5DE6" w:rsidRDefault="00FE5DE6" w:rsidP="00FE5DE6">
      <w:pPr>
        <w:pStyle w:val="LV2"/>
      </w:pPr>
      <w:r w:rsidRPr="00FE5DE6">
        <w:t>inhaling smoke from the combustion of polluting fuels in an enclosed space:</w:t>
      </w:r>
    </w:p>
    <w:p w:rsidR="00FE5DE6" w:rsidRDefault="00FE5DE6" w:rsidP="00FE5DE6">
      <w:pPr>
        <w:pStyle w:val="LV3"/>
      </w:pPr>
      <w:r>
        <w:t xml:space="preserve">for a cumulative period of at least 5,000 hours before the clinical onset of chronic obstructive pulmonary disease; and </w:t>
      </w:r>
    </w:p>
    <w:p w:rsidR="00FE5DE6" w:rsidRDefault="00FE5DE6" w:rsidP="00FE5DE6">
      <w:pPr>
        <w:pStyle w:val="LV3"/>
      </w:pPr>
      <w:r>
        <w:t>if that exposure has ceas</w:t>
      </w:r>
      <w:r w:rsidR="00053193">
        <w:t>ed, the clinical onset</w:t>
      </w:r>
      <w:r>
        <w:t xml:space="preserve"> of chronic obstructive pulmonary disease has occurred within 20 years of cessation; </w:t>
      </w:r>
    </w:p>
    <w:p w:rsidR="00053193" w:rsidRDefault="00493858" w:rsidP="00053193">
      <w:pPr>
        <w:pStyle w:val="NOTE"/>
      </w:pPr>
      <w:r w:rsidRPr="00493858">
        <w:t xml:space="preserve">Note: </w:t>
      </w:r>
      <w:r w:rsidRPr="00493858">
        <w:rPr>
          <w:b/>
          <w:i/>
        </w:rPr>
        <w:t>polluting fuels</w:t>
      </w:r>
      <w:r w:rsidRPr="00493858">
        <w:t xml:space="preserve"> is defined in the Schedule 1 – Dictionary.</w:t>
      </w:r>
    </w:p>
    <w:p w:rsidR="00FE5DE6" w:rsidRDefault="00493858" w:rsidP="00493858">
      <w:pPr>
        <w:pStyle w:val="LV2"/>
      </w:pPr>
      <w:r w:rsidRPr="00493858">
        <w:t xml:space="preserve">inhaling a respiratory tract irritant from the specified list of respiratory </w:t>
      </w:r>
      <w:r w:rsidR="0064283A">
        <w:t xml:space="preserve">tract </w:t>
      </w:r>
      <w:r w:rsidRPr="00493858">
        <w:t>irritants resulting in:</w:t>
      </w:r>
    </w:p>
    <w:p w:rsidR="00493858" w:rsidRDefault="00493858" w:rsidP="00493858">
      <w:pPr>
        <w:pStyle w:val="LV3"/>
      </w:pPr>
      <w:r>
        <w:t>signs and symptoms of severe acute lower respiratory damage requiring medical attention within 48 hours after exposure; and</w:t>
      </w:r>
    </w:p>
    <w:p w:rsidR="00493858" w:rsidRDefault="00493858" w:rsidP="00493858">
      <w:pPr>
        <w:pStyle w:val="LV3"/>
      </w:pPr>
      <w:r>
        <w:t>the persistence of respiratory symptoms and signs for at least one week after</w:t>
      </w:r>
      <w:r w:rsidR="00D05BEB">
        <w:t xml:space="preserve"> exposure, within the 10</w:t>
      </w:r>
      <w:r>
        <w:t xml:space="preserve"> years before the clini</w:t>
      </w:r>
      <w:r w:rsidR="00D05BEB">
        <w:t>cal onset</w:t>
      </w:r>
      <w:r>
        <w:t xml:space="preserve"> of chronic obstructive pulmonary disease;</w:t>
      </w:r>
    </w:p>
    <w:p w:rsidR="00493858" w:rsidRDefault="00493858" w:rsidP="00493858">
      <w:pPr>
        <w:pStyle w:val="NOTE"/>
      </w:pPr>
      <w:r w:rsidRPr="00493858">
        <w:t xml:space="preserve">Note: </w:t>
      </w:r>
      <w:r w:rsidRPr="00493858">
        <w:rPr>
          <w:b/>
          <w:i/>
        </w:rPr>
        <w:t xml:space="preserve">specified list of respiratory tract irritants </w:t>
      </w:r>
      <w:r>
        <w:t>is</w:t>
      </w:r>
      <w:r w:rsidRPr="00493858">
        <w:t xml:space="preserve"> defined in the Schedule 1 – Dictionary.</w:t>
      </w:r>
    </w:p>
    <w:p w:rsidR="00493858" w:rsidRDefault="00D05BEB" w:rsidP="00D05BEB">
      <w:pPr>
        <w:pStyle w:val="LV2"/>
      </w:pPr>
      <w:r w:rsidRPr="00D05BEB">
        <w:t>inhaling vapour, gas, or fumes of a substance from the specified list of substances in an enclosed space:</w:t>
      </w:r>
    </w:p>
    <w:p w:rsidR="00D05BEB" w:rsidRDefault="00D05BEB" w:rsidP="00D05BEB">
      <w:pPr>
        <w:pStyle w:val="LV3"/>
      </w:pPr>
      <w:r>
        <w:t xml:space="preserve">for a cumulative period of at least 10,000 hours before the clinical onset of chronic obstructive pulmonary disease; and </w:t>
      </w:r>
    </w:p>
    <w:p w:rsidR="00D05BEB" w:rsidRDefault="00D05BEB" w:rsidP="00D05BEB">
      <w:pPr>
        <w:pStyle w:val="LV3"/>
      </w:pPr>
      <w:r>
        <w:t xml:space="preserve">if that exposure has ceased, the clinical onset of chronic obstructive pulmonary disease has occurred within 20 years of cessation; </w:t>
      </w:r>
    </w:p>
    <w:p w:rsidR="00D05BEB" w:rsidRDefault="00D05BEB" w:rsidP="00D05BEB">
      <w:pPr>
        <w:pStyle w:val="NOTE"/>
      </w:pPr>
      <w:r w:rsidRPr="00D05BEB">
        <w:t xml:space="preserve">Note: </w:t>
      </w:r>
      <w:r w:rsidRPr="00D05BEB">
        <w:rPr>
          <w:b/>
          <w:i/>
        </w:rPr>
        <w:t>specified list of substances</w:t>
      </w:r>
      <w:r w:rsidRPr="00D05BEB">
        <w:t xml:space="preserve"> is defined in the Schedule 1 – Dictionary.</w:t>
      </w:r>
    </w:p>
    <w:p w:rsidR="00D05BEB" w:rsidRDefault="001712FA" w:rsidP="001712FA">
      <w:pPr>
        <w:pStyle w:val="LV2"/>
      </w:pPr>
      <w:r w:rsidRPr="001712FA">
        <w:t>inhaling vapour, gas, or fumes of a substance from the specified list o</w:t>
      </w:r>
      <w:r w:rsidR="00F609F7">
        <w:t>f substances</w:t>
      </w:r>
      <w:r w:rsidRPr="001712FA">
        <w:t>, in an open environment:</w:t>
      </w:r>
    </w:p>
    <w:p w:rsidR="001712FA" w:rsidRDefault="001712FA" w:rsidP="001712FA">
      <w:pPr>
        <w:pStyle w:val="LV3"/>
      </w:pPr>
      <w:r>
        <w:t xml:space="preserve">for a cumulative period of at least 20 000 hours before the clinical onset of chronic obstructive pulmonary disease; and </w:t>
      </w:r>
    </w:p>
    <w:p w:rsidR="001712FA" w:rsidRDefault="001712FA" w:rsidP="001712FA">
      <w:pPr>
        <w:pStyle w:val="LV3"/>
      </w:pPr>
      <w:r>
        <w:t>if that exposure has ceas</w:t>
      </w:r>
      <w:r w:rsidR="00696AB5">
        <w:t>ed, the clinical onset</w:t>
      </w:r>
      <w:r>
        <w:t xml:space="preserve"> of chronic obstructive pulmonary disease has occurred within 20 years of cessation; </w:t>
      </w:r>
    </w:p>
    <w:p w:rsidR="001712FA" w:rsidRDefault="001712FA" w:rsidP="001712FA">
      <w:pPr>
        <w:pStyle w:val="NOTE"/>
      </w:pPr>
      <w:r w:rsidRPr="001712FA">
        <w:t xml:space="preserve">Note: </w:t>
      </w:r>
      <w:r w:rsidRPr="001712FA">
        <w:rPr>
          <w:b/>
          <w:i/>
        </w:rPr>
        <w:t>specified list of substances</w:t>
      </w:r>
      <w:r w:rsidRPr="001712FA">
        <w:t xml:space="preserve"> is defined in the Schedule 1 – Dictionary.</w:t>
      </w:r>
    </w:p>
    <w:p w:rsidR="00696AB5" w:rsidRDefault="00696AB5" w:rsidP="00696AB5">
      <w:pPr>
        <w:pStyle w:val="LV2"/>
      </w:pPr>
      <w:r w:rsidRPr="00696AB5">
        <w:t>inhaling organic or inorganic dust at a concentration of greater than 5 milligrams per cubic metre:</w:t>
      </w:r>
    </w:p>
    <w:p w:rsidR="00696AB5" w:rsidRDefault="00696AB5" w:rsidP="00696AB5">
      <w:pPr>
        <w:pStyle w:val="LV3"/>
      </w:pPr>
      <w:r>
        <w:t xml:space="preserve">for a cumulative period of at least 10,000 hours before the clinical onset of chronic obstructive pulmonary disease; and </w:t>
      </w:r>
    </w:p>
    <w:p w:rsidR="00696AB5" w:rsidRDefault="00696AB5" w:rsidP="00696AB5">
      <w:pPr>
        <w:pStyle w:val="LV3"/>
      </w:pPr>
      <w:r>
        <w:t xml:space="preserve">if that exposure has ceased, the clinical onset of chronic obstructive pulmonary disease has occurred within 20 years of cessation; </w:t>
      </w:r>
    </w:p>
    <w:p w:rsidR="00696AB5" w:rsidRDefault="00696AB5" w:rsidP="00696AB5">
      <w:pPr>
        <w:pStyle w:val="NOTE"/>
      </w:pPr>
      <w:r w:rsidRPr="00696AB5">
        <w:t xml:space="preserve">Note: </w:t>
      </w:r>
      <w:r w:rsidRPr="00696AB5">
        <w:rPr>
          <w:b/>
          <w:i/>
        </w:rPr>
        <w:t xml:space="preserve">dust </w:t>
      </w:r>
      <w:r w:rsidRPr="00696AB5">
        <w:t>is defined in the Schedule 1 – Dictionary.</w:t>
      </w:r>
    </w:p>
    <w:p w:rsidR="00696AB5" w:rsidRDefault="00696AB5" w:rsidP="00696AB5">
      <w:pPr>
        <w:pStyle w:val="LV2"/>
      </w:pPr>
      <w:r w:rsidRPr="00696AB5">
        <w:t>inhaling ambient polluted air as specified:</w:t>
      </w:r>
    </w:p>
    <w:p w:rsidR="00696AB5" w:rsidRDefault="00696AB5" w:rsidP="00696AB5">
      <w:pPr>
        <w:pStyle w:val="LV3"/>
      </w:pPr>
      <w:r>
        <w:t xml:space="preserve">for a cumulative period of at least 70,000 hours before the clinical onset of chronic obstructive pulmonary disease; and </w:t>
      </w:r>
    </w:p>
    <w:p w:rsidR="00696AB5" w:rsidRDefault="00696AB5" w:rsidP="00696AB5">
      <w:pPr>
        <w:pStyle w:val="LV3"/>
      </w:pPr>
      <w:r>
        <w:t>if that exposure has ceased, the clinical onset of chronic obstructive pulmonary disease has occurred within 20 years of cessation;</w:t>
      </w:r>
    </w:p>
    <w:p w:rsidR="00696AB5" w:rsidRDefault="00696AB5" w:rsidP="00696AB5">
      <w:pPr>
        <w:pStyle w:val="NOTE"/>
      </w:pPr>
      <w:r>
        <w:t xml:space="preserve"> </w:t>
      </w:r>
      <w:r w:rsidRPr="00696AB5">
        <w:t xml:space="preserve">Note: </w:t>
      </w:r>
      <w:r w:rsidRPr="00696AB5">
        <w:rPr>
          <w:b/>
          <w:i/>
        </w:rPr>
        <w:t>ambient polluted air as specified</w:t>
      </w:r>
      <w:r w:rsidRPr="00696AB5">
        <w:t xml:space="preserve"> is defined in the Schedule 1 – Dictionary.</w:t>
      </w:r>
    </w:p>
    <w:p w:rsidR="00415417" w:rsidRDefault="00415417" w:rsidP="00415417">
      <w:pPr>
        <w:pStyle w:val="LV2"/>
      </w:pPr>
      <w:r w:rsidRPr="00415417">
        <w:t>having infection with human immunodeficiency viru</w:t>
      </w:r>
      <w:r>
        <w:t>s before the clinical onset</w:t>
      </w:r>
      <w:r w:rsidRPr="00415417">
        <w:t xml:space="preserve"> of chronic obstructive pulmonary disease;</w:t>
      </w:r>
    </w:p>
    <w:p w:rsidR="00415417" w:rsidRDefault="00415417" w:rsidP="00415417">
      <w:pPr>
        <w:pStyle w:val="LV2"/>
      </w:pPr>
      <w:r w:rsidRPr="00415417">
        <w:t>having pulmonary tuberculosis at least 1 year bef</w:t>
      </w:r>
      <w:r>
        <w:t>ore the clinical onset</w:t>
      </w:r>
      <w:r w:rsidRPr="00415417">
        <w:t xml:space="preserve"> of chronic obstructive pulmonary disease;</w:t>
      </w:r>
    </w:p>
    <w:p w:rsidR="00415417" w:rsidRPr="00415417" w:rsidRDefault="00415417" w:rsidP="00415417">
      <w:pPr>
        <w:pStyle w:val="NOTE"/>
      </w:pPr>
      <w:r w:rsidRPr="00415417">
        <w:t xml:space="preserve">Note: </w:t>
      </w:r>
      <w:r w:rsidRPr="00415417">
        <w:rPr>
          <w:b/>
          <w:i/>
        </w:rPr>
        <w:t>pulmonary tuberculosis</w:t>
      </w:r>
      <w:r w:rsidRPr="00415417">
        <w:t xml:space="preserve"> is defined in the Schedule 1 – Dictionary.</w:t>
      </w:r>
    </w:p>
    <w:p w:rsidR="00415417" w:rsidRDefault="00415417" w:rsidP="00415417">
      <w:pPr>
        <w:pStyle w:val="LV2"/>
      </w:pPr>
      <w:r w:rsidRPr="00415417">
        <w:t>having alpha-1 antitrypsin deficiency at the time</w:t>
      </w:r>
      <w:r>
        <w:t xml:space="preserve"> of the clinical onset</w:t>
      </w:r>
      <w:r w:rsidRPr="00415417">
        <w:t xml:space="preserve"> of chronic obstructive pulmonary disease;</w:t>
      </w:r>
    </w:p>
    <w:p w:rsidR="00415417" w:rsidRDefault="00415417" w:rsidP="00415417">
      <w:pPr>
        <w:pStyle w:val="LV2"/>
      </w:pPr>
      <w:r w:rsidRPr="00415417">
        <w:t>having asthma bef</w:t>
      </w:r>
      <w:r>
        <w:t>ore the clinical onset</w:t>
      </w:r>
      <w:r w:rsidRPr="00415417">
        <w:t xml:space="preserve"> of chronic obstructive pulmonary disease;</w:t>
      </w:r>
    </w:p>
    <w:p w:rsidR="00415417" w:rsidRDefault="00415417" w:rsidP="00415417">
      <w:pPr>
        <w:pStyle w:val="LV2"/>
      </w:pPr>
      <w:r w:rsidRPr="00415417">
        <w:t>having bronchiectasis bef</w:t>
      </w:r>
      <w:r>
        <w:t>ore the clinical onset</w:t>
      </w:r>
      <w:r w:rsidRPr="00415417">
        <w:t xml:space="preserve"> of chronic obstructive pulmonary disease;</w:t>
      </w:r>
    </w:p>
    <w:p w:rsidR="00AF2D0D" w:rsidRDefault="00AF2D0D" w:rsidP="00AF2D0D">
      <w:pPr>
        <w:pStyle w:val="LV2"/>
      </w:pPr>
      <w:r>
        <w:t>having smoked tobacco products:</w:t>
      </w:r>
    </w:p>
    <w:p w:rsidR="00AF2D0D" w:rsidRDefault="00AF2D0D" w:rsidP="00AF2D0D">
      <w:pPr>
        <w:pStyle w:val="LV3"/>
      </w:pPr>
      <w:r>
        <w:t>in an amount of at least 1 pack-year before the clinical worsening of chronic obstructive pulmonary disease; and</w:t>
      </w:r>
    </w:p>
    <w:p w:rsidR="00AF2D0D" w:rsidRDefault="00AF2D0D" w:rsidP="00AF2D0D">
      <w:pPr>
        <w:pStyle w:val="LV3"/>
      </w:pPr>
      <w:r>
        <w:t>if smoking has ceased before the clinical worsening of chronic obstructive pulmonary disease, then that worsening occurred within 20 years of cessation;</w:t>
      </w:r>
    </w:p>
    <w:p w:rsidR="00AF2D0D" w:rsidRDefault="00AF2D0D" w:rsidP="00AF2D0D">
      <w:pPr>
        <w:pStyle w:val="NOTE"/>
      </w:pPr>
      <w:r w:rsidRPr="00AF2D0D">
        <w:t xml:space="preserve">Note: </w:t>
      </w:r>
      <w:r w:rsidRPr="00AF2D0D">
        <w:rPr>
          <w:b/>
          <w:i/>
        </w:rPr>
        <w:t>one pack-year</w:t>
      </w:r>
      <w:r w:rsidRPr="00AF2D0D">
        <w:t xml:space="preserve"> is defined in the Schedule 1 – Dictionary.</w:t>
      </w:r>
    </w:p>
    <w:p w:rsidR="00AF2D0D" w:rsidRDefault="00B11E4A" w:rsidP="00AF2D0D">
      <w:pPr>
        <w:pStyle w:val="LV2"/>
      </w:pPr>
      <w:r>
        <w:t>being</w:t>
      </w:r>
      <w:r w:rsidR="00AF2D0D">
        <w:t xml:space="preserve"> exposed to second-hand smoke: </w:t>
      </w:r>
    </w:p>
    <w:p w:rsidR="00AF2D0D" w:rsidRDefault="00AF2D0D" w:rsidP="00AF2D0D">
      <w:pPr>
        <w:pStyle w:val="LV3"/>
      </w:pPr>
      <w:r>
        <w:t xml:space="preserve">for at least 10,000 hours before the clinical worsening of chronic obstructive pulmonary disease; and </w:t>
      </w:r>
    </w:p>
    <w:p w:rsidR="00AF2D0D" w:rsidRDefault="00AF2D0D" w:rsidP="00AF2D0D">
      <w:pPr>
        <w:pStyle w:val="LV3"/>
      </w:pPr>
      <w:r>
        <w:t>if exposure to second-hand smoke has ceased before the clinical worsening of chronic obstructive pulmonary disease, then that worsening occurred within 20 years of cessation;</w:t>
      </w:r>
    </w:p>
    <w:p w:rsidR="00AF2D0D" w:rsidRDefault="00AF2D0D" w:rsidP="00AF2D0D">
      <w:pPr>
        <w:pStyle w:val="NOTE"/>
      </w:pPr>
      <w:r w:rsidRPr="00AF2D0D">
        <w:t xml:space="preserve">Note: </w:t>
      </w:r>
      <w:r w:rsidRPr="00AF2D0D">
        <w:rPr>
          <w:b/>
          <w:i/>
        </w:rPr>
        <w:t>being exposed to second-hand smoke</w:t>
      </w:r>
      <w:r w:rsidRPr="00AF2D0D">
        <w:t xml:space="preserve"> is defined in the Schedule 1 – Dictionary.</w:t>
      </w:r>
    </w:p>
    <w:p w:rsidR="00AF2D0D" w:rsidRDefault="00AF2D0D" w:rsidP="00AF2D0D">
      <w:pPr>
        <w:pStyle w:val="LV2"/>
      </w:pPr>
      <w:r w:rsidRPr="00AF2D0D">
        <w:t>having smoked cannabis:</w:t>
      </w:r>
    </w:p>
    <w:p w:rsidR="00AF2D0D" w:rsidRDefault="00526922" w:rsidP="00AF2D0D">
      <w:pPr>
        <w:pStyle w:val="LV3"/>
      </w:pPr>
      <w:r>
        <w:t>in an amount of at least 10</w:t>
      </w:r>
      <w:r w:rsidR="00AF2D0D">
        <w:t xml:space="preserve"> joint-years before the clinical worsening of chronic obstructive pulmonary disease; and</w:t>
      </w:r>
    </w:p>
    <w:p w:rsidR="00AF2D0D" w:rsidRDefault="00AF2D0D" w:rsidP="00AF2D0D">
      <w:pPr>
        <w:pStyle w:val="LV3"/>
      </w:pPr>
      <w:r>
        <w:t>if smoking has ceased before the clinical worsening of chronic obstructive pulmonary disease, then that worsening occurred within 20 years of cessation;</w:t>
      </w:r>
    </w:p>
    <w:p w:rsidR="00AF2D0D" w:rsidRDefault="00AF2D0D" w:rsidP="00AF2D0D">
      <w:pPr>
        <w:pStyle w:val="NOTE"/>
      </w:pPr>
      <w:r w:rsidRPr="00AF2D0D">
        <w:t xml:space="preserve">Note: </w:t>
      </w:r>
      <w:r w:rsidRPr="00AF2D0D">
        <w:rPr>
          <w:b/>
          <w:i/>
        </w:rPr>
        <w:t>joint-years of cannabis</w:t>
      </w:r>
      <w:r w:rsidRPr="00AF2D0D">
        <w:t xml:space="preserve"> is defined in the Schedule 1 – Dictionary.</w:t>
      </w:r>
    </w:p>
    <w:p w:rsidR="00AF2D0D" w:rsidRDefault="00AF2D0D" w:rsidP="00AF2D0D">
      <w:pPr>
        <w:pStyle w:val="LV2"/>
      </w:pPr>
      <w:r w:rsidRPr="00AF2D0D">
        <w:t>inhaling smoke from the combustion of polluting fuels in an enclosed space:</w:t>
      </w:r>
    </w:p>
    <w:p w:rsidR="00AF2D0D" w:rsidRDefault="00AF2D0D" w:rsidP="00AF2D0D">
      <w:pPr>
        <w:pStyle w:val="LV3"/>
      </w:pPr>
      <w:r>
        <w:t>for a cumulative period</w:t>
      </w:r>
      <w:r w:rsidR="0064283A">
        <w:t xml:space="preserve"> of at least 5,000 hours before the clinical </w:t>
      </w:r>
      <w:r>
        <w:t xml:space="preserve">worsening of chronic obstructive pulmonary disease; and </w:t>
      </w:r>
    </w:p>
    <w:p w:rsidR="00AF2D0D" w:rsidRDefault="00AF2D0D" w:rsidP="00AF2D0D">
      <w:pPr>
        <w:pStyle w:val="LV3"/>
      </w:pPr>
      <w:r>
        <w:t>if that exposure</w:t>
      </w:r>
      <w:r w:rsidR="0064283A">
        <w:t xml:space="preserve"> has ceased, the clinical </w:t>
      </w:r>
      <w:r>
        <w:t>worsening of chronic obstructive pulmonary disease has occurred within 20 years of cessation;</w:t>
      </w:r>
    </w:p>
    <w:p w:rsidR="0064283A" w:rsidRDefault="0064283A" w:rsidP="0064283A">
      <w:pPr>
        <w:pStyle w:val="NOTE"/>
      </w:pPr>
      <w:r w:rsidRPr="0064283A">
        <w:t xml:space="preserve">Note: </w:t>
      </w:r>
      <w:r w:rsidRPr="0064283A">
        <w:rPr>
          <w:b/>
          <w:i/>
        </w:rPr>
        <w:t>polluting fuels</w:t>
      </w:r>
      <w:r w:rsidRPr="0064283A">
        <w:t xml:space="preserve"> is defined in the Schedule 1 – Dictionary.</w:t>
      </w:r>
    </w:p>
    <w:p w:rsidR="0064283A" w:rsidRDefault="0064283A" w:rsidP="0064283A">
      <w:pPr>
        <w:pStyle w:val="LV2"/>
      </w:pPr>
      <w:r w:rsidRPr="0064283A">
        <w:t xml:space="preserve">inhaling a respiratory tract irritant from the specified list of respiratory </w:t>
      </w:r>
      <w:r>
        <w:t xml:space="preserve">tract </w:t>
      </w:r>
      <w:r w:rsidRPr="0064283A">
        <w:t>irritants resulting in:</w:t>
      </w:r>
    </w:p>
    <w:p w:rsidR="0064283A" w:rsidRDefault="0064283A" w:rsidP="0064283A">
      <w:pPr>
        <w:pStyle w:val="LV3"/>
      </w:pPr>
      <w:r>
        <w:t>signs and symptoms of severe acute lower respiratory damage requiring medical attention within 48 hours after exposure; and</w:t>
      </w:r>
    </w:p>
    <w:p w:rsidR="0064283A" w:rsidRDefault="0064283A" w:rsidP="0064283A">
      <w:pPr>
        <w:pStyle w:val="LV3"/>
      </w:pPr>
      <w:r>
        <w:t>the persistence of respiratory symptoms and signs for at least one week after exposure, within the 10 years before the clinical worsening of chronic obstructive pulmonary disease;</w:t>
      </w:r>
    </w:p>
    <w:p w:rsidR="0064283A" w:rsidRDefault="0064283A" w:rsidP="0064283A">
      <w:pPr>
        <w:pStyle w:val="Note2"/>
      </w:pPr>
      <w:r w:rsidRPr="0064283A">
        <w:t xml:space="preserve">Note: </w:t>
      </w:r>
      <w:r w:rsidRPr="0064283A">
        <w:rPr>
          <w:b/>
          <w:i/>
        </w:rPr>
        <w:t>specified list of respiratory tract irritants</w:t>
      </w:r>
      <w:r>
        <w:t xml:space="preserve"> is</w:t>
      </w:r>
      <w:r w:rsidRPr="0064283A">
        <w:t xml:space="preserve"> defined in the Schedule 1 – Dictionary.</w:t>
      </w:r>
    </w:p>
    <w:p w:rsidR="0064283A" w:rsidRDefault="0064283A" w:rsidP="0064283A">
      <w:pPr>
        <w:pStyle w:val="LV2"/>
      </w:pPr>
      <w:r w:rsidRPr="0064283A">
        <w:t>inhaling vapour, gas, or fumes of a substance from the specified list of substances in an enclosed space:</w:t>
      </w:r>
    </w:p>
    <w:p w:rsidR="0064283A" w:rsidRDefault="0064283A" w:rsidP="0064283A">
      <w:pPr>
        <w:pStyle w:val="LV3"/>
      </w:pPr>
      <w:r>
        <w:t>for a cumulat</w:t>
      </w:r>
      <w:r w:rsidR="00642D72">
        <w:t xml:space="preserve">ive period of at least 10,000 hours before the clinical </w:t>
      </w:r>
      <w:r>
        <w:t xml:space="preserve">worsening of chronic obstructive pulmonary disease; and </w:t>
      </w:r>
    </w:p>
    <w:p w:rsidR="0064283A" w:rsidRDefault="0064283A" w:rsidP="0064283A">
      <w:pPr>
        <w:pStyle w:val="LV3"/>
      </w:pPr>
      <w:r>
        <w:t>if that exposure</w:t>
      </w:r>
      <w:r w:rsidR="00642D72">
        <w:t xml:space="preserve"> has ceased, the clinical </w:t>
      </w:r>
      <w:r>
        <w:t xml:space="preserve">worsening of chronic obstructive pulmonary disease </w:t>
      </w:r>
      <w:r w:rsidR="00642D72">
        <w:t xml:space="preserve">has occurred within 20 </w:t>
      </w:r>
      <w:r>
        <w:t xml:space="preserve">years of cessation; </w:t>
      </w:r>
    </w:p>
    <w:p w:rsidR="0064283A" w:rsidRDefault="00642D72" w:rsidP="00642D72">
      <w:pPr>
        <w:pStyle w:val="NOTE"/>
      </w:pPr>
      <w:r w:rsidRPr="00642D72">
        <w:t xml:space="preserve">Note: </w:t>
      </w:r>
      <w:r w:rsidRPr="00642D72">
        <w:rPr>
          <w:b/>
          <w:i/>
        </w:rPr>
        <w:t>specified list of substances</w:t>
      </w:r>
      <w:r w:rsidRPr="00642D72">
        <w:t xml:space="preserve"> is defined in the Schedule 1 – Dictionary.</w:t>
      </w:r>
    </w:p>
    <w:p w:rsidR="00642D72" w:rsidRDefault="00642D72" w:rsidP="00642D72">
      <w:pPr>
        <w:pStyle w:val="LV2"/>
      </w:pPr>
      <w:r w:rsidRPr="00642D72">
        <w:t>inhaling vapour, gas, or fumes of a substance from the specified list o</w:t>
      </w:r>
      <w:r w:rsidR="00F609F7">
        <w:t>f substances</w:t>
      </w:r>
      <w:r w:rsidRPr="00642D72">
        <w:t>, in an open environment:</w:t>
      </w:r>
    </w:p>
    <w:p w:rsidR="00642D72" w:rsidRDefault="00642D72" w:rsidP="00642D72">
      <w:pPr>
        <w:pStyle w:val="LV3"/>
      </w:pPr>
      <w:r>
        <w:t xml:space="preserve">for a cumulative period of at least 20 000 hours before the clinical worsening of chronic obstructive pulmonary disease; and </w:t>
      </w:r>
    </w:p>
    <w:p w:rsidR="00642D72" w:rsidRDefault="00642D72" w:rsidP="00642D72">
      <w:pPr>
        <w:pStyle w:val="LV3"/>
      </w:pPr>
      <w:r>
        <w:t xml:space="preserve">if that exposure has ceased, the clinical worsening of chronic obstructive pulmonary disease has occurred within 20 years of cessation; </w:t>
      </w:r>
    </w:p>
    <w:p w:rsidR="00642D72" w:rsidRDefault="00C9526F" w:rsidP="00C9526F">
      <w:pPr>
        <w:pStyle w:val="NOTE"/>
      </w:pPr>
      <w:r w:rsidRPr="00C9526F">
        <w:t xml:space="preserve">Note: </w:t>
      </w:r>
      <w:r w:rsidRPr="00C9526F">
        <w:rPr>
          <w:b/>
          <w:i/>
        </w:rPr>
        <w:t>specified list of substances</w:t>
      </w:r>
      <w:r w:rsidRPr="00C9526F">
        <w:t xml:space="preserve"> is defined in the Schedule 1 – Dictionary.</w:t>
      </w:r>
    </w:p>
    <w:p w:rsidR="00C9526F" w:rsidRDefault="00C9526F" w:rsidP="00C9526F">
      <w:pPr>
        <w:pStyle w:val="LV2"/>
      </w:pPr>
      <w:r w:rsidRPr="00C9526F">
        <w:t>inhaling organic or inorganic dust at a concentration of greater than 5 milligrams per cubic metre:</w:t>
      </w:r>
    </w:p>
    <w:p w:rsidR="00C9526F" w:rsidRDefault="00C9526F" w:rsidP="00C9526F">
      <w:pPr>
        <w:pStyle w:val="LV3"/>
      </w:pPr>
      <w:r>
        <w:t xml:space="preserve">for a cumulative period of at least 10,000 hours before the clinical worsening of chronic obstructive pulmonary disease; and </w:t>
      </w:r>
    </w:p>
    <w:p w:rsidR="00C9526F" w:rsidRDefault="00C9526F" w:rsidP="00C9526F">
      <w:pPr>
        <w:pStyle w:val="LV3"/>
      </w:pPr>
      <w:r>
        <w:t xml:space="preserve">if that exposure has ceased, the clinical worsening of chronic obstructive pulmonary disease has occurred within 20 years of cessation; </w:t>
      </w:r>
    </w:p>
    <w:p w:rsidR="00C9526F" w:rsidRDefault="00C9526F" w:rsidP="00C9526F">
      <w:pPr>
        <w:pStyle w:val="NOTE"/>
      </w:pPr>
      <w:r w:rsidRPr="00C9526F">
        <w:t xml:space="preserve">Note: </w:t>
      </w:r>
      <w:r w:rsidRPr="00C9526F">
        <w:rPr>
          <w:b/>
          <w:i/>
        </w:rPr>
        <w:t xml:space="preserve">dust </w:t>
      </w:r>
      <w:r w:rsidRPr="00C9526F">
        <w:t>is defined in the Schedule 1 – Dictionary.</w:t>
      </w:r>
    </w:p>
    <w:p w:rsidR="00C9526F" w:rsidRDefault="00C9526F" w:rsidP="00C9526F">
      <w:pPr>
        <w:pStyle w:val="LV2"/>
      </w:pPr>
      <w:r w:rsidRPr="00C9526F">
        <w:t>inhaling ambient polluted air as specified:</w:t>
      </w:r>
    </w:p>
    <w:p w:rsidR="00C9526F" w:rsidRDefault="00C9526F" w:rsidP="00C9526F">
      <w:pPr>
        <w:pStyle w:val="LV3"/>
      </w:pPr>
      <w:r>
        <w:t xml:space="preserve">for a cumulative period of at least 70,000 hours before the clinical worsening of chronic obstructive pulmonary disease; and </w:t>
      </w:r>
    </w:p>
    <w:p w:rsidR="00C9526F" w:rsidRDefault="00C9526F" w:rsidP="00C9526F">
      <w:pPr>
        <w:pStyle w:val="LV3"/>
      </w:pPr>
      <w:r>
        <w:t xml:space="preserve">if that exposure has ceased, the clinical worsening of chronic obstructive pulmonary disease has occurred within 20 years of cessation; </w:t>
      </w:r>
    </w:p>
    <w:p w:rsidR="00C9526F" w:rsidRDefault="00C9526F" w:rsidP="00C9526F">
      <w:pPr>
        <w:pStyle w:val="NOTE"/>
      </w:pPr>
      <w:r w:rsidRPr="00C9526F">
        <w:t xml:space="preserve">Note: </w:t>
      </w:r>
      <w:r w:rsidRPr="00C9526F">
        <w:rPr>
          <w:b/>
          <w:i/>
        </w:rPr>
        <w:t>ambient polluted air as specified</w:t>
      </w:r>
      <w:r w:rsidRPr="00C9526F">
        <w:t xml:space="preserve"> is defined in the Schedule 1 – Dictionary.</w:t>
      </w:r>
    </w:p>
    <w:p w:rsidR="00C9526F" w:rsidRDefault="00C9526F" w:rsidP="00C9526F">
      <w:pPr>
        <w:pStyle w:val="LV2"/>
      </w:pPr>
      <w:r w:rsidRPr="00C9526F">
        <w:t xml:space="preserve">having infection with human immunodeficiency </w:t>
      </w:r>
      <w:r>
        <w:t xml:space="preserve">virus before the clinical </w:t>
      </w:r>
      <w:r w:rsidRPr="00C9526F">
        <w:t>worsening of chronic obstructive pulmonary disease;</w:t>
      </w:r>
    </w:p>
    <w:p w:rsidR="00C9526F" w:rsidRDefault="00C9526F" w:rsidP="00C9526F">
      <w:pPr>
        <w:pStyle w:val="LV2"/>
      </w:pPr>
      <w:r w:rsidRPr="00C9526F">
        <w:t>hav</w:t>
      </w:r>
      <w:r>
        <w:t>ing at least 2</w:t>
      </w:r>
      <w:r w:rsidRPr="00C9526F">
        <w:t xml:space="preserve"> episodes of acute viral or bacterial lower respiratory tract infection requiring medical treatment within the 1 year before the clinical worsening of chronic obstructive pulmonary disease;</w:t>
      </w:r>
    </w:p>
    <w:p w:rsidR="00C9526F" w:rsidRDefault="00C9526F" w:rsidP="00C9526F">
      <w:pPr>
        <w:pStyle w:val="NOTE"/>
      </w:pPr>
      <w:r w:rsidRPr="00C9526F">
        <w:t xml:space="preserve">Note: </w:t>
      </w:r>
      <w:r w:rsidRPr="00C9526F">
        <w:rPr>
          <w:b/>
          <w:i/>
        </w:rPr>
        <w:t>lower respiratory tract</w:t>
      </w:r>
      <w:r w:rsidRPr="00C9526F">
        <w:t xml:space="preserve"> is defined in the Schedule 1 – Dictionary.</w:t>
      </w:r>
    </w:p>
    <w:p w:rsidR="002213AF" w:rsidRDefault="002213AF" w:rsidP="002213AF">
      <w:pPr>
        <w:pStyle w:val="LV2"/>
      </w:pPr>
      <w:r w:rsidRPr="002213AF">
        <w:t>having pulmonary tuberculosis at least 1</w:t>
      </w:r>
      <w:r>
        <w:t xml:space="preserve"> year before the clinical </w:t>
      </w:r>
      <w:r w:rsidRPr="002213AF">
        <w:t>worsening of chronic obstructive pulmonary disease;</w:t>
      </w:r>
    </w:p>
    <w:p w:rsidR="002213AF" w:rsidRDefault="002213AF" w:rsidP="002213AF">
      <w:pPr>
        <w:pStyle w:val="NOTE"/>
      </w:pPr>
      <w:r w:rsidRPr="002213AF">
        <w:t xml:space="preserve">Note: </w:t>
      </w:r>
      <w:r w:rsidRPr="002213AF">
        <w:rPr>
          <w:b/>
          <w:i/>
        </w:rPr>
        <w:t>pulmonary tuberculosis</w:t>
      </w:r>
      <w:r w:rsidRPr="002213AF">
        <w:t xml:space="preserve"> is defined in the Schedule 1 – Dictionary.</w:t>
      </w:r>
    </w:p>
    <w:p w:rsidR="002213AF" w:rsidRDefault="002213AF" w:rsidP="002213AF">
      <w:pPr>
        <w:pStyle w:val="LV2"/>
      </w:pPr>
      <w:r w:rsidRPr="002213AF">
        <w:t>having alpha-1 antitrypsin deficiency at</w:t>
      </w:r>
      <w:r>
        <w:t xml:space="preserve"> the time of the clinical </w:t>
      </w:r>
      <w:r w:rsidRPr="002213AF">
        <w:t>worsening of chronic obstructive pulmonary disease;</w:t>
      </w:r>
    </w:p>
    <w:p w:rsidR="002213AF" w:rsidRDefault="002213AF" w:rsidP="002213AF">
      <w:pPr>
        <w:pStyle w:val="LV2"/>
      </w:pPr>
      <w:r w:rsidRPr="002213AF">
        <w:t>having a</w:t>
      </w:r>
      <w:r>
        <w:t xml:space="preserve">sthma before the clinical </w:t>
      </w:r>
      <w:r w:rsidRPr="002213AF">
        <w:t>worsening of chronic obstructive pulmonary disease;</w:t>
      </w:r>
    </w:p>
    <w:p w:rsidR="002213AF" w:rsidRDefault="002213AF" w:rsidP="002213AF">
      <w:pPr>
        <w:pStyle w:val="LV2"/>
      </w:pPr>
      <w:r w:rsidRPr="002213AF">
        <w:t>having bronchiec</w:t>
      </w:r>
      <w:r>
        <w:t xml:space="preserve">tasis before the clinical </w:t>
      </w:r>
      <w:r w:rsidRPr="002213AF">
        <w:t>worsening of chronic obstructive pulmonary disease;</w:t>
      </w:r>
    </w:p>
    <w:p w:rsidR="002213AF" w:rsidRDefault="002213AF" w:rsidP="00253D7C">
      <w:pPr>
        <w:pStyle w:val="LV2"/>
      </w:pPr>
      <w:r w:rsidRPr="002213AF">
        <w:rPr>
          <w:lang w:val="en-US"/>
        </w:rPr>
        <w:t>having gastro-</w:t>
      </w:r>
      <w:proofErr w:type="spellStart"/>
      <w:r w:rsidRPr="002213AF">
        <w:rPr>
          <w:lang w:val="en-US"/>
        </w:rPr>
        <w:t>oesophageal</w:t>
      </w:r>
      <w:proofErr w:type="spellEnd"/>
      <w:r w:rsidRPr="002213AF">
        <w:rPr>
          <w:lang w:val="en-US"/>
        </w:rPr>
        <w:t xml:space="preserve"> reflux disease, with erosive </w:t>
      </w:r>
      <w:proofErr w:type="spellStart"/>
      <w:r w:rsidRPr="002213AF">
        <w:rPr>
          <w:lang w:val="en-US"/>
        </w:rPr>
        <w:t>oesopha</w:t>
      </w:r>
      <w:r>
        <w:rPr>
          <w:lang w:val="en-US"/>
        </w:rPr>
        <w:t>gitis</w:t>
      </w:r>
      <w:proofErr w:type="spellEnd"/>
      <w:r>
        <w:rPr>
          <w:lang w:val="en-US"/>
        </w:rPr>
        <w:t xml:space="preserve"> or </w:t>
      </w:r>
      <w:proofErr w:type="spellStart"/>
      <w:r>
        <w:rPr>
          <w:lang w:val="en-US"/>
        </w:rPr>
        <w:t>oesophageal</w:t>
      </w:r>
      <w:proofErr w:type="spellEnd"/>
      <w:r>
        <w:rPr>
          <w:lang w:val="en-US"/>
        </w:rPr>
        <w:t xml:space="preserve"> stricture </w:t>
      </w:r>
      <w:r w:rsidRPr="002213AF">
        <w:rPr>
          <w:lang w:val="en-US"/>
        </w:rPr>
        <w:t>within 2 years be</w:t>
      </w:r>
      <w:r>
        <w:rPr>
          <w:lang w:val="en-US"/>
        </w:rPr>
        <w:t xml:space="preserve">fore </w:t>
      </w:r>
      <w:r w:rsidRPr="002213AF">
        <w:rPr>
          <w:lang w:val="en-US"/>
        </w:rPr>
        <w:t>the clinical worsening of chronic obstructive pulmonary disease;</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774AA7" w:rsidRPr="00774AA7">
        <w:t>chronic obstructive pulmonary disease</w:t>
      </w:r>
      <w:r w:rsidR="00D5620B" w:rsidRPr="008D1B8B">
        <w:t>.</w:t>
      </w:r>
      <w:bookmarkEnd w:id="28"/>
    </w:p>
    <w:p w:rsidR="000C21A3" w:rsidRPr="00684C0E" w:rsidRDefault="00D32F71" w:rsidP="00253D7C">
      <w:pPr>
        <w:pStyle w:val="LV1"/>
      </w:pPr>
      <w:bookmarkStart w:id="29" w:name="_Toc127530272"/>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2213AF">
        <w:t>subsection</w:t>
      </w:r>
      <w:r w:rsidR="009056AF">
        <w:t>s</w:t>
      </w:r>
      <w:r w:rsidR="00FF1D47">
        <w:t xml:space="preserve"> </w:t>
      </w:r>
      <w:r w:rsidR="00DA3996">
        <w:t>9</w:t>
      </w:r>
      <w:r w:rsidR="002213AF">
        <w:t>(15</w:t>
      </w:r>
      <w:r w:rsidR="00FF1D47">
        <w:t>)</w:t>
      </w:r>
      <w:r w:rsidR="002213AF">
        <w:t xml:space="preserve"> to 9(31)</w:t>
      </w:r>
      <w:r w:rsidR="00FF1D47">
        <w:t xml:space="preserve"> </w:t>
      </w:r>
      <w:r w:rsidRPr="00187DE1">
        <w:t>appl</w:t>
      </w:r>
      <w:r w:rsidR="002213AF">
        <w:t>y</w:t>
      </w:r>
      <w:r w:rsidRPr="00187DE1">
        <w:t xml:space="preserve"> only to material contribution to, or aggravation of, </w:t>
      </w:r>
      <w:r w:rsidR="00774AA7" w:rsidRPr="00774AA7">
        <w:t>chronic obstructive pulmonary disease</w:t>
      </w:r>
      <w:r w:rsidR="007A3989">
        <w:t xml:space="preserve"> </w:t>
      </w:r>
      <w:r w:rsidRPr="00187DE1">
        <w:t>where the person</w:t>
      </w:r>
      <w:r w:rsidR="00950C80">
        <w:t>'</w:t>
      </w:r>
      <w:r w:rsidRPr="00187DE1">
        <w:t xml:space="preserve">s </w:t>
      </w:r>
      <w:r w:rsidR="00774AA7" w:rsidRPr="00774AA7">
        <w:t>chronic obstructive pulmonary disease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127530273"/>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2753027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27530275"/>
      <w:r w:rsidRPr="00D97BB3">
        <w:t>Definitions</w:t>
      </w:r>
      <w:bookmarkEnd w:id="35"/>
      <w:bookmarkEnd w:id="36"/>
    </w:p>
    <w:p w:rsidR="00702C42" w:rsidRPr="00516768" w:rsidRDefault="00702C42" w:rsidP="00253D7C">
      <w:pPr>
        <w:pStyle w:val="SH2"/>
      </w:pPr>
      <w:r w:rsidRPr="00516768">
        <w:t>In this instrument:</w:t>
      </w:r>
    </w:p>
    <w:p w:rsidR="00696AB5" w:rsidRPr="00696AB5" w:rsidRDefault="00696AB5" w:rsidP="00696AB5">
      <w:pPr>
        <w:pStyle w:val="SH3"/>
        <w:rPr>
          <w:lang w:val="en-US"/>
        </w:rPr>
      </w:pPr>
      <w:bookmarkStart w:id="37" w:name="_Ref402530810"/>
      <w:r w:rsidRPr="00696AB5">
        <w:rPr>
          <w:b/>
          <w:i/>
          <w:lang w:val="en-US"/>
        </w:rPr>
        <w:t>ambient polluted air as specified</w:t>
      </w:r>
      <w:r w:rsidRPr="00696AB5">
        <w:rPr>
          <w:lang w:val="en-US"/>
        </w:rPr>
        <w:t xml:space="preserve"> means air with annual average levels of: </w:t>
      </w:r>
    </w:p>
    <w:p w:rsidR="00696AB5" w:rsidRPr="00696AB5" w:rsidRDefault="00696AB5" w:rsidP="006B769D">
      <w:pPr>
        <w:pStyle w:val="SH4"/>
        <w:rPr>
          <w:lang w:val="en-US"/>
        </w:rPr>
      </w:pPr>
      <w:r w:rsidRPr="00696AB5">
        <w:rPr>
          <w:lang w:val="en-US"/>
        </w:rPr>
        <w:t xml:space="preserve">particulates with an aerodynamic diameter &lt;2.5 </w:t>
      </w:r>
      <w:proofErr w:type="spellStart"/>
      <w:r w:rsidRPr="00696AB5">
        <w:rPr>
          <w:lang w:val="en-US"/>
        </w:rPr>
        <w:t>μm</w:t>
      </w:r>
      <w:proofErr w:type="spellEnd"/>
      <w:r w:rsidRPr="00696AB5">
        <w:rPr>
          <w:lang w:val="en-US"/>
        </w:rPr>
        <w:t xml:space="preserve"> (PM2.5) exceeding 30 </w:t>
      </w:r>
      <w:proofErr w:type="spellStart"/>
      <w:r w:rsidRPr="00696AB5">
        <w:rPr>
          <w:lang w:val="en-US"/>
        </w:rPr>
        <w:t>μg</w:t>
      </w:r>
      <w:proofErr w:type="spellEnd"/>
      <w:r w:rsidRPr="00696AB5">
        <w:rPr>
          <w:lang w:val="en-US"/>
        </w:rPr>
        <w:t>/m</w:t>
      </w:r>
      <w:r w:rsidRPr="006B769D">
        <w:rPr>
          <w:vertAlign w:val="superscript"/>
          <w:lang w:val="en-US"/>
        </w:rPr>
        <w:t>3</w:t>
      </w:r>
      <w:r w:rsidRPr="00696AB5">
        <w:rPr>
          <w:lang w:val="en-US"/>
        </w:rPr>
        <w:t xml:space="preserve">; </w:t>
      </w:r>
    </w:p>
    <w:p w:rsidR="00696AB5" w:rsidRPr="00696AB5" w:rsidRDefault="00696AB5" w:rsidP="006B769D">
      <w:pPr>
        <w:pStyle w:val="SH4"/>
        <w:rPr>
          <w:lang w:val="en-US"/>
        </w:rPr>
      </w:pPr>
      <w:r w:rsidRPr="00696AB5">
        <w:rPr>
          <w:lang w:val="en-US"/>
        </w:rPr>
        <w:t xml:space="preserve">particulates with an aerodynamic diameter &lt;10 </w:t>
      </w:r>
      <w:proofErr w:type="spellStart"/>
      <w:r w:rsidRPr="00696AB5">
        <w:rPr>
          <w:lang w:val="en-US"/>
        </w:rPr>
        <w:t>μm</w:t>
      </w:r>
      <w:proofErr w:type="spellEnd"/>
      <w:r w:rsidRPr="00696AB5">
        <w:rPr>
          <w:lang w:val="en-US"/>
        </w:rPr>
        <w:t xml:space="preserve"> (PM10) exceeding 150 </w:t>
      </w:r>
      <w:proofErr w:type="spellStart"/>
      <w:r w:rsidRPr="00696AB5">
        <w:rPr>
          <w:lang w:val="en-US"/>
        </w:rPr>
        <w:t>μg</w:t>
      </w:r>
      <w:proofErr w:type="spellEnd"/>
      <w:r w:rsidRPr="00696AB5">
        <w:rPr>
          <w:lang w:val="en-US"/>
        </w:rPr>
        <w:t>/m</w:t>
      </w:r>
      <w:r w:rsidRPr="006B769D">
        <w:rPr>
          <w:vertAlign w:val="superscript"/>
          <w:lang w:val="en-US"/>
        </w:rPr>
        <w:t>3</w:t>
      </w:r>
      <w:r w:rsidRPr="00696AB5">
        <w:rPr>
          <w:lang w:val="en-US"/>
        </w:rPr>
        <w:t xml:space="preserve">; </w:t>
      </w:r>
    </w:p>
    <w:p w:rsidR="00696AB5" w:rsidRPr="00696AB5" w:rsidRDefault="00696AB5" w:rsidP="006B769D">
      <w:pPr>
        <w:pStyle w:val="SH4"/>
        <w:rPr>
          <w:lang w:val="en-US"/>
        </w:rPr>
      </w:pPr>
      <w:r w:rsidRPr="00696AB5">
        <w:rPr>
          <w:lang w:val="en-US"/>
        </w:rPr>
        <w:t xml:space="preserve">nitrogen dioxide exceeding 18.0 </w:t>
      </w:r>
      <w:proofErr w:type="spellStart"/>
      <w:r w:rsidRPr="00696AB5">
        <w:rPr>
          <w:lang w:val="en-US"/>
        </w:rPr>
        <w:t>μg</w:t>
      </w:r>
      <w:proofErr w:type="spellEnd"/>
      <w:r w:rsidRPr="00696AB5">
        <w:rPr>
          <w:lang w:val="en-US"/>
        </w:rPr>
        <w:t>/m</w:t>
      </w:r>
      <w:r w:rsidRPr="006B769D">
        <w:rPr>
          <w:vertAlign w:val="superscript"/>
          <w:lang w:val="en-US"/>
        </w:rPr>
        <w:t>3</w:t>
      </w:r>
      <w:r w:rsidRPr="00696AB5">
        <w:rPr>
          <w:lang w:val="en-US"/>
        </w:rPr>
        <w:t xml:space="preserve">; or </w:t>
      </w:r>
    </w:p>
    <w:p w:rsidR="00696AB5" w:rsidRPr="00696AB5" w:rsidRDefault="00696AB5" w:rsidP="006B769D">
      <w:pPr>
        <w:pStyle w:val="SH4"/>
        <w:rPr>
          <w:lang w:val="en-US"/>
        </w:rPr>
      </w:pPr>
      <w:proofErr w:type="gramStart"/>
      <w:r w:rsidRPr="00696AB5">
        <w:rPr>
          <w:lang w:val="en-US"/>
        </w:rPr>
        <w:t>nitrous</w:t>
      </w:r>
      <w:proofErr w:type="gramEnd"/>
      <w:r w:rsidRPr="00696AB5">
        <w:rPr>
          <w:lang w:val="en-US"/>
        </w:rPr>
        <w:t xml:space="preserve"> oxides exceeding 31.5 </w:t>
      </w:r>
      <w:proofErr w:type="spellStart"/>
      <w:r w:rsidRPr="00696AB5">
        <w:rPr>
          <w:lang w:val="en-US"/>
        </w:rPr>
        <w:t>μg</w:t>
      </w:r>
      <w:proofErr w:type="spellEnd"/>
      <w:r w:rsidRPr="00696AB5">
        <w:rPr>
          <w:lang w:val="en-US"/>
        </w:rPr>
        <w:t>/m</w:t>
      </w:r>
      <w:r w:rsidRPr="006B769D">
        <w:rPr>
          <w:vertAlign w:val="superscript"/>
          <w:lang w:val="en-US"/>
        </w:rPr>
        <w:t>3</w:t>
      </w:r>
      <w:r w:rsidRPr="00696AB5">
        <w:rPr>
          <w:lang w:val="en-US"/>
        </w:rPr>
        <w:t>.</w:t>
      </w:r>
    </w:p>
    <w:p w:rsidR="00FE5DE6" w:rsidRPr="005F16A0" w:rsidRDefault="007B52F6" w:rsidP="005F16A0">
      <w:pPr>
        <w:pStyle w:val="SH3"/>
        <w:rPr>
          <w:lang w:val="en-US"/>
        </w:rPr>
      </w:pPr>
      <w:r w:rsidRPr="007B52F6">
        <w:tab/>
      </w:r>
      <w:proofErr w:type="gramStart"/>
      <w:r w:rsidR="00FE5DE6" w:rsidRPr="00FE5DE6">
        <w:rPr>
          <w:b/>
          <w:i/>
        </w:rPr>
        <w:t>being</w:t>
      </w:r>
      <w:proofErr w:type="gramEnd"/>
      <w:r w:rsidR="00FE5DE6" w:rsidRPr="00FE5DE6">
        <w:rPr>
          <w:b/>
          <w:i/>
        </w:rPr>
        <w:t xml:space="preserve"> exposed to second-hand smoke</w:t>
      </w:r>
      <w:r w:rsidR="00FE5DE6" w:rsidRPr="00FE5DE6">
        <w:t xml:space="preserve"> means being in an enclosed space and inhaling smoke from burning tobacco products or smoke that has been exhaled by another person who is smoking.</w:t>
      </w:r>
    </w:p>
    <w:p w:rsidR="005F16A0" w:rsidRDefault="005F16A0" w:rsidP="005F16A0">
      <w:pPr>
        <w:pStyle w:val="SH3"/>
        <w:rPr>
          <w:lang w:val="en-US"/>
        </w:rPr>
      </w:pPr>
      <w:proofErr w:type="gramStart"/>
      <w:r w:rsidRPr="005F16A0">
        <w:rPr>
          <w:b/>
          <w:i/>
          <w:lang w:val="en-US"/>
        </w:rPr>
        <w:t>chronic</w:t>
      </w:r>
      <w:proofErr w:type="gramEnd"/>
      <w:r w:rsidRPr="005F16A0">
        <w:rPr>
          <w:b/>
          <w:i/>
          <w:lang w:val="en-US"/>
        </w:rPr>
        <w:t xml:space="preserve"> obstructive pulmonary disease</w:t>
      </w:r>
      <w:r w:rsidRPr="005F16A0">
        <w:rPr>
          <w:lang w:val="en-US"/>
        </w:rPr>
        <w:t>—see subsection 7(2).</w:t>
      </w:r>
    </w:p>
    <w:p w:rsidR="005F16A0" w:rsidRPr="005F16A0" w:rsidRDefault="005F16A0" w:rsidP="005F16A0">
      <w:pPr>
        <w:pStyle w:val="SH3"/>
        <w:rPr>
          <w:lang w:val="en-US"/>
        </w:rPr>
      </w:pPr>
      <w:proofErr w:type="gramStart"/>
      <w:r w:rsidRPr="005F16A0">
        <w:rPr>
          <w:b/>
          <w:i/>
          <w:lang w:val="en-US"/>
        </w:rPr>
        <w:t>dust</w:t>
      </w:r>
      <w:proofErr w:type="gramEnd"/>
      <w:r w:rsidRPr="005F16A0">
        <w:rPr>
          <w:lang w:val="en-US"/>
        </w:rPr>
        <w:t xml:space="preserve"> means airborne particulate matter consisting of solid particles of organic or inorganic matter, of aerodynamic diameter between 0.5 and 30 </w:t>
      </w:r>
      <w:proofErr w:type="spellStart"/>
      <w:r w:rsidRPr="005F16A0">
        <w:rPr>
          <w:lang w:val="en-US"/>
        </w:rPr>
        <w:t>micrometres</w:t>
      </w:r>
      <w:proofErr w:type="spellEnd"/>
      <w:r w:rsidRPr="005F16A0">
        <w:rPr>
          <w:lang w:val="en-US"/>
        </w:rPr>
        <w:t>, excluding wood dust.</w:t>
      </w:r>
    </w:p>
    <w:p w:rsidR="00FE5DE6" w:rsidRDefault="00FE5DE6" w:rsidP="005F16A0">
      <w:pPr>
        <w:pStyle w:val="SH3"/>
        <w:rPr>
          <w:lang w:val="en-US"/>
        </w:rPr>
      </w:pPr>
      <w:proofErr w:type="gramStart"/>
      <w:r w:rsidRPr="00FE5DE6">
        <w:rPr>
          <w:b/>
          <w:i/>
          <w:lang w:val="en-US"/>
        </w:rPr>
        <w:t>joint-years</w:t>
      </w:r>
      <w:proofErr w:type="gramEnd"/>
      <w:r w:rsidRPr="00FE5DE6">
        <w:rPr>
          <w:b/>
          <w:i/>
          <w:lang w:val="en-US"/>
        </w:rPr>
        <w:t xml:space="preserve"> of cannabis</w:t>
      </w:r>
      <w:r w:rsidRPr="00FE5DE6">
        <w:rPr>
          <w:lang w:val="en-US"/>
        </w:rPr>
        <w:t xml:space="preserve"> means a calculation of consumption where 1 joint-year of cannabis equals 1 joint per day for a period of 1 year.</w:t>
      </w:r>
    </w:p>
    <w:p w:rsidR="002213AF" w:rsidRPr="00FE5DE6" w:rsidRDefault="002213AF" w:rsidP="002213AF">
      <w:pPr>
        <w:pStyle w:val="SH3"/>
        <w:rPr>
          <w:lang w:val="en-US"/>
        </w:rPr>
      </w:pPr>
      <w:proofErr w:type="gramStart"/>
      <w:r w:rsidRPr="002213AF">
        <w:rPr>
          <w:b/>
          <w:i/>
          <w:lang w:val="en-US"/>
        </w:rPr>
        <w:t>lower</w:t>
      </w:r>
      <w:proofErr w:type="gramEnd"/>
      <w:r w:rsidRPr="002213AF">
        <w:rPr>
          <w:b/>
          <w:i/>
          <w:lang w:val="en-US"/>
        </w:rPr>
        <w:t xml:space="preserve"> respiratory tract </w:t>
      </w:r>
      <w:r w:rsidRPr="002213AF">
        <w:rPr>
          <w:lang w:val="en-US"/>
        </w:rPr>
        <w:t>means the trachea, bronchi, and lungs.</w:t>
      </w:r>
    </w:p>
    <w:p w:rsidR="00885EAB" w:rsidRDefault="00885EAB" w:rsidP="005F16A0">
      <w:pPr>
        <w:pStyle w:val="SH3"/>
      </w:pPr>
      <w:r w:rsidRPr="001A41A4">
        <w:rPr>
          <w:b/>
          <w:i/>
        </w:rPr>
        <w:t>MRCA</w:t>
      </w:r>
      <w:r w:rsidRPr="00E424C8">
        <w:rPr>
          <w:b/>
        </w:rPr>
        <w:t xml:space="preserve"> </w:t>
      </w:r>
      <w:r w:rsidRPr="00973808">
        <w:t>me</w:t>
      </w:r>
      <w:r w:rsidRPr="00024911">
        <w:rPr>
          <w:rStyle w:val="SH3nospaceChar"/>
        </w:rPr>
        <w:t>a</w:t>
      </w:r>
      <w:r w:rsidRPr="00973808">
        <w:t>ns</w:t>
      </w:r>
      <w:r w:rsidRPr="009C404D">
        <w:t xml:space="preserve"> the </w:t>
      </w:r>
      <w:r w:rsidRPr="00AB5BDE">
        <w:rPr>
          <w:i/>
        </w:rPr>
        <w:t>Military Rehabilitation and Compensation Act 2004</w:t>
      </w:r>
      <w:r w:rsidRPr="009C404D">
        <w:t>.</w:t>
      </w:r>
    </w:p>
    <w:p w:rsidR="00F35D26" w:rsidRDefault="00F35D26" w:rsidP="005F16A0">
      <w:pPr>
        <w:pStyle w:val="SH3"/>
      </w:pPr>
      <w:proofErr w:type="gramStart"/>
      <w:r w:rsidRPr="00F35D26">
        <w:rPr>
          <w:b/>
          <w:i/>
        </w:rPr>
        <w:t>one</w:t>
      </w:r>
      <w:proofErr w:type="gramEnd"/>
      <w:r w:rsidRPr="00F35D26">
        <w:rPr>
          <w:b/>
          <w:i/>
        </w:rPr>
        <w:t xml:space="preserve"> pack-year </w:t>
      </w:r>
      <w:r>
        <w:t xml:space="preserve">means the amount of tobacco consumed in smoking 20 cigarettes per day for a period of 1 year, or an equivalent amount of tobacco products. </w:t>
      </w:r>
    </w:p>
    <w:p w:rsidR="00F35D26" w:rsidRDefault="00F35D26" w:rsidP="00F35D26">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F35D26" w:rsidRDefault="00F35D26" w:rsidP="00F35D26">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D33B2E" w:rsidRDefault="00D33B2E" w:rsidP="005F16A0">
      <w:pPr>
        <w:pStyle w:val="SH3"/>
      </w:pPr>
      <w:proofErr w:type="gramStart"/>
      <w:r w:rsidRPr="00D33B2E">
        <w:rPr>
          <w:b/>
          <w:i/>
        </w:rPr>
        <w:t>persistent</w:t>
      </w:r>
      <w:proofErr w:type="gramEnd"/>
      <w:r w:rsidRPr="00D33B2E">
        <w:rPr>
          <w:b/>
          <w:i/>
        </w:rPr>
        <w:t xml:space="preserve"> airflow limitation</w:t>
      </w:r>
      <w:r w:rsidRPr="00D33B2E">
        <w:t xml:space="preserve"> is a post-bronchodilator </w:t>
      </w:r>
      <w:proofErr w:type="spellStart"/>
      <w:r w:rsidRPr="00D33B2E">
        <w:t>spirometric</w:t>
      </w:r>
      <w:proofErr w:type="spellEnd"/>
      <w:r w:rsidRPr="00D33B2E">
        <w:t xml:space="preserve"> ratio of forced expiratory volume in one second divided by forced vital capacity (FEV</w:t>
      </w:r>
      <w:r w:rsidRPr="00D33B2E">
        <w:rPr>
          <w:vertAlign w:val="subscript"/>
        </w:rPr>
        <w:t>1</w:t>
      </w:r>
      <w:r w:rsidRPr="00D33B2E">
        <w:t>/FVC) less than 0.7, which is not attributable to other pathology.</w:t>
      </w:r>
    </w:p>
    <w:p w:rsidR="00493858" w:rsidRDefault="00493858" w:rsidP="005F16A0">
      <w:pPr>
        <w:pStyle w:val="SH3"/>
      </w:pPr>
      <w:proofErr w:type="gramStart"/>
      <w:r w:rsidRPr="00493858">
        <w:rPr>
          <w:b/>
          <w:i/>
        </w:rPr>
        <w:t>polluting</w:t>
      </w:r>
      <w:proofErr w:type="gramEnd"/>
      <w:r w:rsidRPr="00493858">
        <w:rPr>
          <w:b/>
          <w:i/>
        </w:rPr>
        <w:t xml:space="preserve"> fuels</w:t>
      </w:r>
      <w:r w:rsidRPr="00493858">
        <w:t xml:space="preserve"> means animal dung, wood, charcoal, coal, coke, crop residues, and kerosene.</w:t>
      </w:r>
    </w:p>
    <w:p w:rsidR="00415417" w:rsidRPr="009C404D" w:rsidRDefault="00415417" w:rsidP="00415417">
      <w:pPr>
        <w:pStyle w:val="SH3"/>
      </w:pPr>
      <w:proofErr w:type="gramStart"/>
      <w:r w:rsidRPr="00415417">
        <w:rPr>
          <w:b/>
          <w:i/>
        </w:rPr>
        <w:t>pulmonary</w:t>
      </w:r>
      <w:proofErr w:type="gramEnd"/>
      <w:r w:rsidRPr="00415417">
        <w:rPr>
          <w:b/>
          <w:i/>
        </w:rPr>
        <w:t xml:space="preserve"> tuberculosis</w:t>
      </w:r>
      <w:r w:rsidRPr="00415417">
        <w:t xml:space="preserve"> means an active tuberculosis infection that occurs in the lung or respiratory tract in which the tuberculosis bacteria are multiplying and inducing an inflammatory response.</w:t>
      </w:r>
    </w:p>
    <w:p w:rsidR="0090262E" w:rsidRPr="0090262E" w:rsidRDefault="0090262E" w:rsidP="005F16A0">
      <w:pPr>
        <w:pStyle w:val="SH3"/>
      </w:pPr>
      <w:bookmarkStart w:id="38" w:name="_Ref402529607"/>
      <w:bookmarkEnd w:id="37"/>
      <w:r w:rsidRPr="005F16A0">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5F16A0" w:rsidRDefault="00A36B1A" w:rsidP="005F16A0">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5F16A0" w:rsidRPr="005F16A0" w:rsidRDefault="005F16A0" w:rsidP="005F16A0">
      <w:pPr>
        <w:pStyle w:val="SH3"/>
      </w:pPr>
      <w:r w:rsidRPr="005F16A0">
        <w:rPr>
          <w:b/>
          <w:i/>
        </w:rPr>
        <w:t>specified list of respiratory tract irritants</w:t>
      </w:r>
      <w:r w:rsidRPr="005F16A0">
        <w:t xml:space="preserve"> means: </w:t>
      </w:r>
    </w:p>
    <w:p w:rsidR="005F16A0" w:rsidRDefault="005F16A0" w:rsidP="006B769D">
      <w:pPr>
        <w:pStyle w:val="SH4"/>
      </w:pPr>
      <w:r>
        <w:t xml:space="preserve">ammonia; </w:t>
      </w:r>
    </w:p>
    <w:p w:rsidR="005F16A0" w:rsidRDefault="005F16A0" w:rsidP="006B769D">
      <w:pPr>
        <w:pStyle w:val="SH4"/>
      </w:pPr>
      <w:r>
        <w:t xml:space="preserve">chlorine; </w:t>
      </w:r>
    </w:p>
    <w:p w:rsidR="005F16A0" w:rsidRDefault="005F16A0" w:rsidP="006B769D">
      <w:pPr>
        <w:pStyle w:val="SH4"/>
      </w:pPr>
      <w:r>
        <w:t xml:space="preserve">dust at a concentration of greater than five milligrams per cubic metre; </w:t>
      </w:r>
    </w:p>
    <w:p w:rsidR="005F16A0" w:rsidRDefault="005F16A0" w:rsidP="006B769D">
      <w:pPr>
        <w:pStyle w:val="SH4"/>
      </w:pPr>
      <w:r>
        <w:t xml:space="preserve">Lewisite; </w:t>
      </w:r>
    </w:p>
    <w:p w:rsidR="005F16A0" w:rsidRDefault="005F16A0" w:rsidP="006B769D">
      <w:pPr>
        <w:pStyle w:val="SH4"/>
      </w:pPr>
      <w:r>
        <w:t xml:space="preserve">oxides of nitrogen; </w:t>
      </w:r>
    </w:p>
    <w:p w:rsidR="005F16A0" w:rsidRDefault="005F16A0" w:rsidP="006B769D">
      <w:pPr>
        <w:pStyle w:val="SH4"/>
      </w:pPr>
      <w:r>
        <w:t xml:space="preserve">oxides of sulphur; </w:t>
      </w:r>
    </w:p>
    <w:p w:rsidR="005F16A0" w:rsidRDefault="005F16A0" w:rsidP="006B769D">
      <w:pPr>
        <w:pStyle w:val="SH4"/>
      </w:pPr>
      <w:r>
        <w:t xml:space="preserve">phosgene; </w:t>
      </w:r>
    </w:p>
    <w:p w:rsidR="005F16A0" w:rsidRDefault="005F16A0" w:rsidP="006B769D">
      <w:pPr>
        <w:pStyle w:val="SH4"/>
      </w:pPr>
      <w:r>
        <w:t xml:space="preserve">phthalic anhydride; </w:t>
      </w:r>
    </w:p>
    <w:p w:rsidR="005F16A0" w:rsidRDefault="005F16A0" w:rsidP="006B769D">
      <w:pPr>
        <w:pStyle w:val="SH4"/>
      </w:pPr>
      <w:r>
        <w:t xml:space="preserve">smoke from fires; </w:t>
      </w:r>
    </w:p>
    <w:p w:rsidR="005F16A0" w:rsidRDefault="005F16A0" w:rsidP="006B769D">
      <w:pPr>
        <w:pStyle w:val="SH4"/>
      </w:pPr>
      <w:r>
        <w:t xml:space="preserve">sulphur mustard (mustard gas); or </w:t>
      </w:r>
    </w:p>
    <w:p w:rsidR="005F16A0" w:rsidRPr="00513D05" w:rsidRDefault="005F16A0" w:rsidP="006B769D">
      <w:pPr>
        <w:pStyle w:val="SH4"/>
      </w:pPr>
      <w:proofErr w:type="gramStart"/>
      <w:r>
        <w:t>another</w:t>
      </w:r>
      <w:proofErr w:type="gramEnd"/>
      <w:r>
        <w:t xml:space="preserve"> </w:t>
      </w:r>
      <w:proofErr w:type="spellStart"/>
      <w:r>
        <w:t>respirable</w:t>
      </w:r>
      <w:proofErr w:type="spellEnd"/>
      <w:r>
        <w:t xml:space="preserve"> agent which causes comparable tissue damage.  </w:t>
      </w:r>
    </w:p>
    <w:p w:rsidR="005F16A0" w:rsidRPr="005F16A0" w:rsidRDefault="001A41A4" w:rsidP="005F16A0">
      <w:pPr>
        <w:pStyle w:val="ScheduleNote"/>
      </w:pPr>
      <w:r>
        <w:t>Note:</w:t>
      </w:r>
      <w:r w:rsidR="005F16A0">
        <w:t xml:space="preserve"> </w:t>
      </w:r>
      <w:r>
        <w:rPr>
          <w:b/>
          <w:i/>
        </w:rPr>
        <w:t>d</w:t>
      </w:r>
      <w:r w:rsidR="005F16A0" w:rsidRPr="005F16A0">
        <w:rPr>
          <w:b/>
          <w:i/>
        </w:rPr>
        <w:t xml:space="preserve">ust </w:t>
      </w:r>
      <w:r w:rsidR="005F16A0">
        <w:t>is also defined in the Schedule 1 – Dictionary.</w:t>
      </w:r>
    </w:p>
    <w:p w:rsidR="001712FA" w:rsidRDefault="001712FA" w:rsidP="001712FA">
      <w:pPr>
        <w:pStyle w:val="SH3"/>
      </w:pPr>
      <w:r w:rsidRPr="001712FA">
        <w:rPr>
          <w:b/>
          <w:i/>
        </w:rPr>
        <w:t>specified list of substances</w:t>
      </w:r>
      <w:r>
        <w:t xml:space="preserve"> means: </w:t>
      </w:r>
    </w:p>
    <w:p w:rsidR="001712FA" w:rsidRPr="00624D8C" w:rsidRDefault="001712FA" w:rsidP="006B769D">
      <w:pPr>
        <w:pStyle w:val="SH4"/>
      </w:pPr>
      <w:r>
        <w:t>a</w:t>
      </w:r>
      <w:r w:rsidRPr="00624D8C">
        <w:t>mmonia</w:t>
      </w:r>
      <w:r>
        <w:t xml:space="preserve"> gas at a concentration &gt;0.1 ppm</w:t>
      </w:r>
      <w:r w:rsidRPr="00624D8C">
        <w:t>;</w:t>
      </w:r>
      <w:r>
        <w:t xml:space="preserve"> </w:t>
      </w:r>
      <w:r w:rsidRPr="00624D8C">
        <w:t xml:space="preserve"> </w:t>
      </w:r>
    </w:p>
    <w:p w:rsidR="001712FA" w:rsidRPr="00624D8C" w:rsidRDefault="001712FA" w:rsidP="006B769D">
      <w:pPr>
        <w:pStyle w:val="SH4"/>
      </w:pPr>
      <w:r w:rsidRPr="00624D8C">
        <w:t>cadmium</w:t>
      </w:r>
      <w:r>
        <w:t xml:space="preserve"> fumes at a concentration &gt;0.00001 mg/m</w:t>
      </w:r>
      <w:r w:rsidRPr="00003A13">
        <w:rPr>
          <w:vertAlign w:val="superscript"/>
        </w:rPr>
        <w:t>3</w:t>
      </w:r>
      <w:r w:rsidRPr="00624D8C">
        <w:t xml:space="preserve">; </w:t>
      </w:r>
    </w:p>
    <w:p w:rsidR="001712FA" w:rsidRPr="00624D8C" w:rsidRDefault="001712FA" w:rsidP="006B769D">
      <w:pPr>
        <w:pStyle w:val="SH4"/>
      </w:pPr>
      <w:r>
        <w:t>chlorine dioxide gas</w:t>
      </w:r>
      <w:r w:rsidR="003375E3">
        <w:t xml:space="preserve"> at</w:t>
      </w:r>
      <w:r>
        <w:t xml:space="preserve"> a concentration &gt;0.001 ppm; </w:t>
      </w:r>
    </w:p>
    <w:p w:rsidR="001712FA" w:rsidRDefault="001712FA" w:rsidP="006B769D">
      <w:pPr>
        <w:pStyle w:val="SH4"/>
      </w:pPr>
      <w:r w:rsidRPr="00624D8C">
        <w:t>chlorine</w:t>
      </w:r>
      <w:r>
        <w:t xml:space="preserve"> gas at a concentration &gt;0.00005 ppm</w:t>
      </w:r>
      <w:r w:rsidRPr="00624D8C">
        <w:t xml:space="preserve">; </w:t>
      </w:r>
    </w:p>
    <w:p w:rsidR="001712FA" w:rsidRPr="00624D8C" w:rsidRDefault="001712FA" w:rsidP="006B769D">
      <w:pPr>
        <w:pStyle w:val="SH4"/>
      </w:pPr>
      <w:r w:rsidRPr="00624D8C">
        <w:t>cleaning agents</w:t>
      </w:r>
      <w:r>
        <w:t xml:space="preserve"> during cleaning; </w:t>
      </w:r>
    </w:p>
    <w:p w:rsidR="001712FA" w:rsidRDefault="001712FA" w:rsidP="006B769D">
      <w:pPr>
        <w:pStyle w:val="SH4"/>
      </w:pPr>
      <w:r>
        <w:t>diesel engine exhaust;</w:t>
      </w:r>
    </w:p>
    <w:p w:rsidR="001712FA" w:rsidRDefault="001712FA" w:rsidP="006B769D">
      <w:pPr>
        <w:pStyle w:val="SH4"/>
      </w:pPr>
      <w:r>
        <w:t xml:space="preserve">insecticides at the time of application; </w:t>
      </w:r>
    </w:p>
    <w:p w:rsidR="001712FA" w:rsidRPr="00624D8C" w:rsidRDefault="001712FA" w:rsidP="006B769D">
      <w:pPr>
        <w:pStyle w:val="SH4"/>
      </w:pPr>
      <w:r>
        <w:t xml:space="preserve">herbicide at the time of application; </w:t>
      </w:r>
    </w:p>
    <w:p w:rsidR="001712FA" w:rsidRPr="00624D8C" w:rsidRDefault="001712FA" w:rsidP="006B769D">
      <w:pPr>
        <w:pStyle w:val="SH4"/>
      </w:pPr>
      <w:proofErr w:type="spellStart"/>
      <w:r>
        <w:t>methylenediphenyl</w:t>
      </w:r>
      <w:proofErr w:type="spellEnd"/>
      <w:r>
        <w:t xml:space="preserve"> </w:t>
      </w:r>
      <w:proofErr w:type="spellStart"/>
      <w:r>
        <w:t>diisocyanate</w:t>
      </w:r>
      <w:proofErr w:type="spellEnd"/>
      <w:r>
        <w:t xml:space="preserve"> &gt;0.00001 ppm;</w:t>
      </w:r>
    </w:p>
    <w:p w:rsidR="001712FA" w:rsidRPr="00624D8C" w:rsidRDefault="001712FA" w:rsidP="006B769D">
      <w:pPr>
        <w:pStyle w:val="SH4"/>
      </w:pPr>
      <w:r>
        <w:t>phthalic anhydride;</w:t>
      </w:r>
    </w:p>
    <w:p w:rsidR="001712FA" w:rsidRPr="00624D8C" w:rsidRDefault="001712FA" w:rsidP="006B769D">
      <w:pPr>
        <w:pStyle w:val="SH4"/>
      </w:pPr>
      <w:r w:rsidRPr="00624D8C">
        <w:t>sulphur dioxide</w:t>
      </w:r>
      <w:r>
        <w:t xml:space="preserve"> gas at a concentration &gt;0.1 ppm</w:t>
      </w:r>
      <w:r w:rsidRPr="00624D8C">
        <w:t xml:space="preserve">; </w:t>
      </w:r>
    </w:p>
    <w:p w:rsidR="001712FA" w:rsidRPr="00624D8C" w:rsidRDefault="001712FA" w:rsidP="006B769D">
      <w:pPr>
        <w:pStyle w:val="SH4"/>
      </w:pPr>
      <w:r w:rsidRPr="00624D8C">
        <w:t xml:space="preserve">sulphur mustard (mustard gas); </w:t>
      </w:r>
    </w:p>
    <w:p w:rsidR="001712FA" w:rsidRDefault="001712FA" w:rsidP="006B769D">
      <w:pPr>
        <w:pStyle w:val="SH4"/>
      </w:pPr>
      <w:r>
        <w:t xml:space="preserve">toluene </w:t>
      </w:r>
      <w:proofErr w:type="spellStart"/>
      <w:r>
        <w:t>di</w:t>
      </w:r>
      <w:r w:rsidRPr="00624D8C">
        <w:t>isocyanate</w:t>
      </w:r>
      <w:proofErr w:type="spellEnd"/>
      <w:r>
        <w:t xml:space="preserve"> </w:t>
      </w:r>
      <w:r w:rsidR="0028519B">
        <w:t xml:space="preserve">at </w:t>
      </w:r>
      <w:r>
        <w:t>a concentration &gt;0.000003 ppm;</w:t>
      </w:r>
      <w:r w:rsidR="00091A13">
        <w:t xml:space="preserve"> or</w:t>
      </w:r>
    </w:p>
    <w:p w:rsidR="001712FA" w:rsidRPr="00624D8C" w:rsidRDefault="001712FA" w:rsidP="006B769D">
      <w:pPr>
        <w:pStyle w:val="SH4"/>
      </w:pPr>
      <w:proofErr w:type="gramStart"/>
      <w:r w:rsidRPr="00624D8C">
        <w:t>welding</w:t>
      </w:r>
      <w:proofErr w:type="gramEnd"/>
      <w:r w:rsidRPr="00624D8C">
        <w:t xml:space="preserve"> materials</w:t>
      </w:r>
      <w:r>
        <w:t xml:space="preserve"> during welding. </w:t>
      </w:r>
    </w:p>
    <w:p w:rsidR="00D05BEB" w:rsidRPr="00D05BEB" w:rsidRDefault="00D05BEB" w:rsidP="005F16A0">
      <w:pPr>
        <w:pStyle w:val="SH3"/>
      </w:pPr>
    </w:p>
    <w:p w:rsidR="00885EAB" w:rsidRPr="009C404D" w:rsidRDefault="00054930" w:rsidP="005F16A0">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F16A0">
      <w:pPr>
        <w:pStyle w:val="SH3"/>
      </w:pPr>
      <w:r w:rsidRPr="001A41A4">
        <w:rPr>
          <w:b/>
          <w:i/>
        </w:rPr>
        <w:t>VEA</w:t>
      </w:r>
      <w:r w:rsidRPr="0019084F">
        <w:t xml:space="preserve"> means the </w:t>
      </w:r>
      <w:r w:rsidRPr="00AB5BDE">
        <w:rPr>
          <w:i/>
        </w:rPr>
        <w:t>Veterans</w:t>
      </w:r>
      <w:r w:rsidR="00ED21FE" w:rsidRPr="00AB5BDE">
        <w:rPr>
          <w:i/>
        </w:rPr>
        <w:t>'</w:t>
      </w:r>
      <w:r w:rsidRPr="00AB5BDE">
        <w:rPr>
          <w:i/>
        </w:rPr>
        <w:t xml:space="preserve"> Entitlements Act 1986</w:t>
      </w:r>
      <w:r w:rsidRPr="0019084F">
        <w:t>.</w:t>
      </w:r>
    </w:p>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867B0A">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774AA7" w:rsidP="004A2007">
          <w:pPr>
            <w:spacing w:line="0" w:lineRule="atLeast"/>
            <w:jc w:val="center"/>
            <w:rPr>
              <w:i/>
              <w:sz w:val="18"/>
              <w:szCs w:val="18"/>
            </w:rPr>
          </w:pPr>
          <w:r w:rsidRPr="00774AA7">
            <w:rPr>
              <w:i/>
              <w:sz w:val="18"/>
              <w:szCs w:val="18"/>
            </w:rPr>
            <w:t>Chronic Obstructive Pulmonary Disease</w:t>
          </w:r>
          <w:r w:rsidR="004A2007">
            <w:rPr>
              <w:i/>
              <w:sz w:val="18"/>
              <w:szCs w:val="18"/>
            </w:rPr>
            <w:t xml:space="preserve"> (Reasonable Hypothesis) </w:t>
          </w:r>
          <w:r w:rsidR="004A2007" w:rsidRPr="007C5CE0">
            <w:rPr>
              <w:i/>
              <w:sz w:val="18"/>
            </w:rPr>
            <w:t xml:space="preserve">(No. </w:t>
          </w:r>
          <w:r w:rsidRPr="00774AA7">
            <w:rPr>
              <w:i/>
              <w:sz w:val="18"/>
              <w:szCs w:val="18"/>
            </w:rPr>
            <w:t>17</w:t>
          </w:r>
          <w:r w:rsidR="004A2007" w:rsidRPr="007C5CE0">
            <w:rPr>
              <w:i/>
              <w:sz w:val="18"/>
              <w:szCs w:val="18"/>
            </w:rPr>
            <w:t xml:space="preserve"> of </w:t>
          </w:r>
          <w:r w:rsidRPr="00774AA7">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14688">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14688">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774AA7" w:rsidP="004A2007">
          <w:pPr>
            <w:spacing w:line="0" w:lineRule="atLeast"/>
            <w:jc w:val="center"/>
            <w:rPr>
              <w:i/>
              <w:sz w:val="18"/>
              <w:szCs w:val="18"/>
            </w:rPr>
          </w:pPr>
          <w:r w:rsidRPr="00774AA7">
            <w:rPr>
              <w:i/>
              <w:sz w:val="18"/>
              <w:szCs w:val="18"/>
            </w:rPr>
            <w:t>Chronic Obstructive Pulmonary Disease</w:t>
          </w:r>
          <w:r w:rsidR="004A2007">
            <w:rPr>
              <w:i/>
              <w:sz w:val="18"/>
              <w:szCs w:val="18"/>
            </w:rPr>
            <w:t xml:space="preserve"> (Reasonable Hypothesis) </w:t>
          </w:r>
          <w:r w:rsidR="004A2007" w:rsidRPr="007C5CE0">
            <w:rPr>
              <w:i/>
              <w:sz w:val="18"/>
            </w:rPr>
            <w:t xml:space="preserve">(No. </w:t>
          </w:r>
          <w:r w:rsidRPr="00774AA7">
            <w:rPr>
              <w:i/>
              <w:sz w:val="18"/>
              <w:szCs w:val="18"/>
            </w:rPr>
            <w:t>17</w:t>
          </w:r>
          <w:r w:rsidR="004A2007" w:rsidRPr="007C5CE0">
            <w:rPr>
              <w:i/>
              <w:sz w:val="18"/>
              <w:szCs w:val="18"/>
            </w:rPr>
            <w:t xml:space="preserve"> of </w:t>
          </w:r>
          <w:r w:rsidRPr="00774AA7">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1468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14688">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8F6F0D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6C61723"/>
    <w:multiLevelType w:val="hybridMultilevel"/>
    <w:tmpl w:val="65223032"/>
    <w:lvl w:ilvl="0" w:tplc="31366E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10607BC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71504E8B"/>
    <w:multiLevelType w:val="hybridMultilevel"/>
    <w:tmpl w:val="271A6E30"/>
    <w:lvl w:ilvl="0" w:tplc="ABB033F8">
      <w:start w:val="1"/>
      <w:numFmt w:val="lowerLetter"/>
      <w:lvlText w:val="(%1)"/>
      <w:lvlJc w:val="left"/>
      <w:pPr>
        <w:tabs>
          <w:tab w:val="num" w:pos="720"/>
        </w:tabs>
        <w:ind w:left="720" w:hanging="720"/>
      </w:pPr>
      <w:rPr>
        <w:rFonts w:ascii="Times New Roman" w:hAnsi="Times New Roman" w:hint="default"/>
        <w:b w:val="0"/>
        <w:i w:val="0"/>
        <w:sz w:val="24"/>
      </w:rPr>
    </w:lvl>
    <w:lvl w:ilvl="1" w:tplc="E556A444">
      <w:start w:val="2"/>
      <w:numFmt w:val="lowerLetter"/>
      <w:lvlText w:val="(%2)"/>
      <w:lvlJc w:val="left"/>
      <w:pPr>
        <w:tabs>
          <w:tab w:val="num" w:pos="1080"/>
        </w:tabs>
        <w:ind w:left="1080" w:hanging="720"/>
      </w:pPr>
      <w:rPr>
        <w:b w:val="0"/>
        <w:i w:val="0"/>
        <w:sz w:val="24"/>
      </w:rPr>
    </w:lvl>
    <w:lvl w:ilvl="2" w:tplc="0C09001B">
      <w:start w:val="1"/>
      <w:numFmt w:val="lowerRoman"/>
      <w:lvlText w:val="%3."/>
      <w:lvlJc w:val="right"/>
      <w:pPr>
        <w:tabs>
          <w:tab w:val="num" w:pos="1440"/>
        </w:tabs>
        <w:ind w:left="1440" w:hanging="180"/>
      </w:pPr>
    </w:lvl>
    <w:lvl w:ilvl="3" w:tplc="0C09000F">
      <w:start w:val="1"/>
      <w:numFmt w:val="decimal"/>
      <w:lvlText w:val="%4."/>
      <w:lvlJc w:val="left"/>
      <w:pPr>
        <w:tabs>
          <w:tab w:val="num" w:pos="2160"/>
        </w:tabs>
        <w:ind w:left="2160" w:hanging="360"/>
      </w:pPr>
    </w:lvl>
    <w:lvl w:ilvl="4" w:tplc="0C090019">
      <w:start w:val="1"/>
      <w:numFmt w:val="lowerLetter"/>
      <w:lvlText w:val="%5."/>
      <w:lvlJc w:val="left"/>
      <w:pPr>
        <w:tabs>
          <w:tab w:val="num" w:pos="2880"/>
        </w:tabs>
        <w:ind w:left="2880" w:hanging="360"/>
      </w:pPr>
    </w:lvl>
    <w:lvl w:ilvl="5" w:tplc="0C09001B">
      <w:start w:val="1"/>
      <w:numFmt w:val="lowerRoman"/>
      <w:lvlText w:val="%6."/>
      <w:lvlJc w:val="right"/>
      <w:pPr>
        <w:tabs>
          <w:tab w:val="num" w:pos="3600"/>
        </w:tabs>
        <w:ind w:left="3600" w:hanging="180"/>
      </w:pPr>
    </w:lvl>
    <w:lvl w:ilvl="6" w:tplc="0C09000F">
      <w:start w:val="1"/>
      <w:numFmt w:val="decimal"/>
      <w:lvlText w:val="%7."/>
      <w:lvlJc w:val="left"/>
      <w:pPr>
        <w:tabs>
          <w:tab w:val="num" w:pos="4320"/>
        </w:tabs>
        <w:ind w:left="4320" w:hanging="360"/>
      </w:pPr>
    </w:lvl>
    <w:lvl w:ilvl="7" w:tplc="0C090019">
      <w:start w:val="1"/>
      <w:numFmt w:val="lowerLetter"/>
      <w:lvlText w:val="%8."/>
      <w:lvlJc w:val="left"/>
      <w:pPr>
        <w:tabs>
          <w:tab w:val="num" w:pos="5040"/>
        </w:tabs>
        <w:ind w:left="5040" w:hanging="360"/>
      </w:pPr>
    </w:lvl>
    <w:lvl w:ilvl="8" w:tplc="0C09001B">
      <w:start w:val="1"/>
      <w:numFmt w:val="lowerRoman"/>
      <w:lvlText w:val="%9."/>
      <w:lvlJc w:val="right"/>
      <w:pPr>
        <w:tabs>
          <w:tab w:val="num" w:pos="5760"/>
        </w:tabs>
        <w:ind w:left="5760" w:hanging="180"/>
      </w:pPr>
    </w:lvl>
  </w:abstractNum>
  <w:num w:numId="1">
    <w:abstractNumId w:val="16"/>
  </w:num>
  <w:num w:numId="2">
    <w:abstractNumId w:val="14"/>
  </w:num>
  <w:num w:numId="3">
    <w:abstractNumId w:val="12"/>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3"/>
  </w:num>
  <w:num w:numId="21">
    <w:abstractNumId w:val="10"/>
  </w:num>
  <w:num w:numId="22">
    <w:abstractNumId w:val="17"/>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193"/>
    <w:rsid w:val="0005365D"/>
    <w:rsid w:val="00054930"/>
    <w:rsid w:val="000614BF"/>
    <w:rsid w:val="00061E3E"/>
    <w:rsid w:val="00081B7C"/>
    <w:rsid w:val="00085567"/>
    <w:rsid w:val="0008674F"/>
    <w:rsid w:val="00091A13"/>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6D15"/>
    <w:rsid w:val="00132CEB"/>
    <w:rsid w:val="00137D25"/>
    <w:rsid w:val="00137FE9"/>
    <w:rsid w:val="00142B62"/>
    <w:rsid w:val="001514A8"/>
    <w:rsid w:val="0015201F"/>
    <w:rsid w:val="00157B8B"/>
    <w:rsid w:val="00161A8E"/>
    <w:rsid w:val="001648F7"/>
    <w:rsid w:val="00166C2F"/>
    <w:rsid w:val="00167E0C"/>
    <w:rsid w:val="001712FA"/>
    <w:rsid w:val="001809D7"/>
    <w:rsid w:val="001833C8"/>
    <w:rsid w:val="00187DE1"/>
    <w:rsid w:val="0019084F"/>
    <w:rsid w:val="001939E1"/>
    <w:rsid w:val="00194C3E"/>
    <w:rsid w:val="00195382"/>
    <w:rsid w:val="001A1438"/>
    <w:rsid w:val="001A41A4"/>
    <w:rsid w:val="001B0F26"/>
    <w:rsid w:val="001C2AD2"/>
    <w:rsid w:val="001C61C5"/>
    <w:rsid w:val="001C6493"/>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13AF"/>
    <w:rsid w:val="00223E2C"/>
    <w:rsid w:val="00224C03"/>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8519B"/>
    <w:rsid w:val="00297ECB"/>
    <w:rsid w:val="002A1ECC"/>
    <w:rsid w:val="002A3436"/>
    <w:rsid w:val="002A7BCF"/>
    <w:rsid w:val="002B45FA"/>
    <w:rsid w:val="002B5188"/>
    <w:rsid w:val="002C7539"/>
    <w:rsid w:val="002D043A"/>
    <w:rsid w:val="002D2AA2"/>
    <w:rsid w:val="002D6224"/>
    <w:rsid w:val="002D74C5"/>
    <w:rsid w:val="002E35CD"/>
    <w:rsid w:val="002E3F4B"/>
    <w:rsid w:val="002E5180"/>
    <w:rsid w:val="002F5948"/>
    <w:rsid w:val="002F77A1"/>
    <w:rsid w:val="00301C54"/>
    <w:rsid w:val="00304166"/>
    <w:rsid w:val="00304F8B"/>
    <w:rsid w:val="0032243F"/>
    <w:rsid w:val="0033221D"/>
    <w:rsid w:val="003354D2"/>
    <w:rsid w:val="00335BC6"/>
    <w:rsid w:val="003375E3"/>
    <w:rsid w:val="003415D3"/>
    <w:rsid w:val="00344701"/>
    <w:rsid w:val="00346A4A"/>
    <w:rsid w:val="00352B0F"/>
    <w:rsid w:val="00356690"/>
    <w:rsid w:val="00360459"/>
    <w:rsid w:val="00365E25"/>
    <w:rsid w:val="00372791"/>
    <w:rsid w:val="003734C6"/>
    <w:rsid w:val="00375BB3"/>
    <w:rsid w:val="003802D6"/>
    <w:rsid w:val="0038399F"/>
    <w:rsid w:val="00385187"/>
    <w:rsid w:val="0038751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417"/>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3858"/>
    <w:rsid w:val="00496F97"/>
    <w:rsid w:val="004A2007"/>
    <w:rsid w:val="004A4764"/>
    <w:rsid w:val="004A5E4B"/>
    <w:rsid w:val="004C6AE8"/>
    <w:rsid w:val="004C6D55"/>
    <w:rsid w:val="004D10CF"/>
    <w:rsid w:val="004D4BCA"/>
    <w:rsid w:val="004E063A"/>
    <w:rsid w:val="004E40C0"/>
    <w:rsid w:val="004E7BEC"/>
    <w:rsid w:val="004F23E0"/>
    <w:rsid w:val="005013C3"/>
    <w:rsid w:val="00505D3D"/>
    <w:rsid w:val="00506AF6"/>
    <w:rsid w:val="00513D05"/>
    <w:rsid w:val="00514688"/>
    <w:rsid w:val="00516768"/>
    <w:rsid w:val="00516B8D"/>
    <w:rsid w:val="005226B5"/>
    <w:rsid w:val="005268CF"/>
    <w:rsid w:val="00526922"/>
    <w:rsid w:val="0053697E"/>
    <w:rsid w:val="00537FB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5F16A0"/>
    <w:rsid w:val="00600219"/>
    <w:rsid w:val="006013B7"/>
    <w:rsid w:val="00603D01"/>
    <w:rsid w:val="00603DC4"/>
    <w:rsid w:val="0060681C"/>
    <w:rsid w:val="00615B89"/>
    <w:rsid w:val="00616FF5"/>
    <w:rsid w:val="00617C4E"/>
    <w:rsid w:val="00620076"/>
    <w:rsid w:val="006314DD"/>
    <w:rsid w:val="0064283A"/>
    <w:rsid w:val="00642D72"/>
    <w:rsid w:val="0066266D"/>
    <w:rsid w:val="006647B7"/>
    <w:rsid w:val="00667A4E"/>
    <w:rsid w:val="00670EA1"/>
    <w:rsid w:val="00677CC2"/>
    <w:rsid w:val="006840B0"/>
    <w:rsid w:val="00684C0E"/>
    <w:rsid w:val="006905DE"/>
    <w:rsid w:val="0069207B"/>
    <w:rsid w:val="0069220C"/>
    <w:rsid w:val="0069275F"/>
    <w:rsid w:val="00695023"/>
    <w:rsid w:val="00696AB5"/>
    <w:rsid w:val="006B5789"/>
    <w:rsid w:val="006B769D"/>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AA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28B4"/>
    <w:rsid w:val="0085384C"/>
    <w:rsid w:val="00856A31"/>
    <w:rsid w:val="00860BB7"/>
    <w:rsid w:val="0086644D"/>
    <w:rsid w:val="00867ABD"/>
    <w:rsid w:val="00867B0A"/>
    <w:rsid w:val="00867B37"/>
    <w:rsid w:val="00870068"/>
    <w:rsid w:val="00873081"/>
    <w:rsid w:val="008754D0"/>
    <w:rsid w:val="00877AE3"/>
    <w:rsid w:val="008829C7"/>
    <w:rsid w:val="008855C9"/>
    <w:rsid w:val="00885EAB"/>
    <w:rsid w:val="00886456"/>
    <w:rsid w:val="008A46E1"/>
    <w:rsid w:val="008A4F43"/>
    <w:rsid w:val="008B170B"/>
    <w:rsid w:val="008B2204"/>
    <w:rsid w:val="008B2706"/>
    <w:rsid w:val="008C7465"/>
    <w:rsid w:val="008D0EE0"/>
    <w:rsid w:val="008D16D3"/>
    <w:rsid w:val="008D1B8B"/>
    <w:rsid w:val="008D23B9"/>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16CB6"/>
    <w:rsid w:val="00A20CA1"/>
    <w:rsid w:val="00A20FDB"/>
    <w:rsid w:val="00A22C98"/>
    <w:rsid w:val="00A231E2"/>
    <w:rsid w:val="00A254EA"/>
    <w:rsid w:val="00A36B1A"/>
    <w:rsid w:val="00A41812"/>
    <w:rsid w:val="00A515BC"/>
    <w:rsid w:val="00A56C3D"/>
    <w:rsid w:val="00A6070D"/>
    <w:rsid w:val="00A64912"/>
    <w:rsid w:val="00A64BA1"/>
    <w:rsid w:val="00A70A74"/>
    <w:rsid w:val="00A77E0D"/>
    <w:rsid w:val="00A931D7"/>
    <w:rsid w:val="00AA2E31"/>
    <w:rsid w:val="00AA64D6"/>
    <w:rsid w:val="00AA6D8B"/>
    <w:rsid w:val="00AB5BDE"/>
    <w:rsid w:val="00AC5296"/>
    <w:rsid w:val="00AD2DC7"/>
    <w:rsid w:val="00AD5641"/>
    <w:rsid w:val="00AD7889"/>
    <w:rsid w:val="00AD7AC2"/>
    <w:rsid w:val="00AD7DCC"/>
    <w:rsid w:val="00AE67D2"/>
    <w:rsid w:val="00AF021B"/>
    <w:rsid w:val="00AF06CF"/>
    <w:rsid w:val="00AF2D0D"/>
    <w:rsid w:val="00B05CF4"/>
    <w:rsid w:val="00B07CDB"/>
    <w:rsid w:val="00B11E4A"/>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526F"/>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05BEB"/>
    <w:rsid w:val="00D13441"/>
    <w:rsid w:val="00D150E7"/>
    <w:rsid w:val="00D32F65"/>
    <w:rsid w:val="00D32F71"/>
    <w:rsid w:val="00D33B2E"/>
    <w:rsid w:val="00D342E8"/>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346F"/>
    <w:rsid w:val="00EF2E3A"/>
    <w:rsid w:val="00EF6FCB"/>
    <w:rsid w:val="00F03C06"/>
    <w:rsid w:val="00F072A7"/>
    <w:rsid w:val="00F078DC"/>
    <w:rsid w:val="00F32BA8"/>
    <w:rsid w:val="00F349F1"/>
    <w:rsid w:val="00F35D26"/>
    <w:rsid w:val="00F361D6"/>
    <w:rsid w:val="00F4350D"/>
    <w:rsid w:val="00F567F7"/>
    <w:rsid w:val="00F609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E5DE6"/>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1C6493"/>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F16A0"/>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F16A0"/>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BodyTextIndent">
    <w:name w:val="Body Text Indent"/>
    <w:basedOn w:val="Normal"/>
    <w:link w:val="BodyTextIndentChar"/>
    <w:uiPriority w:val="99"/>
    <w:semiHidden/>
    <w:unhideWhenUsed/>
    <w:rsid w:val="00FE5DE6"/>
    <w:pPr>
      <w:spacing w:after="120"/>
      <w:ind w:left="283"/>
    </w:pPr>
  </w:style>
  <w:style w:type="character" w:customStyle="1" w:styleId="BodyTextIndentChar">
    <w:name w:val="Body Text Indent Char"/>
    <w:basedOn w:val="DefaultParagraphFont"/>
    <w:link w:val="BodyTextIndent"/>
    <w:uiPriority w:val="99"/>
    <w:semiHidden/>
    <w:rsid w:val="00FE5DE6"/>
    <w:rPr>
      <w:sz w:val="22"/>
      <w:lang w:eastAsia="en-US"/>
    </w:rPr>
  </w:style>
  <w:style w:type="paragraph" w:styleId="ListParagraph">
    <w:name w:val="List Paragraph"/>
    <w:basedOn w:val="Normal"/>
    <w:uiPriority w:val="34"/>
    <w:qFormat/>
    <w:rsid w:val="001712FA"/>
    <w:pPr>
      <w:spacing w:line="240" w:lineRule="auto"/>
      <w:ind w:left="720"/>
      <w:contextualSpacing/>
    </w:pPr>
    <w:rPr>
      <w:rFonts w:eastAsia="Times New Roman"/>
      <w:sz w:val="24"/>
      <w:lang w:eastAsia="en-AU"/>
    </w:rPr>
  </w:style>
  <w:style w:type="paragraph" w:customStyle="1" w:styleId="Default">
    <w:name w:val="Default"/>
    <w:rsid w:val="001712FA"/>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2879</Words>
  <Characters>16415</Characters>
  <Application>Microsoft Office Word</Application>
  <DocSecurity>0</DocSecurity>
  <PresentationFormat/>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2023-02-27T02:51:00Z</dcterms:created>
  <dcterms:modified xsi:type="dcterms:W3CDTF">2023-02-27T02:52:00Z</dcterms:modified>
  <cp:category/>
  <cp:contentStatus/>
  <dc:language/>
  <cp:version/>
</cp:coreProperties>
</file>