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81EA2" w:rsidP="006647B7">
      <w:pPr>
        <w:pStyle w:val="Plainheader"/>
      </w:pPr>
      <w:bookmarkStart w:id="0" w:name="SoP_Name_Title"/>
      <w:r>
        <w:t xml:space="preserve">GLUTEAL </w:t>
      </w:r>
      <w:proofErr w:type="gramStart"/>
      <w:r>
        <w:t>TENDINOPATHY</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5034B">
        <w:t>94</w:t>
      </w:r>
      <w:bookmarkEnd w:id="1"/>
      <w:r w:rsidRPr="00024911">
        <w:t xml:space="preserve"> of</w:t>
      </w:r>
      <w:r w:rsidR="00085567">
        <w:t xml:space="preserve"> </w:t>
      </w:r>
      <w:bookmarkStart w:id="2" w:name="year"/>
      <w:r w:rsidR="00C81EA2">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5034B">
        <w:rPr>
          <w:b w:val="0"/>
        </w:rPr>
        <w:t>25 October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35034B">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35034B">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35034B">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35034B">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35034B">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35034B">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35034B">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35034B">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C81EA2">
        <w:rPr>
          <w:i/>
        </w:rPr>
        <w:t>gluteal tendinopathy</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5034B">
        <w:t>94</w:t>
      </w:r>
      <w:r w:rsidR="00085567">
        <w:t xml:space="preserve"> </w:t>
      </w:r>
      <w:r w:rsidR="00E55F66" w:rsidRPr="00F97A62">
        <w:t>of</w:t>
      </w:r>
      <w:r w:rsidR="00085567">
        <w:t xml:space="preserve"> </w:t>
      </w:r>
      <w:r w:rsidR="0035034B">
        <w:t>2023</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35034B">
        <w:t>28 November 2023</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CA2DC0">
        <w:t xml:space="preserve">trochanteric bursitis and </w:t>
      </w:r>
      <w:r w:rsidR="0035034B" w:rsidRPr="0035034B">
        <w:t>gluteal tendinopathy</w:t>
      </w:r>
      <w:r w:rsidR="00CA2DC0">
        <w:t xml:space="preserve"> No. 45 of 2015</w:t>
      </w:r>
      <w:r w:rsidR="005962C4">
        <w:t xml:space="preserve"> </w:t>
      </w:r>
      <w:r w:rsidR="005962C4" w:rsidRPr="00786DAE">
        <w:t>(Federal Re</w:t>
      </w:r>
      <w:r w:rsidR="00CA2DC0">
        <w:t>gister of Legislation No. F2015L00010</w:t>
      </w:r>
      <w:r w:rsidR="005962C4" w:rsidRPr="00786DAE">
        <w:t xml:space="preserve">) </w:t>
      </w:r>
      <w:r w:rsidR="00CA2DC0">
        <w:t xml:space="preserve">made under subsections </w:t>
      </w:r>
      <w:proofErr w:type="gramStart"/>
      <w:r w:rsidR="00CA2DC0">
        <w:t>196B(</w:t>
      </w:r>
      <w:proofErr w:type="gramEnd"/>
      <w:r w:rsidR="00CA2DC0">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35034B" w:rsidRPr="0035034B">
        <w:t>gluteal tendinopathy</w:t>
      </w:r>
      <w:r w:rsidR="00D5620B" w:rsidRPr="002F77A1">
        <w:t xml:space="preserve"> </w:t>
      </w:r>
      <w:r w:rsidRPr="002F77A1">
        <w:t>and death</w:t>
      </w:r>
      <w:r w:rsidRPr="00D5620B">
        <w:t xml:space="preserve"> from</w:t>
      </w:r>
      <w:r w:rsidR="002F77A1">
        <w:t xml:space="preserve"> </w:t>
      </w:r>
      <w:r w:rsidR="0035034B" w:rsidRPr="0035034B">
        <w:t>gluteal tendinopathy</w:t>
      </w:r>
      <w:r w:rsidRPr="00D5620B">
        <w:t>.</w:t>
      </w:r>
      <w:bookmarkEnd w:id="17"/>
    </w:p>
    <w:p w:rsidR="00215860" w:rsidRPr="00C670B0" w:rsidRDefault="00215860" w:rsidP="00C670B0">
      <w:pPr>
        <w:pStyle w:val="LVtext"/>
      </w:pPr>
      <w:r w:rsidRPr="00C670B0">
        <w:t>Meaning of</w:t>
      </w:r>
      <w:r w:rsidR="00D60FC8" w:rsidRPr="00C670B0">
        <w:t xml:space="preserve"> </w:t>
      </w:r>
      <w:r w:rsidR="0035034B" w:rsidRPr="0035034B">
        <w:rPr>
          <w:b/>
        </w:rPr>
        <w:t>gluteal tendinopathy</w:t>
      </w:r>
    </w:p>
    <w:p w:rsidR="00CA2DC0" w:rsidRDefault="007C7DEE" w:rsidP="00CA2DC0">
      <w:pPr>
        <w:pStyle w:val="LV2"/>
      </w:pPr>
      <w:bookmarkStart w:id="18" w:name="_Ref409598124"/>
      <w:bookmarkStart w:id="19" w:name="_Ref402529683"/>
      <w:r w:rsidRPr="00237BAF">
        <w:t>For the purposes of this Statement of Principles,</w:t>
      </w:r>
      <w:r w:rsidR="002F77A1" w:rsidRPr="002F77A1">
        <w:t xml:space="preserve"> </w:t>
      </w:r>
      <w:r w:rsidR="0035034B" w:rsidRPr="0035034B">
        <w:t>gluteal tendinopathy</w:t>
      </w:r>
      <w:r w:rsidR="00CA2DC0">
        <w:t xml:space="preserve"> means a symptomatic inflammatory or degenerative disease of the gluteus medius or gluteus </w:t>
      </w:r>
      <w:proofErr w:type="spellStart"/>
      <w:r w:rsidR="00CA2DC0">
        <w:t>minimus</w:t>
      </w:r>
      <w:proofErr w:type="spellEnd"/>
      <w:r w:rsidR="00CA2DC0">
        <w:t xml:space="preserve"> tendons at or near their insertion into the greater trochanter of the hip. </w:t>
      </w:r>
    </w:p>
    <w:p w:rsidR="002716E4" w:rsidRPr="00237BAF" w:rsidRDefault="00CA2DC0" w:rsidP="00CA2DC0">
      <w:pPr>
        <w:pStyle w:val="NOTE"/>
      </w:pPr>
      <w:r>
        <w:t>Note: Clinical manifestations of gluteal tendinopathy typically include pain and tenderness in the region of the lateral hip or buttock that usually worsens with physical activity. Gluteal tendinopathy can be associated with degenerative tendon tears.</w:t>
      </w:r>
      <w:bookmarkEnd w:id="18"/>
    </w:p>
    <w:bookmarkEnd w:id="19"/>
    <w:p w:rsidR="008F572A" w:rsidRPr="00237BAF" w:rsidRDefault="008F572A" w:rsidP="00253D7C">
      <w:pPr>
        <w:pStyle w:val="LV2"/>
      </w:pPr>
      <w:r w:rsidRPr="00237BAF">
        <w:t xml:space="preserve">While </w:t>
      </w:r>
      <w:r w:rsidR="0035034B" w:rsidRPr="0035034B">
        <w:t>gluteal tendinopathy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0E3C2D">
        <w:t>M76.0</w:t>
      </w:r>
      <w:r w:rsidR="00885EAB" w:rsidRPr="00EB2BC4">
        <w:t>,</w:t>
      </w:r>
      <w:r w:rsidRPr="00237BAF">
        <w:t xml:space="preserve"> in applying this Statement of Principles the </w:t>
      </w:r>
      <w:r w:rsidR="00FA33FB" w:rsidRPr="00D5620B">
        <w:t xml:space="preserve">meaning </w:t>
      </w:r>
      <w:r w:rsidRPr="00D5620B">
        <w:t xml:space="preserve">of </w:t>
      </w:r>
      <w:r w:rsidR="0035034B" w:rsidRPr="0035034B">
        <w:t>gluteal tendinopathy</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5034B" w:rsidRPr="0035034B">
        <w:rPr>
          <w:b/>
        </w:rPr>
        <w:t>gluteal tendinopathy</w:t>
      </w:r>
    </w:p>
    <w:p w:rsidR="008F572A" w:rsidRPr="00237BAF" w:rsidRDefault="008F572A" w:rsidP="00253D7C">
      <w:pPr>
        <w:pStyle w:val="LV2"/>
      </w:pPr>
      <w:r w:rsidRPr="00237BAF">
        <w:t xml:space="preserve">For the purposes of this Statement of </w:t>
      </w:r>
      <w:r w:rsidR="00D5620B">
        <w:t xml:space="preserve">Principles, </w:t>
      </w:r>
      <w:r w:rsidR="0035034B" w:rsidRPr="0035034B">
        <w:t>gluteal tendinopathy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5034B" w:rsidRPr="0035034B">
        <w:t>gluteal tendinopathy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35034B" w:rsidRPr="0035034B">
        <w:t>gluteal tendinopathy</w:t>
      </w:r>
      <w:r>
        <w:t xml:space="preserve"> </w:t>
      </w:r>
      <w:r w:rsidRPr="00D5620B">
        <w:t>and death from</w:t>
      </w:r>
      <w:r>
        <w:t xml:space="preserve"> </w:t>
      </w:r>
      <w:r w:rsidR="0035034B" w:rsidRPr="0035034B">
        <w:t>gluteal tendinopathy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5034B" w:rsidRPr="0035034B">
        <w:t>gluteal tendinopathy</w:t>
      </w:r>
      <w:r w:rsidR="007A3989">
        <w:t xml:space="preserve"> </w:t>
      </w:r>
      <w:r w:rsidR="007C7DEE" w:rsidRPr="00AA6D8B">
        <w:t xml:space="preserve">or death from </w:t>
      </w:r>
      <w:r w:rsidR="0035034B" w:rsidRPr="0035034B">
        <w:t>gluteal tendinopathy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046E67" w:rsidRDefault="000E3C2D" w:rsidP="000E3C2D">
      <w:pPr>
        <w:pStyle w:val="LV2"/>
      </w:pPr>
      <w:bookmarkStart w:id="26" w:name="_Ref402530260"/>
      <w:bookmarkStart w:id="27" w:name="_Ref409598844"/>
      <w:r w:rsidRPr="000E3C2D">
        <w:t>running or jogging an</w:t>
      </w:r>
      <w:r>
        <w:t xml:space="preserve"> average of at least 30</w:t>
      </w:r>
      <w:r w:rsidRPr="000E3C2D">
        <w:t xml:space="preserve"> kilometres per week for the 4 w</w:t>
      </w:r>
      <w:r>
        <w:t>eeks before the clinical onset or clinical worsening of</w:t>
      </w:r>
      <w:r w:rsidRPr="000E3C2D">
        <w:t xml:space="preserve"> gluteal tendinopathy;</w:t>
      </w:r>
    </w:p>
    <w:p w:rsidR="000E3C2D" w:rsidRDefault="000E3C2D" w:rsidP="000E3C2D">
      <w:pPr>
        <w:pStyle w:val="LV2"/>
      </w:pPr>
      <w:r>
        <w:t xml:space="preserve">undertaking weight bearing exercise involving repeated activity of the hip on the affected side for: </w:t>
      </w:r>
    </w:p>
    <w:p w:rsidR="000E3C2D" w:rsidRDefault="000E3C2D" w:rsidP="000E3C2D">
      <w:pPr>
        <w:pStyle w:val="LV3"/>
      </w:pPr>
      <w:r>
        <w:t xml:space="preserve">a minimum intensity of 5 METS; and </w:t>
      </w:r>
    </w:p>
    <w:p w:rsidR="000E3C2D" w:rsidRDefault="000E3C2D" w:rsidP="000E3C2D">
      <w:pPr>
        <w:pStyle w:val="LV3"/>
      </w:pPr>
      <w:r>
        <w:t>for at least 4 hours</w:t>
      </w:r>
      <w:r w:rsidR="004D606C">
        <w:t xml:space="preserve"> per week</w:t>
      </w:r>
      <w:r>
        <w:t>; and</w:t>
      </w:r>
    </w:p>
    <w:p w:rsidR="000E3C2D" w:rsidRDefault="000E3C2D" w:rsidP="000E3C2D">
      <w:pPr>
        <w:pStyle w:val="LV2"/>
        <w:numPr>
          <w:ilvl w:val="0"/>
          <w:numId w:val="0"/>
        </w:numPr>
        <w:ind w:left="1418"/>
      </w:pPr>
      <w:proofErr w:type="gramStart"/>
      <w:r>
        <w:t>for</w:t>
      </w:r>
      <w:proofErr w:type="gramEnd"/>
      <w:r>
        <w:t xml:space="preserve"> at least the 4 weeks before the clinical onset or clinical worsening of gluteal tendinopathy;</w:t>
      </w:r>
    </w:p>
    <w:p w:rsidR="000E3C2D" w:rsidRDefault="000E3C2D" w:rsidP="000E3C2D">
      <w:pPr>
        <w:pStyle w:val="NOTE"/>
      </w:pPr>
      <w:r>
        <w:t>Note</w:t>
      </w:r>
      <w:r w:rsidR="00350408">
        <w:t xml:space="preserve"> 1</w:t>
      </w:r>
      <w:r>
        <w:t>: Examples of weight bearing exercise involving repeated activity of the hip at a minimum intensity of 5 METS include marching, sustained brisk walking, climbing stairs, playing football, and dancing.</w:t>
      </w:r>
    </w:p>
    <w:p w:rsidR="00350408" w:rsidRDefault="00350408" w:rsidP="000E3C2D">
      <w:pPr>
        <w:pStyle w:val="NOTE"/>
      </w:pPr>
      <w:r w:rsidRPr="00350408">
        <w:t xml:space="preserve">Note 2: </w:t>
      </w:r>
      <w:r w:rsidRPr="00350408">
        <w:rPr>
          <w:b/>
          <w:i/>
        </w:rPr>
        <w:t>MET</w:t>
      </w:r>
      <w:r w:rsidRPr="00350408">
        <w:t xml:space="preserve"> is defined in the Schedule 1 - Dictionary.</w:t>
      </w:r>
    </w:p>
    <w:p w:rsidR="00350408" w:rsidRDefault="00350408" w:rsidP="00350408">
      <w:pPr>
        <w:pStyle w:val="LV2"/>
      </w:pPr>
      <w:r>
        <w:t xml:space="preserve">increasing the frequency, duration or intensity of activity involving the hip on the affected side: </w:t>
      </w:r>
    </w:p>
    <w:p w:rsidR="00350408" w:rsidRDefault="00350408" w:rsidP="00350408">
      <w:pPr>
        <w:pStyle w:val="LV3"/>
      </w:pPr>
      <w:r>
        <w:t xml:space="preserve">by at least 100 percent; and </w:t>
      </w:r>
    </w:p>
    <w:p w:rsidR="00350408" w:rsidRDefault="00350408" w:rsidP="00350408">
      <w:pPr>
        <w:pStyle w:val="LV3"/>
      </w:pPr>
      <w:r>
        <w:lastRenderedPageBreak/>
        <w:t>to a minimum intensity of 5 METs; and</w:t>
      </w:r>
    </w:p>
    <w:p w:rsidR="00350408" w:rsidRDefault="00350408" w:rsidP="00350408">
      <w:pPr>
        <w:pStyle w:val="LV3"/>
      </w:pPr>
      <w:r>
        <w:t xml:space="preserve">for at least 2 hours per day; </w:t>
      </w:r>
    </w:p>
    <w:p w:rsidR="00350408" w:rsidRDefault="000E2A9E" w:rsidP="00350408">
      <w:pPr>
        <w:pStyle w:val="LV2"/>
        <w:numPr>
          <w:ilvl w:val="0"/>
          <w:numId w:val="0"/>
        </w:numPr>
        <w:ind w:left="1418"/>
      </w:pPr>
      <w:proofErr w:type="gramStart"/>
      <w:r>
        <w:t>within</w:t>
      </w:r>
      <w:proofErr w:type="gramEnd"/>
      <w:r>
        <w:t xml:space="preserve"> the one</w:t>
      </w:r>
      <w:r w:rsidR="00350408">
        <w:t xml:space="preserve"> week before the clinical onset or clinical worsening of gluteal tendinopathy; </w:t>
      </w:r>
    </w:p>
    <w:p w:rsidR="00253D7C" w:rsidRPr="008E76DC" w:rsidRDefault="00350408" w:rsidP="00350408">
      <w:pPr>
        <w:pStyle w:val="NOTE"/>
      </w:pPr>
      <w:r>
        <w:t xml:space="preserve">Note: </w:t>
      </w:r>
      <w:r w:rsidRPr="00350408">
        <w:rPr>
          <w:b/>
          <w:i/>
        </w:rPr>
        <w:t>MET</w:t>
      </w:r>
      <w:r>
        <w:t xml:space="preserve"> is defined in the Schedule 1 - Dictionary.</w:t>
      </w:r>
    </w:p>
    <w:p w:rsidR="00253D7C" w:rsidRPr="008E76DC" w:rsidRDefault="004D606C" w:rsidP="004D606C">
      <w:pPr>
        <w:pStyle w:val="LV2"/>
      </w:pPr>
      <w:r w:rsidRPr="004D606C">
        <w:t>having direct trauma</w:t>
      </w:r>
      <w:r>
        <w:t xml:space="preserve"> to the affected tendon</w:t>
      </w:r>
      <w:r w:rsidRPr="004D606C">
        <w:t xml:space="preserve"> within the 4 w</w:t>
      </w:r>
      <w:r>
        <w:t>eeks before the clinical onset or clinical</w:t>
      </w:r>
      <w:r w:rsidRPr="004D606C">
        <w:t xml:space="preserve"> worse</w:t>
      </w:r>
      <w:r>
        <w:t>ning of</w:t>
      </w:r>
      <w:r w:rsidRPr="004D606C">
        <w:t xml:space="preserve"> gluteal tendinopathy;</w:t>
      </w:r>
    </w:p>
    <w:p w:rsidR="00DD3B7D" w:rsidRDefault="004D606C" w:rsidP="004D606C">
      <w:pPr>
        <w:pStyle w:val="NOTE"/>
      </w:pPr>
      <w:r>
        <w:t xml:space="preserve">Note: </w:t>
      </w:r>
      <w:r w:rsidR="00B55A6D" w:rsidRPr="00B55A6D">
        <w:rPr>
          <w:b/>
          <w:i/>
        </w:rPr>
        <w:t>direct</w:t>
      </w:r>
      <w:r w:rsidR="00B55A6D">
        <w:t xml:space="preserve"> </w:t>
      </w:r>
      <w:r w:rsidRPr="004D606C">
        <w:rPr>
          <w:b/>
          <w:i/>
        </w:rPr>
        <w:t>trauma to the affected tendon</w:t>
      </w:r>
      <w:r>
        <w:t xml:space="preserve"> is defined in the Schedule 1 – Dictionary.</w:t>
      </w:r>
    </w:p>
    <w:p w:rsidR="00350408" w:rsidRDefault="00602C39" w:rsidP="00602C39">
      <w:pPr>
        <w:pStyle w:val="LV2"/>
      </w:pPr>
      <w:r w:rsidRPr="00602C39">
        <w:t>having surgery to the hip of the affected side within the 4 w</w:t>
      </w:r>
      <w:r>
        <w:t>eeks before the clinical onset or clinical</w:t>
      </w:r>
      <w:r w:rsidRPr="00602C39">
        <w:t xml:space="preserve"> worse</w:t>
      </w:r>
      <w:r>
        <w:t>ning of</w:t>
      </w:r>
      <w:r w:rsidRPr="00602C39">
        <w:t xml:space="preserve"> gluteal tendinopathy;</w:t>
      </w:r>
    </w:p>
    <w:p w:rsidR="00602C39" w:rsidRDefault="00602C39" w:rsidP="00602C39">
      <w:pPr>
        <w:pStyle w:val="LV2"/>
      </w:pPr>
      <w:r>
        <w:t>having a systemic inflammatory dis</w:t>
      </w:r>
      <w:r w:rsidR="0079451F">
        <w:t>ease before the clinical onset or clinical</w:t>
      </w:r>
      <w:r>
        <w:t xml:space="preserve"> worsening of gluteal tendinopathy;</w:t>
      </w:r>
    </w:p>
    <w:p w:rsidR="00602C39" w:rsidRDefault="00602C39" w:rsidP="00602C39">
      <w:pPr>
        <w:pStyle w:val="NOTE"/>
      </w:pPr>
      <w:r>
        <w:t xml:space="preserve">Note: </w:t>
      </w:r>
      <w:r w:rsidRPr="00602C39">
        <w:rPr>
          <w:b/>
          <w:i/>
        </w:rPr>
        <w:t>systemic inflammatory disease</w:t>
      </w:r>
      <w:r>
        <w:t xml:space="preserve"> is defined in the Schedule 1 - Dictionary.</w:t>
      </w:r>
    </w:p>
    <w:p w:rsidR="00602C39" w:rsidRDefault="0079451F" w:rsidP="0079451F">
      <w:pPr>
        <w:pStyle w:val="LV2"/>
      </w:pPr>
      <w:r w:rsidRPr="0079451F">
        <w:t xml:space="preserve">having a significantly abnormal gait for at least the 4 </w:t>
      </w:r>
      <w:r>
        <w:t>weeks before the clinical onset or clinical</w:t>
      </w:r>
      <w:r w:rsidRPr="0079451F">
        <w:t xml:space="preserve"> worse</w:t>
      </w:r>
      <w:r>
        <w:t>ning of</w:t>
      </w:r>
      <w:r w:rsidRPr="0079451F">
        <w:t xml:space="preserve"> gluteal tendinopathy;</w:t>
      </w:r>
    </w:p>
    <w:p w:rsidR="00DB10EB" w:rsidRDefault="00DB10EB" w:rsidP="00DB10EB">
      <w:pPr>
        <w:pStyle w:val="LV2"/>
      </w:pPr>
      <w:r>
        <w:t xml:space="preserve">being obese at the time of the clinical onset or clinical worsening of gluteal tendinopathy; </w:t>
      </w:r>
    </w:p>
    <w:p w:rsidR="00602C39" w:rsidRDefault="00DB10EB" w:rsidP="00DB10EB">
      <w:pPr>
        <w:pStyle w:val="NOTE"/>
      </w:pPr>
      <w:r>
        <w:t xml:space="preserve">Note: </w:t>
      </w:r>
      <w:r w:rsidRPr="00DB10EB">
        <w:rPr>
          <w:b/>
          <w:i/>
        </w:rPr>
        <w:t>being obese</w:t>
      </w:r>
      <w:r>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35034B" w:rsidRPr="0035034B">
        <w:t>gluteal tendinopathy</w:t>
      </w:r>
      <w:r w:rsidR="00DB10EB">
        <w:t xml:space="preserve"> before the clinical worsening of gluteal</w:t>
      </w:r>
      <w:r w:rsidR="0027354E">
        <w:t xml:space="preserve"> tendinopathy.</w:t>
      </w:r>
      <w:r w:rsidR="00DB10EB">
        <w:t xml:space="preserve"> </w:t>
      </w:r>
      <w:bookmarkEnd w:id="27"/>
    </w:p>
    <w:p w:rsidR="000C21A3" w:rsidRPr="00684C0E" w:rsidRDefault="00D32F71" w:rsidP="00253D7C">
      <w:pPr>
        <w:pStyle w:val="LV1"/>
      </w:pPr>
      <w:bookmarkStart w:id="28" w:name="_Toc512513143"/>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5572E8" w:rsidP="005572E8">
      <w:pPr>
        <w:pStyle w:val="LV2"/>
      </w:pPr>
      <w:r w:rsidRPr="005572E8">
        <w:t xml:space="preserve">The clinical worsening aspects of factors set out in section 9 apply </w:t>
      </w:r>
      <w:r w:rsidR="00F03C06" w:rsidRPr="00187DE1">
        <w:t xml:space="preserve">only to material contribution to, or aggravation of, </w:t>
      </w:r>
      <w:r w:rsidR="0035034B" w:rsidRPr="0035034B">
        <w:t>gluteal tendinopathy</w:t>
      </w:r>
      <w:r w:rsidR="007A3989">
        <w:t xml:space="preserve"> </w:t>
      </w:r>
      <w:r w:rsidR="00F03C06" w:rsidRPr="00187DE1">
        <w:t>where the person</w:t>
      </w:r>
      <w:r w:rsidR="00950C80">
        <w:t>'</w:t>
      </w:r>
      <w:r w:rsidR="00F03C06" w:rsidRPr="00187DE1">
        <w:t xml:space="preserve">s </w:t>
      </w:r>
      <w:r w:rsidR="0035034B" w:rsidRPr="0035034B">
        <w:t>gluteal tendinopathy</w:t>
      </w:r>
      <w:r w:rsidR="007A3989">
        <w:t xml:space="preserve"> </w:t>
      </w:r>
      <w:r w:rsidR="00F03C06" w:rsidRPr="00187DE1">
        <w:t>was suffered or contracted before or during (but did not arise out of) the person</w:t>
      </w:r>
      <w:r w:rsidR="00950C80">
        <w:t>'</w:t>
      </w:r>
      <w:r w:rsidR="00F03C06" w:rsidRPr="00187DE1">
        <w:t xml:space="preserve">s relevant service.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13146"/>
      <w:r w:rsidRPr="00D97BB3">
        <w:t>Definitions</w:t>
      </w:r>
      <w:bookmarkEnd w:id="34"/>
      <w:bookmarkEnd w:id="35"/>
    </w:p>
    <w:p w:rsidR="00702C42" w:rsidRPr="00516768" w:rsidRDefault="00702C42" w:rsidP="00253D7C">
      <w:pPr>
        <w:pStyle w:val="SH2"/>
      </w:pPr>
      <w:r w:rsidRPr="00516768">
        <w:t>In this instrument:</w:t>
      </w:r>
    </w:p>
    <w:p w:rsidR="00DB10EB" w:rsidRPr="00DB10EB" w:rsidRDefault="007B52F6" w:rsidP="00DB10EB">
      <w:pPr>
        <w:pStyle w:val="SH3"/>
      </w:pPr>
      <w:bookmarkStart w:id="36" w:name="_Ref402530810"/>
      <w:r w:rsidRPr="00350408">
        <w:rPr>
          <w:b/>
          <w:i/>
        </w:rPr>
        <w:tab/>
      </w:r>
      <w:proofErr w:type="gramStart"/>
      <w:r w:rsidR="00DB10EB" w:rsidRPr="00DB10EB">
        <w:rPr>
          <w:b/>
          <w:i/>
        </w:rPr>
        <w:t>being</w:t>
      </w:r>
      <w:proofErr w:type="gramEnd"/>
      <w:r w:rsidR="00DB10EB" w:rsidRPr="00DB10EB">
        <w:rPr>
          <w:b/>
          <w:i/>
        </w:rPr>
        <w:t xml:space="preserve"> obese </w:t>
      </w:r>
      <w:r w:rsidR="00DB10EB" w:rsidRPr="00DB10EB">
        <w:t>means having a Body Mass Index (BMI) of 30 or greater.</w:t>
      </w:r>
    </w:p>
    <w:p w:rsidR="00DB10EB" w:rsidRPr="00DB10EB" w:rsidRDefault="00DB10EB" w:rsidP="00DB10EB">
      <w:pPr>
        <w:pStyle w:val="ScheduleNote"/>
      </w:pPr>
      <w:r w:rsidRPr="00DB10EB">
        <w:t xml:space="preserve">Note: </w:t>
      </w:r>
      <w:r w:rsidRPr="00DB10EB">
        <w:rPr>
          <w:b/>
          <w:i/>
        </w:rPr>
        <w:t>BMI</w:t>
      </w:r>
      <w:r>
        <w:t xml:space="preserve"> is</w:t>
      </w:r>
      <w:r w:rsidRPr="00DB10EB">
        <w:t xml:space="preserve"> defined in the Schedule 1 – Dictionary. </w:t>
      </w:r>
    </w:p>
    <w:p w:rsidR="00DB10EB" w:rsidRPr="00DB10EB" w:rsidRDefault="00DB10EB" w:rsidP="00DB10EB">
      <w:pPr>
        <w:pStyle w:val="SH3"/>
      </w:pPr>
      <w:r w:rsidRPr="00DB10EB">
        <w:rPr>
          <w:b/>
          <w:i/>
        </w:rPr>
        <w:t>BMI</w:t>
      </w:r>
      <w:r w:rsidRPr="00DB10EB">
        <w:t xml:space="preserve"> means W/H</w:t>
      </w:r>
      <w:r w:rsidRPr="00C80163">
        <w:rPr>
          <w:vertAlign w:val="superscript"/>
        </w:rPr>
        <w:t>2</w:t>
      </w:r>
      <w:r w:rsidRPr="00DB10EB">
        <w:t xml:space="preserve"> where:</w:t>
      </w:r>
    </w:p>
    <w:p w:rsidR="00DB10EB" w:rsidRPr="00DB10EB" w:rsidRDefault="00DB10EB" w:rsidP="00DB10EB">
      <w:pPr>
        <w:pStyle w:val="SH3"/>
      </w:pPr>
      <w:r w:rsidRPr="00DB10EB">
        <w:t xml:space="preserve">W is the person's weight in kilograms; and </w:t>
      </w:r>
    </w:p>
    <w:p w:rsidR="00DB10EB" w:rsidRPr="00DB10EB" w:rsidRDefault="00DB10EB" w:rsidP="00DB10EB">
      <w:pPr>
        <w:pStyle w:val="SH3"/>
      </w:pPr>
      <w:r w:rsidRPr="00DB10EB">
        <w:t xml:space="preserve">H is the person's height in metres. </w:t>
      </w:r>
    </w:p>
    <w:p w:rsidR="00B55A6D" w:rsidRDefault="00B55A6D" w:rsidP="00B55A6D">
      <w:pPr>
        <w:pStyle w:val="SH3"/>
      </w:pPr>
      <w:r>
        <w:rPr>
          <w:b/>
          <w:i/>
        </w:rPr>
        <w:t xml:space="preserve">direct </w:t>
      </w:r>
      <w:r w:rsidRPr="004D606C">
        <w:rPr>
          <w:b/>
          <w:i/>
        </w:rPr>
        <w:t>trauma to the affected tendon</w:t>
      </w:r>
      <w:r>
        <w:t xml:space="preserve"> means a discrete event involving the application of significant physical force to the affected tendon, that causes: </w:t>
      </w:r>
    </w:p>
    <w:p w:rsidR="00B55A6D" w:rsidRDefault="00B55A6D" w:rsidP="00B55A6D">
      <w:pPr>
        <w:pStyle w:val="SH4"/>
      </w:pPr>
      <w:proofErr w:type="gramStart"/>
      <w:r>
        <w:t>the</w:t>
      </w:r>
      <w:proofErr w:type="gramEnd"/>
      <w:r>
        <w:t xml:space="preserve"> development of symptoms and signs of pain and tenderness, and either altered mobility or range of movement of the hip. In the case of sustained unconsciousness or the masking of pain by analgesic medication, these symptoms and signs must appear on return to consciousness or the withdrawal of the analgesic medication; and </w:t>
      </w:r>
    </w:p>
    <w:p w:rsidR="00B55A6D" w:rsidRDefault="00B55A6D" w:rsidP="00B55A6D">
      <w:pPr>
        <w:pStyle w:val="SH4"/>
      </w:pPr>
      <w:r>
        <w:t xml:space="preserve">the persistence of these symptoms and signs for a period of at least 7 days following their onset, save for where medical intervention for the trauma to the affected tendon has occurred and that medical intervention involves one of the following: </w:t>
      </w:r>
    </w:p>
    <w:p w:rsidR="00B55A6D" w:rsidRDefault="00B55A6D" w:rsidP="00B55A6D">
      <w:pPr>
        <w:pStyle w:val="SH5"/>
      </w:pPr>
      <w:r>
        <w:t xml:space="preserve">immobilisation of the hip by splinting or similar external agent; </w:t>
      </w:r>
    </w:p>
    <w:p w:rsidR="00B55A6D" w:rsidRDefault="00B55A6D" w:rsidP="00B55A6D">
      <w:pPr>
        <w:pStyle w:val="SH5"/>
      </w:pPr>
      <w:r>
        <w:t xml:space="preserve">injection of a corticosteroid or local anaesthetic into the hip; or </w:t>
      </w:r>
    </w:p>
    <w:p w:rsidR="00B55A6D" w:rsidRPr="004D606C" w:rsidRDefault="00B55A6D" w:rsidP="00B55A6D">
      <w:pPr>
        <w:pStyle w:val="SH5"/>
      </w:pPr>
      <w:proofErr w:type="gramStart"/>
      <w:r>
        <w:t>surgery</w:t>
      </w:r>
      <w:proofErr w:type="gramEnd"/>
      <w:r>
        <w:t xml:space="preserve"> to the hip.</w:t>
      </w:r>
    </w:p>
    <w:p w:rsidR="00602C39" w:rsidRPr="00513D05" w:rsidRDefault="0035034B" w:rsidP="00602C39">
      <w:pPr>
        <w:pStyle w:val="SH3"/>
      </w:pPr>
      <w:proofErr w:type="gramStart"/>
      <w:r w:rsidRPr="0035034B">
        <w:rPr>
          <w:b/>
          <w:i/>
        </w:rPr>
        <w:t>gluteal</w:t>
      </w:r>
      <w:proofErr w:type="gramEnd"/>
      <w:r w:rsidRPr="0035034B">
        <w:rPr>
          <w:b/>
          <w:i/>
        </w:rPr>
        <w:t xml:space="preserve"> tendinopathy</w:t>
      </w:r>
      <w:r w:rsidR="00602C39" w:rsidRPr="00513D05">
        <w:t>—see subsection</w:t>
      </w:r>
      <w:r w:rsidR="00602C39">
        <w:t xml:space="preserve"> 7(2).</w:t>
      </w:r>
    </w:p>
    <w:p w:rsidR="00350408" w:rsidRDefault="00350408" w:rsidP="00350408">
      <w:pPr>
        <w:pStyle w:val="SH3"/>
      </w:pPr>
      <w:r w:rsidRPr="00350408">
        <w:rPr>
          <w:b/>
          <w:i/>
        </w:rPr>
        <w:t>MET</w:t>
      </w:r>
      <w:r w:rsidRPr="00350408">
        <w:t xml:space="preserve"> means a unit of measurement of the level of physical exertion. 1 MET = 3.5 ml of oxygen/kg of body weight per minute, or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7"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602C39" w:rsidRDefault="00602C39" w:rsidP="00602C39">
      <w:pPr>
        <w:pStyle w:val="SH3"/>
      </w:pPr>
      <w:r w:rsidRPr="00602C39">
        <w:rPr>
          <w:b/>
          <w:i/>
        </w:rPr>
        <w:t xml:space="preserve">systemic inflammatory disease </w:t>
      </w:r>
      <w:r>
        <w:t>means:</w:t>
      </w:r>
    </w:p>
    <w:p w:rsidR="00602C39" w:rsidRDefault="00602C39" w:rsidP="00602C39">
      <w:pPr>
        <w:pStyle w:val="SH4"/>
      </w:pPr>
      <w:r>
        <w:tab/>
        <w:t>rheumatoid arthritis;</w:t>
      </w:r>
    </w:p>
    <w:p w:rsidR="00602C39" w:rsidRDefault="00602C39" w:rsidP="00602C39">
      <w:pPr>
        <w:pStyle w:val="SH4"/>
      </w:pPr>
      <w:r>
        <w:tab/>
        <w:t>polymyalgia rheumatica;</w:t>
      </w:r>
    </w:p>
    <w:p w:rsidR="00602C39" w:rsidRDefault="00602C39" w:rsidP="00602C39">
      <w:pPr>
        <w:pStyle w:val="SH4"/>
      </w:pPr>
      <w:r>
        <w:tab/>
        <w:t xml:space="preserve">ankylosing spondylitis; </w:t>
      </w:r>
    </w:p>
    <w:p w:rsidR="00602C39" w:rsidRDefault="00602C39" w:rsidP="00602C39">
      <w:pPr>
        <w:pStyle w:val="SH4"/>
      </w:pPr>
      <w:r>
        <w:lastRenderedPageBreak/>
        <w:tab/>
        <w:t xml:space="preserve">enteropathic spondyloarthropathy (arthritis associated with inflammatory bowel disease); </w:t>
      </w:r>
    </w:p>
    <w:p w:rsidR="00602C39" w:rsidRDefault="00602C39" w:rsidP="00602C39">
      <w:pPr>
        <w:pStyle w:val="SH4"/>
      </w:pPr>
      <w:r>
        <w:tab/>
        <w:t xml:space="preserve">psoriatic arthropathy; </w:t>
      </w:r>
    </w:p>
    <w:p w:rsidR="00602C39" w:rsidRDefault="00602C39" w:rsidP="00602C39">
      <w:pPr>
        <w:pStyle w:val="SH4"/>
      </w:pPr>
      <w:r>
        <w:t>reactive arthritis; or</w:t>
      </w:r>
    </w:p>
    <w:p w:rsidR="00602C39" w:rsidRPr="00602C39" w:rsidRDefault="00602C39" w:rsidP="00602C39">
      <w:pPr>
        <w:pStyle w:val="SH4"/>
      </w:pPr>
      <w:r>
        <w:tab/>
      </w:r>
      <w:proofErr w:type="gramStart"/>
      <w:r>
        <w:t>undif</w:t>
      </w:r>
      <w:r w:rsidR="00C80163">
        <w:t>ferentiated</w:t>
      </w:r>
      <w:proofErr w:type="gramEnd"/>
      <w:r w:rsidR="00C80163">
        <w:t xml:space="preserve"> spondyloarthropathy.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5034B" w:rsidP="004A2007">
          <w:pPr>
            <w:spacing w:line="0" w:lineRule="atLeast"/>
            <w:jc w:val="center"/>
            <w:rPr>
              <w:i/>
              <w:sz w:val="18"/>
              <w:szCs w:val="18"/>
            </w:rPr>
          </w:pPr>
          <w:r w:rsidRPr="0035034B">
            <w:rPr>
              <w:i/>
              <w:sz w:val="18"/>
              <w:szCs w:val="18"/>
            </w:rPr>
            <w:t>Gluteal Tendinopathy</w:t>
          </w:r>
          <w:r w:rsidR="004A2007">
            <w:rPr>
              <w:i/>
              <w:sz w:val="18"/>
              <w:szCs w:val="18"/>
            </w:rPr>
            <w:t xml:space="preserve"> (Reasonable Hypothesis) </w:t>
          </w:r>
          <w:r w:rsidR="004A2007" w:rsidRPr="007C5CE0">
            <w:rPr>
              <w:i/>
              <w:sz w:val="18"/>
            </w:rPr>
            <w:t xml:space="preserve">(No. </w:t>
          </w:r>
          <w:r w:rsidRPr="0035034B">
            <w:rPr>
              <w:i/>
              <w:sz w:val="18"/>
              <w:szCs w:val="18"/>
            </w:rPr>
            <w:t>94</w:t>
          </w:r>
          <w:r w:rsidR="004A2007" w:rsidRPr="007C5CE0">
            <w:rPr>
              <w:i/>
              <w:sz w:val="18"/>
              <w:szCs w:val="18"/>
            </w:rPr>
            <w:t xml:space="preserve"> of </w:t>
          </w:r>
          <w:r w:rsidRPr="0035034B">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B0E18">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B0E18">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5034B" w:rsidP="004A2007">
          <w:pPr>
            <w:spacing w:line="0" w:lineRule="atLeast"/>
            <w:jc w:val="center"/>
            <w:rPr>
              <w:i/>
              <w:sz w:val="18"/>
              <w:szCs w:val="18"/>
            </w:rPr>
          </w:pPr>
          <w:r w:rsidRPr="0035034B">
            <w:rPr>
              <w:i/>
              <w:sz w:val="18"/>
              <w:szCs w:val="18"/>
            </w:rPr>
            <w:t>Gluteal Tendinopathy</w:t>
          </w:r>
          <w:r w:rsidR="004A2007">
            <w:rPr>
              <w:i/>
              <w:sz w:val="18"/>
              <w:szCs w:val="18"/>
            </w:rPr>
            <w:t xml:space="preserve"> (Reasonable Hypothesis) </w:t>
          </w:r>
          <w:r w:rsidR="004A2007" w:rsidRPr="007C5CE0">
            <w:rPr>
              <w:i/>
              <w:sz w:val="18"/>
            </w:rPr>
            <w:t xml:space="preserve">(No. </w:t>
          </w:r>
          <w:r w:rsidRPr="0035034B">
            <w:rPr>
              <w:i/>
              <w:sz w:val="18"/>
              <w:szCs w:val="18"/>
            </w:rPr>
            <w:t>94</w:t>
          </w:r>
          <w:r w:rsidR="004A2007" w:rsidRPr="007C5CE0">
            <w:rPr>
              <w:i/>
              <w:sz w:val="18"/>
              <w:szCs w:val="18"/>
            </w:rPr>
            <w:t xml:space="preserve"> of </w:t>
          </w:r>
          <w:r w:rsidRPr="0035034B">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B0E1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B0E18">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2B53"/>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2A9E"/>
    <w:rsid w:val="000E3C2D"/>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0E3F"/>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354E"/>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034B"/>
    <w:rsid w:val="00350408"/>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606C"/>
    <w:rsid w:val="004E063A"/>
    <w:rsid w:val="004E40C0"/>
    <w:rsid w:val="004E7BEC"/>
    <w:rsid w:val="004F23E0"/>
    <w:rsid w:val="00500B48"/>
    <w:rsid w:val="00505D3D"/>
    <w:rsid w:val="00506AF6"/>
    <w:rsid w:val="00513D05"/>
    <w:rsid w:val="00516768"/>
    <w:rsid w:val="00516B8D"/>
    <w:rsid w:val="005226B5"/>
    <w:rsid w:val="005268CF"/>
    <w:rsid w:val="0053697E"/>
    <w:rsid w:val="00537FBC"/>
    <w:rsid w:val="0054113C"/>
    <w:rsid w:val="00545116"/>
    <w:rsid w:val="00553578"/>
    <w:rsid w:val="005572E8"/>
    <w:rsid w:val="005574D1"/>
    <w:rsid w:val="00571FBB"/>
    <w:rsid w:val="00575A90"/>
    <w:rsid w:val="00576E99"/>
    <w:rsid w:val="00584811"/>
    <w:rsid w:val="00585784"/>
    <w:rsid w:val="00593AA6"/>
    <w:rsid w:val="00594161"/>
    <w:rsid w:val="00594749"/>
    <w:rsid w:val="005962C4"/>
    <w:rsid w:val="005B05D3"/>
    <w:rsid w:val="005B0E18"/>
    <w:rsid w:val="005B4067"/>
    <w:rsid w:val="005C3F41"/>
    <w:rsid w:val="005C74AC"/>
    <w:rsid w:val="005C7B57"/>
    <w:rsid w:val="005C7CC5"/>
    <w:rsid w:val="005D2D09"/>
    <w:rsid w:val="005E589B"/>
    <w:rsid w:val="005E7FC2"/>
    <w:rsid w:val="00600219"/>
    <w:rsid w:val="006013B7"/>
    <w:rsid w:val="00602C39"/>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451F"/>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25E7F"/>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5A6D"/>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0163"/>
    <w:rsid w:val="00C81EA2"/>
    <w:rsid w:val="00C93C03"/>
    <w:rsid w:val="00C96667"/>
    <w:rsid w:val="00C9794D"/>
    <w:rsid w:val="00CA2DC0"/>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0EB"/>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4DA9"/>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8280</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2023-09-08T05:06:00Z</dcterms:created>
  <dcterms:modified xsi:type="dcterms:W3CDTF">2023-11-01T05:22:00Z</dcterms:modified>
  <cp:category/>
  <cp:contentStatus/>
  <dc:language/>
  <cp:version/>
</cp:coreProperties>
</file>