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802D6" w:rsidP="006647B7">
      <w:pPr>
        <w:pStyle w:val="Plainheader"/>
      </w:pPr>
      <w:bookmarkStart w:id="0" w:name="SoP_Name_Title"/>
      <w:proofErr w:type="gramStart"/>
      <w:r>
        <w:t>S</w:t>
      </w:r>
      <w:r w:rsidR="00EE01E9">
        <w:t>EIZURE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1962F6">
        <w:t>38</w:t>
      </w:r>
      <w:r w:rsidRPr="00024911">
        <w:t xml:space="preserve"> of</w:t>
      </w:r>
      <w:r w:rsidR="00085567">
        <w:t xml:space="preserve"> </w:t>
      </w:r>
      <w:bookmarkStart w:id="1" w:name="year"/>
      <w:r w:rsidR="00EE01E9">
        <w:t>2022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962F6">
        <w:t>29 April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E95F23">
        <w:tc>
          <w:tcPr>
            <w:tcW w:w="4116" w:type="dxa"/>
          </w:tcPr>
          <w:p w:rsidR="00711F91" w:rsidRDefault="00711F91" w:rsidP="00E95F23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E95F23">
            <w:pPr>
              <w:pStyle w:val="Plain"/>
            </w:pPr>
          </w:p>
        </w:tc>
      </w:tr>
      <w:tr w:rsidR="00711F91" w:rsidTr="00E95F23">
        <w:tc>
          <w:tcPr>
            <w:tcW w:w="4116" w:type="dxa"/>
          </w:tcPr>
          <w:p w:rsidR="00711F91" w:rsidRDefault="00711F91" w:rsidP="00E95F23">
            <w:pPr>
              <w:pStyle w:val="Plain"/>
            </w:pPr>
          </w:p>
          <w:p w:rsidR="00711F91" w:rsidRDefault="00711F91" w:rsidP="00E95F23">
            <w:pPr>
              <w:pStyle w:val="Plain"/>
            </w:pPr>
          </w:p>
          <w:p w:rsidR="00711F91" w:rsidRPr="007527C1" w:rsidRDefault="00711F91" w:rsidP="00E95F23">
            <w:pPr>
              <w:pStyle w:val="Plain"/>
            </w:pPr>
            <w:r w:rsidRPr="007527C1">
              <w:t xml:space="preserve">Professor </w:t>
            </w:r>
            <w:r w:rsidR="006A3179" w:rsidRPr="006A3179">
              <w:t>Terence Campbell AM</w:t>
            </w:r>
          </w:p>
          <w:p w:rsidR="00711F91" w:rsidRDefault="00711F91" w:rsidP="00E95F23">
            <w:pPr>
              <w:pStyle w:val="Plain"/>
            </w:pPr>
            <w:r w:rsidRPr="007527C1">
              <w:t>Chairperson</w:t>
            </w:r>
          </w:p>
          <w:p w:rsidR="00711F91" w:rsidRDefault="00711F91" w:rsidP="00E95F23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463FC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63FC7">
        <w:rPr>
          <w:noProof/>
        </w:rPr>
        <w:t>1</w:t>
      </w:r>
      <w:r w:rsidR="00463FC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63FC7">
        <w:rPr>
          <w:noProof/>
        </w:rPr>
        <w:t>Name</w:t>
      </w:r>
      <w:r w:rsidR="00463FC7">
        <w:rPr>
          <w:noProof/>
        </w:rPr>
        <w:tab/>
      </w:r>
      <w:r w:rsidR="00463FC7">
        <w:rPr>
          <w:noProof/>
        </w:rPr>
        <w:fldChar w:fldCharType="begin"/>
      </w:r>
      <w:r w:rsidR="00463FC7">
        <w:rPr>
          <w:noProof/>
        </w:rPr>
        <w:instrText xml:space="preserve"> PAGEREF _Toc98424643 \h </w:instrText>
      </w:r>
      <w:r w:rsidR="00463FC7">
        <w:rPr>
          <w:noProof/>
        </w:rPr>
      </w:r>
      <w:r w:rsidR="00463FC7">
        <w:rPr>
          <w:noProof/>
        </w:rPr>
        <w:fldChar w:fldCharType="separate"/>
      </w:r>
      <w:r w:rsidR="00D0611B">
        <w:rPr>
          <w:noProof/>
        </w:rPr>
        <w:t>3</w:t>
      </w:r>
      <w:r w:rsidR="00463FC7">
        <w:rPr>
          <w:noProof/>
        </w:rPr>
        <w:fldChar w:fldCharType="end"/>
      </w:r>
    </w:p>
    <w:p w:rsidR="00463FC7" w:rsidRDefault="00463FC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_Toc98424644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3</w:t>
      </w:r>
      <w:r>
        <w:rPr>
          <w:noProof/>
        </w:rPr>
        <w:fldChar w:fldCharType="end"/>
      </w:r>
    </w:p>
    <w:p w:rsidR="00463FC7" w:rsidRDefault="00463FC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_Toc98424645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3</w:t>
      </w:r>
      <w:r>
        <w:rPr>
          <w:noProof/>
        </w:rPr>
        <w:fldChar w:fldCharType="end"/>
      </w:r>
    </w:p>
    <w:p w:rsidR="00463FC7" w:rsidRDefault="00463FC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_Toc98424646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3</w:t>
      </w:r>
      <w:r>
        <w:rPr>
          <w:noProof/>
        </w:rPr>
        <w:fldChar w:fldCharType="end"/>
      </w:r>
    </w:p>
    <w:p w:rsidR="00463FC7" w:rsidRDefault="00463FC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_Toc98424647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3</w:t>
      </w:r>
      <w:r>
        <w:rPr>
          <w:noProof/>
        </w:rPr>
        <w:fldChar w:fldCharType="end"/>
      </w:r>
    </w:p>
    <w:p w:rsidR="00463FC7" w:rsidRDefault="00463FC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_Toc98424648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3</w:t>
      </w:r>
      <w:r>
        <w:rPr>
          <w:noProof/>
        </w:rPr>
        <w:fldChar w:fldCharType="end"/>
      </w:r>
    </w:p>
    <w:p w:rsidR="00463FC7" w:rsidRDefault="00463FC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_Toc98424649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3</w:t>
      </w:r>
      <w:r>
        <w:rPr>
          <w:noProof/>
        </w:rPr>
        <w:fldChar w:fldCharType="end"/>
      </w:r>
    </w:p>
    <w:p w:rsidR="00463FC7" w:rsidRDefault="00463FC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_Toc98424650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4</w:t>
      </w:r>
      <w:r>
        <w:rPr>
          <w:noProof/>
        </w:rPr>
        <w:fldChar w:fldCharType="end"/>
      </w:r>
    </w:p>
    <w:p w:rsidR="00463FC7" w:rsidRDefault="00463FC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_Toc98424651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4</w:t>
      </w:r>
      <w:r>
        <w:rPr>
          <w:noProof/>
        </w:rPr>
        <w:fldChar w:fldCharType="end"/>
      </w:r>
    </w:p>
    <w:p w:rsidR="00463FC7" w:rsidRDefault="00463FC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_Toc98424652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7</w:t>
      </w:r>
      <w:r>
        <w:rPr>
          <w:noProof/>
        </w:rPr>
        <w:fldChar w:fldCharType="end"/>
      </w:r>
    </w:p>
    <w:p w:rsidR="00463FC7" w:rsidRDefault="00463FC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_Toc98424653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8</w:t>
      </w:r>
      <w:r>
        <w:rPr>
          <w:noProof/>
        </w:rPr>
        <w:fldChar w:fldCharType="end"/>
      </w:r>
    </w:p>
    <w:p w:rsidR="00463FC7" w:rsidRDefault="00463F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_Toc98424654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9</w:t>
      </w:r>
      <w:r>
        <w:rPr>
          <w:noProof/>
        </w:rPr>
        <w:fldChar w:fldCharType="end"/>
      </w:r>
    </w:p>
    <w:p w:rsidR="00463FC7" w:rsidRDefault="00463FC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_Toc98424655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9</w:t>
      </w:r>
      <w:r>
        <w:rPr>
          <w:noProof/>
        </w:rPr>
        <w:fldChar w:fldCharType="end"/>
      </w:r>
    </w:p>
    <w:p w:rsidR="00463FC7" w:rsidRDefault="00463F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2 -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_Toc98424656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14</w:t>
      </w:r>
      <w:r>
        <w:rPr>
          <w:noProof/>
        </w:rPr>
        <w:fldChar w:fldCharType="end"/>
      </w:r>
    </w:p>
    <w:p w:rsidR="00463FC7" w:rsidRPr="00AE7888" w:rsidRDefault="00463FC7">
      <w:pPr>
        <w:pStyle w:val="TOC1"/>
        <w:tabs>
          <w:tab w:val="left" w:pos="1134"/>
        </w:tabs>
        <w:rPr>
          <w:noProof/>
        </w:rPr>
      </w:pPr>
      <w:r>
        <w:rPr>
          <w:noProof/>
        </w:rPr>
        <w:t>1</w:t>
      </w:r>
      <w:r w:rsidRPr="00AE7888">
        <w:rPr>
          <w:noProof/>
        </w:rPr>
        <w:tab/>
      </w:r>
      <w:r>
        <w:rPr>
          <w:noProof/>
        </w:rPr>
        <w:t>Specified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_Toc98424657 \h </w:instrText>
      </w:r>
      <w:r>
        <w:rPr>
          <w:noProof/>
        </w:rPr>
      </w:r>
      <w:r>
        <w:rPr>
          <w:noProof/>
        </w:rPr>
        <w:fldChar w:fldCharType="separate"/>
      </w:r>
      <w:r w:rsidR="00D0611B">
        <w:rPr>
          <w:noProof/>
        </w:rPr>
        <w:t>14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3" w:name="_Toc98424643"/>
      <w:r>
        <w:lastRenderedPageBreak/>
        <w:t>Name</w:t>
      </w:r>
      <w:bookmarkEnd w:id="3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proofErr w:type="gramStart"/>
      <w:r w:rsidR="001962F6">
        <w:rPr>
          <w:i/>
        </w:rPr>
        <w:t>seizure</w:t>
      </w:r>
      <w:r w:rsidR="00997416">
        <w:rPr>
          <w:i/>
        </w:rPr>
        <w:t>(</w:t>
      </w:r>
      <w:proofErr w:type="gramEnd"/>
      <w:r w:rsidR="00997416">
        <w:rPr>
          <w:i/>
        </w:rPr>
        <w:t xml:space="preserve">Balance of Probabilities) </w:t>
      </w:r>
      <w:r w:rsidR="00E55F66" w:rsidRPr="00F97A62">
        <w:t xml:space="preserve">(No. </w:t>
      </w:r>
      <w:r w:rsidR="001962F6">
        <w:t xml:space="preserve">38 </w:t>
      </w:r>
      <w:r w:rsidR="00E55F66" w:rsidRPr="00F97A62">
        <w:t>of</w:t>
      </w:r>
      <w:r w:rsidR="00085567">
        <w:t xml:space="preserve"> </w:t>
      </w:r>
      <w:r w:rsidR="00D0611B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5" w:name="_Toc98424644"/>
      <w:r w:rsidRPr="00684C0E">
        <w:t>Commencement</w:t>
      </w:r>
      <w:bookmarkEnd w:id="5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</w:t>
      </w:r>
      <w:r w:rsidR="00F67B67" w:rsidRPr="00255C4F">
        <w:t xml:space="preserve">on </w:t>
      </w:r>
      <w:r w:rsidR="001962F6" w:rsidRPr="00255C4F">
        <w:t>30 May 2022</w:t>
      </w:r>
      <w:r w:rsidR="00F67B67" w:rsidRPr="00255C4F">
        <w:t>.</w:t>
      </w:r>
    </w:p>
    <w:p w:rsidR="00F67B67" w:rsidRPr="00684C0E" w:rsidRDefault="00F67B67" w:rsidP="00472812">
      <w:pPr>
        <w:pStyle w:val="LV1"/>
      </w:pPr>
      <w:bookmarkStart w:id="6" w:name="_Toc98424645"/>
      <w:r w:rsidRPr="00684C0E">
        <w:t>Authority</w:t>
      </w:r>
      <w:bookmarkEnd w:id="6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7" w:name="_Toc98424646"/>
      <w:r>
        <w:t>Re</w:t>
      </w:r>
      <w:r w:rsidR="00681926">
        <w:t>peal</w:t>
      </w:r>
      <w:bookmarkEnd w:id="7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D41433">
        <w:t xml:space="preserve">epileptic </w:t>
      </w:r>
      <w:r w:rsidR="00EE01E9" w:rsidRPr="00EE01E9">
        <w:t>seizure</w:t>
      </w:r>
      <w:r>
        <w:t xml:space="preserve"> No. </w:t>
      </w:r>
      <w:r w:rsidR="00EE01E9">
        <w:t>78</w:t>
      </w:r>
      <w:r>
        <w:t xml:space="preserve"> of </w:t>
      </w:r>
      <w:r w:rsidR="00EE01E9">
        <w:t>2013</w:t>
      </w:r>
      <w:r w:rsidR="00681926">
        <w:t xml:space="preserve"> </w:t>
      </w:r>
      <w:r w:rsidR="00681926" w:rsidRPr="00786DAE">
        <w:t xml:space="preserve">(Federal Register of Legislation No. </w:t>
      </w:r>
      <w:r w:rsidR="00D41433" w:rsidRPr="00D41433">
        <w:t>F2013L01899</w:t>
      </w:r>
      <w:r w:rsidR="00681926" w:rsidRPr="00786DAE">
        <w:t xml:space="preserve">) </w:t>
      </w:r>
      <w:r w:rsidR="00681926" w:rsidRPr="00DA3996">
        <w:t xml:space="preserve">made under subsection </w:t>
      </w:r>
      <w:proofErr w:type="gramStart"/>
      <w:r w:rsidR="00681926" w:rsidRPr="00DA3996">
        <w:t>196B(</w:t>
      </w:r>
      <w:proofErr w:type="gramEnd"/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8" w:name="_Toc98424647"/>
      <w:r w:rsidRPr="00684C0E">
        <w:t>Application</w:t>
      </w:r>
      <w:bookmarkEnd w:id="8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463FC7" w:rsidP="00472812">
      <w:pPr>
        <w:pStyle w:val="LV1"/>
      </w:pPr>
      <w:bookmarkStart w:id="9" w:name="_Toc98424648"/>
      <w:r>
        <w:t>Schedules</w:t>
      </w:r>
      <w:bookmarkEnd w:id="9"/>
    </w:p>
    <w:p w:rsidR="00237471" w:rsidRPr="00D5620B" w:rsidRDefault="00463FC7" w:rsidP="00472812">
      <w:pPr>
        <w:pStyle w:val="PlainIndent"/>
      </w:pPr>
      <w:r w:rsidRPr="00AA33FD">
        <w:t>Any item in a Schedule to this Instrument has effect according to its terms.</w:t>
      </w:r>
    </w:p>
    <w:p w:rsidR="007C7DEE" w:rsidRPr="00684C0E" w:rsidRDefault="007C7DEE" w:rsidP="00472812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9842464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472812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D0611B" w:rsidRPr="00D0611B">
        <w:t>seizure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0611B" w:rsidRPr="00D0611B">
        <w:t>seizure</w:t>
      </w:r>
      <w:r w:rsidRPr="00D5620B">
        <w:t>.</w:t>
      </w:r>
      <w:bookmarkEnd w:id="14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0611B" w:rsidRPr="00D0611B">
        <w:rPr>
          <w:b/>
        </w:rPr>
        <w:t>seizure</w:t>
      </w:r>
    </w:p>
    <w:p w:rsidR="002716E4" w:rsidRPr="00237BAF" w:rsidRDefault="007C7DEE" w:rsidP="00472812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="002F77A1" w:rsidRPr="002F77A1">
        <w:t xml:space="preserve"> </w:t>
      </w:r>
      <w:r w:rsidR="00D0611B" w:rsidRPr="00D0611B">
        <w:t>seizure</w:t>
      </w:r>
      <w:r w:rsidR="002716E4" w:rsidRPr="00237BAF">
        <w:t>:</w:t>
      </w:r>
      <w:bookmarkEnd w:id="15"/>
    </w:p>
    <w:bookmarkEnd w:id="16"/>
    <w:p w:rsidR="00D41433" w:rsidRDefault="00D41433" w:rsidP="00D41433">
      <w:pPr>
        <w:pStyle w:val="LV3"/>
      </w:pPr>
      <w:r>
        <w:t>means an acute</w:t>
      </w:r>
      <w:r w:rsidR="0063707F">
        <w:t>,</w:t>
      </w:r>
      <w:r>
        <w:t xml:space="preserve"> nonrecurring episode of paroxysmal brain dysfunction due to sudden, abnormal, excessive neuronal discharge manifesting as seizure; and</w:t>
      </w:r>
    </w:p>
    <w:p w:rsidR="00D41433" w:rsidRDefault="00D41433" w:rsidP="00D41433">
      <w:pPr>
        <w:pStyle w:val="LV3"/>
      </w:pPr>
      <w:r>
        <w:t>includes status epilepticus; and</w:t>
      </w:r>
    </w:p>
    <w:p w:rsidR="00D41433" w:rsidRDefault="00D41433" w:rsidP="00D41433">
      <w:pPr>
        <w:pStyle w:val="LV3"/>
      </w:pPr>
      <w:r>
        <w:t>excludes:</w:t>
      </w:r>
    </w:p>
    <w:p w:rsidR="00D41433" w:rsidRDefault="00D41433" w:rsidP="00D41433">
      <w:pPr>
        <w:pStyle w:val="LV4"/>
        <w:ind w:left="2552"/>
      </w:pPr>
      <w:r>
        <w:t>movement disorders such as restless legs syndrome, periodic limb movement disorder, chorea and tics;</w:t>
      </w:r>
    </w:p>
    <w:p w:rsidR="00D41433" w:rsidRDefault="00D41433" w:rsidP="00D41433">
      <w:pPr>
        <w:pStyle w:val="LV4"/>
        <w:ind w:left="2552"/>
      </w:pPr>
      <w:r>
        <w:t xml:space="preserve">muscle dystonia or spasms associated with tetanus, drugs or chemical poisons; </w:t>
      </w:r>
    </w:p>
    <w:p w:rsidR="00D41433" w:rsidRDefault="00D41433" w:rsidP="00D41433">
      <w:pPr>
        <w:pStyle w:val="LV4"/>
        <w:ind w:left="2552"/>
      </w:pPr>
      <w:r>
        <w:t xml:space="preserve">psychogenic seizures; </w:t>
      </w:r>
    </w:p>
    <w:p w:rsidR="00D41433" w:rsidRDefault="00D41433" w:rsidP="00D41433">
      <w:pPr>
        <w:pStyle w:val="LV4"/>
        <w:ind w:left="2552"/>
      </w:pPr>
      <w:r>
        <w:t>seizures occurring during electroconvulsive therapy; and</w:t>
      </w:r>
    </w:p>
    <w:p w:rsidR="00472812" w:rsidRPr="008E76DC" w:rsidRDefault="00D41433" w:rsidP="00D41433">
      <w:pPr>
        <w:pStyle w:val="LV4"/>
        <w:ind w:left="2552"/>
      </w:pPr>
      <w:proofErr w:type="gramStart"/>
      <w:r>
        <w:lastRenderedPageBreak/>
        <w:t>spontaneous</w:t>
      </w:r>
      <w:proofErr w:type="gramEnd"/>
      <w:r>
        <w:t xml:space="preserve"> movements occurring with syncope, vertigo or migraine.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D0611B" w:rsidRPr="00D0611B">
        <w:rPr>
          <w:b/>
        </w:rPr>
        <w:t>seizure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0611B" w:rsidRPr="00D0611B">
        <w:t>seizure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D0611B" w:rsidRPr="00D0611B">
        <w:t>seizure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17" w:name="_Toc98424650"/>
      <w:r w:rsidRPr="00A20CA1">
        <w:t>Basis for determining the factors</w:t>
      </w:r>
      <w:bookmarkEnd w:id="17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D0611B" w:rsidRPr="00D0611B">
        <w:t>seizure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D0611B" w:rsidRPr="00D0611B">
        <w:t>seizure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98424651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472812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D0611B" w:rsidRPr="00D0611B">
        <w:t>seizure</w:t>
      </w:r>
      <w:r w:rsidR="007A3989">
        <w:t xml:space="preserve"> </w:t>
      </w:r>
      <w:r w:rsidR="007C7DEE" w:rsidRPr="00AA6D8B">
        <w:t xml:space="preserve">or death from </w:t>
      </w:r>
      <w:r w:rsidR="00D0611B" w:rsidRPr="00D0611B">
        <w:t>seizure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D41433" w:rsidRDefault="00D41433" w:rsidP="00D41433">
      <w:pPr>
        <w:pStyle w:val="LV2"/>
      </w:pPr>
      <w:bookmarkStart w:id="23" w:name="_Ref402530260"/>
      <w:bookmarkStart w:id="24" w:name="_Ref409598844"/>
      <w:r w:rsidRPr="007E58D9">
        <w:t>having a moderate to severe traumatic brain injury within the 10 years before the clinical onset of seizure;</w:t>
      </w:r>
    </w:p>
    <w:p w:rsidR="00D41433" w:rsidRDefault="00D41433" w:rsidP="00D41433">
      <w:pPr>
        <w:pStyle w:val="LV2"/>
      </w:pPr>
      <w:r w:rsidRPr="007E58D9">
        <w:t>having concussion within the 3 months before the clinical onset of seizure;</w:t>
      </w:r>
    </w:p>
    <w:p w:rsidR="00D41433" w:rsidRDefault="00D41433" w:rsidP="00D41433">
      <w:pPr>
        <w:pStyle w:val="LV2"/>
      </w:pPr>
      <w:r w:rsidRPr="007E58D9">
        <w:t>having an electrical injury of the brain before the clinical onset of seizure;</w:t>
      </w:r>
    </w:p>
    <w:p w:rsidR="00D41433" w:rsidRPr="007E58D9" w:rsidRDefault="00D41433" w:rsidP="00D41433">
      <w:pPr>
        <w:pStyle w:val="Note2"/>
        <w:ind w:left="1872" w:hanging="454"/>
        <w:rPr>
          <w:sz w:val="24"/>
          <w:szCs w:val="24"/>
        </w:rPr>
      </w:pPr>
      <w:r w:rsidRPr="007E58D9">
        <w:t xml:space="preserve">Note: Electrical injury of the brain excludes transcranial magnetic stimulation and electroconvulsive therapy. </w:t>
      </w:r>
    </w:p>
    <w:p w:rsidR="00D41433" w:rsidRDefault="00D41433" w:rsidP="00D41433">
      <w:pPr>
        <w:pStyle w:val="LV2"/>
      </w:pPr>
      <w:r w:rsidRPr="007E58D9">
        <w:t>having a surgical procedure which involves a craniotomy or cranioplasty within the 10 years before the clinical onset of seizure;</w:t>
      </w:r>
    </w:p>
    <w:p w:rsidR="00D41433" w:rsidRDefault="00D41433" w:rsidP="00D41433">
      <w:pPr>
        <w:pStyle w:val="LV2"/>
      </w:pPr>
      <w:r>
        <w:t>having cardiac surgery or extracorporeal membrane oxygenation at the time of the clinical onset of seizure;</w:t>
      </w:r>
    </w:p>
    <w:p w:rsidR="00D41433" w:rsidRDefault="00D41433" w:rsidP="00D41433">
      <w:pPr>
        <w:pStyle w:val="LV2"/>
      </w:pPr>
      <w:r w:rsidRPr="007E58D9">
        <w:t>having brain radiotherapy to treat primary or secondary brain neoplasia or to treat brain arteriovenous malformation before the clinical onset of seizure;</w:t>
      </w:r>
    </w:p>
    <w:p w:rsidR="00D41433" w:rsidRDefault="00D41433" w:rsidP="00D41433">
      <w:pPr>
        <w:pStyle w:val="LV2"/>
      </w:pPr>
      <w:r>
        <w:t xml:space="preserve">having an hypoxic cerebral insult within the 30 days before the clinical onset of seizure; </w:t>
      </w:r>
    </w:p>
    <w:p w:rsidR="00D41433" w:rsidRDefault="00D41433" w:rsidP="00D41433">
      <w:pPr>
        <w:pStyle w:val="Note2"/>
      </w:pPr>
      <w:r>
        <w:t xml:space="preserve">Note: </w:t>
      </w:r>
      <w:r w:rsidRPr="007E58D9">
        <w:rPr>
          <w:b/>
          <w:i/>
        </w:rPr>
        <w:t>hypoxic cerebral insult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>
        <w:lastRenderedPageBreak/>
        <w:t>having a central nervous system vascular lesion from the specified list of central nervous system vascular lesions within the 10 years before the clinical onset of seizure;</w:t>
      </w:r>
    </w:p>
    <w:p w:rsidR="00D41433" w:rsidRDefault="00D41433" w:rsidP="00D41433">
      <w:pPr>
        <w:pStyle w:val="Note2"/>
        <w:ind w:left="1872" w:hanging="454"/>
      </w:pPr>
      <w:r>
        <w:t xml:space="preserve">Note: </w:t>
      </w:r>
      <w:r w:rsidRPr="007E58D9">
        <w:rPr>
          <w:b/>
          <w:i/>
        </w:rPr>
        <w:t>specified list of central nervous system vascular lesions</w:t>
      </w:r>
      <w:r>
        <w:t xml:space="preserve"> is defined in the Schedule 1 – Dictionary.</w:t>
      </w:r>
    </w:p>
    <w:p w:rsidR="00D41433" w:rsidRDefault="00D41433" w:rsidP="00D41433">
      <w:pPr>
        <w:pStyle w:val="LV2"/>
      </w:pPr>
      <w:r>
        <w:t>having autoimmune encephalitis at the time of the clinical onset of seizure;</w:t>
      </w:r>
    </w:p>
    <w:p w:rsidR="00D41433" w:rsidRDefault="00D41433" w:rsidP="00D41433">
      <w:pPr>
        <w:pStyle w:val="Note2"/>
        <w:ind w:left="1985" w:hanging="567"/>
      </w:pPr>
      <w:r>
        <w:t xml:space="preserve">Note 1: Examples of diseases that can cause autoimmune encephalitis include granulomatosis with polyangiitis (Wegener granulomatosis), Hashimoto encephalopathy, multiple sclerosis, neuromyelitis optica, paraneoplastic neurological syndrome and systemic lupus erythematosus. </w:t>
      </w:r>
    </w:p>
    <w:p w:rsidR="00D41433" w:rsidRDefault="00D41433" w:rsidP="00D41433">
      <w:pPr>
        <w:pStyle w:val="Note2"/>
      </w:pPr>
      <w:r>
        <w:t xml:space="preserve">Note 2: </w:t>
      </w:r>
      <w:r w:rsidRPr="007E58D9">
        <w:rPr>
          <w:b/>
          <w:i/>
        </w:rPr>
        <w:t>autoimmune encephalitis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 w:rsidRPr="00E16D1B">
        <w:t>having an infection of the brain or meninges within the 6 months before the clinical onset of seizure;</w:t>
      </w:r>
    </w:p>
    <w:p w:rsidR="00D41433" w:rsidRDefault="00D41433" w:rsidP="00D41433">
      <w:pPr>
        <w:pStyle w:val="LV2"/>
      </w:pPr>
      <w:r w:rsidRPr="00E16D1B">
        <w:t>having infection with human immunodeficiency virus at the time of the clinical onset of seizure;</w:t>
      </w:r>
    </w:p>
    <w:p w:rsidR="00D41433" w:rsidRDefault="00D41433" w:rsidP="00D41433">
      <w:pPr>
        <w:pStyle w:val="LV2"/>
      </w:pPr>
      <w:r w:rsidRPr="00E16D1B">
        <w:t>having septicaemia at the time of clinical onset of seizure;</w:t>
      </w:r>
    </w:p>
    <w:p w:rsidR="00D41433" w:rsidRDefault="00D41433" w:rsidP="00D41433">
      <w:pPr>
        <w:pStyle w:val="LV2"/>
      </w:pPr>
      <w:r>
        <w:t xml:space="preserve">having an intracranial space-occupying lesion within </w:t>
      </w:r>
      <w:r w:rsidR="00BF4D95">
        <w:t xml:space="preserve">the </w:t>
      </w:r>
      <w:r>
        <w:t>10 years before the clinical onset of seizure;</w:t>
      </w:r>
    </w:p>
    <w:p w:rsidR="00D41433" w:rsidRDefault="00D41433" w:rsidP="00D41433">
      <w:pPr>
        <w:pStyle w:val="Note2"/>
      </w:pPr>
      <w:r>
        <w:t xml:space="preserve">Note: </w:t>
      </w:r>
      <w:r w:rsidRPr="00E16D1B">
        <w:rPr>
          <w:b/>
          <w:i/>
        </w:rPr>
        <w:t>intracranial space-occupying lesion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>
        <w:t>having dementia as specified at the time of the clinical onset of seizure;</w:t>
      </w:r>
    </w:p>
    <w:p w:rsidR="00D41433" w:rsidRDefault="00D41433" w:rsidP="00D41433">
      <w:pPr>
        <w:pStyle w:val="Note2"/>
      </w:pPr>
      <w:r>
        <w:t xml:space="preserve">Note: </w:t>
      </w:r>
      <w:r w:rsidRPr="00E16D1B">
        <w:rPr>
          <w:b/>
          <w:i/>
        </w:rPr>
        <w:t>dementia as specified</w:t>
      </w:r>
      <w:r>
        <w:t xml:space="preserve"> is defined in the Schedule 1 – Dictionary.</w:t>
      </w:r>
    </w:p>
    <w:p w:rsidR="0063707F" w:rsidRDefault="0063707F" w:rsidP="0063707F">
      <w:pPr>
        <w:pStyle w:val="LV2"/>
      </w:pPr>
      <w:r>
        <w:t>having a medical condition affecting the brain from the specified list of medical conditions at the time of the clinical onset of seizure;</w:t>
      </w:r>
    </w:p>
    <w:p w:rsidR="0063707F" w:rsidRDefault="0063707F" w:rsidP="0063707F">
      <w:pPr>
        <w:pStyle w:val="Note2"/>
      </w:pPr>
      <w:r>
        <w:t xml:space="preserve">Note: </w:t>
      </w:r>
      <w:r w:rsidRPr="00591417">
        <w:rPr>
          <w:b/>
          <w:i/>
        </w:rPr>
        <w:t>specified list of medical conditions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>
        <w:t xml:space="preserve">having alcohol intoxication, alcohol withdrawal or moderate to severe alcohol use disorder, at the time of the clinical onset of seizure; </w:t>
      </w:r>
    </w:p>
    <w:p w:rsidR="00D41433" w:rsidRDefault="00D41433" w:rsidP="00D41433">
      <w:pPr>
        <w:pStyle w:val="Note2"/>
        <w:ind w:left="1872" w:hanging="454"/>
      </w:pPr>
      <w:r>
        <w:t xml:space="preserve">Note: </w:t>
      </w:r>
      <w:r w:rsidRPr="00E16D1B">
        <w:rPr>
          <w:b/>
          <w:i/>
        </w:rPr>
        <w:t>alcohol intoxication</w:t>
      </w:r>
      <w:r>
        <w:t xml:space="preserve">, </w:t>
      </w:r>
      <w:r w:rsidRPr="00E16D1B">
        <w:rPr>
          <w:b/>
          <w:i/>
        </w:rPr>
        <w:t>alcohol withdrawal</w:t>
      </w:r>
      <w:r>
        <w:t xml:space="preserve"> and </w:t>
      </w:r>
      <w:r w:rsidRPr="00E16D1B">
        <w:rPr>
          <w:b/>
          <w:i/>
        </w:rPr>
        <w:t>moderate to severe alcohol use disorder</w:t>
      </w:r>
      <w:r>
        <w:t xml:space="preserve"> are defined in the Schedule 1 – Dictionary.</w:t>
      </w:r>
    </w:p>
    <w:p w:rsidR="00D41433" w:rsidRDefault="00D41433" w:rsidP="00D41433">
      <w:pPr>
        <w:pStyle w:val="LV2"/>
      </w:pPr>
      <w:r>
        <w:t xml:space="preserve">having malignant hypertension or hypertensive encephalopathy within the 4 weeks before the clinical onset of seizure; </w:t>
      </w:r>
    </w:p>
    <w:p w:rsidR="00D41433" w:rsidRDefault="00D41433" w:rsidP="00D41433">
      <w:pPr>
        <w:pStyle w:val="Note2"/>
      </w:pPr>
      <w:r>
        <w:t xml:space="preserve">Note: </w:t>
      </w:r>
      <w:r w:rsidRPr="00B63AE1">
        <w:rPr>
          <w:b/>
          <w:i/>
        </w:rPr>
        <w:t>malignant hypertension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>
        <w:t xml:space="preserve">having eclampsia within the 4 weeks before the clinical onset of seizure; </w:t>
      </w:r>
    </w:p>
    <w:p w:rsidR="00D41433" w:rsidRDefault="00D41433" w:rsidP="00D41433">
      <w:pPr>
        <w:pStyle w:val="Note2"/>
      </w:pPr>
      <w:r>
        <w:t xml:space="preserve">Note: </w:t>
      </w:r>
      <w:r w:rsidRPr="00B63AE1">
        <w:rPr>
          <w:b/>
          <w:i/>
        </w:rPr>
        <w:t>eclampsia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 w:rsidRPr="00B63AE1">
        <w:t>having acute liver failure at the time of the clinical onset of seizure;</w:t>
      </w:r>
    </w:p>
    <w:p w:rsidR="00D41433" w:rsidRDefault="00D41433" w:rsidP="00D0611B">
      <w:pPr>
        <w:pStyle w:val="LV2"/>
        <w:keepNext/>
      </w:pPr>
      <w:r>
        <w:lastRenderedPageBreak/>
        <w:t>having acute renal failure or chronic renal failure at the time of the clinical onset of seizure;</w:t>
      </w:r>
    </w:p>
    <w:p w:rsidR="00D41433" w:rsidRDefault="00D41433" w:rsidP="00D41433">
      <w:pPr>
        <w:pStyle w:val="Note2"/>
      </w:pPr>
      <w:r>
        <w:t xml:space="preserve">Note: </w:t>
      </w:r>
      <w:r w:rsidRPr="00B63AE1">
        <w:rPr>
          <w:b/>
          <w:i/>
        </w:rPr>
        <w:t>acute renal failure</w:t>
      </w:r>
      <w:r>
        <w:t xml:space="preserve"> and </w:t>
      </w:r>
      <w:r w:rsidRPr="00B63AE1">
        <w:rPr>
          <w:b/>
          <w:i/>
        </w:rPr>
        <w:t>chronic renal failure</w:t>
      </w:r>
      <w:r>
        <w:t xml:space="preserve"> are defined in the Schedule 1 – Dictionary.</w:t>
      </w:r>
    </w:p>
    <w:p w:rsidR="00D41433" w:rsidRDefault="00D41433" w:rsidP="00D41433">
      <w:pPr>
        <w:pStyle w:val="LV2"/>
      </w:pPr>
      <w:r w:rsidRPr="00476F59">
        <w:t>having an amniotic fluid embolism or fat embolism at the time of the clinical onset of seizure;</w:t>
      </w:r>
    </w:p>
    <w:p w:rsidR="00D41433" w:rsidRDefault="00D41433" w:rsidP="00D41433">
      <w:pPr>
        <w:pStyle w:val="LV2"/>
      </w:pPr>
      <w:r>
        <w:t xml:space="preserve">having hypoglycaemia at the time of the clinical onset of seizure; </w:t>
      </w:r>
    </w:p>
    <w:p w:rsidR="00D41433" w:rsidRDefault="00D41433" w:rsidP="00D41433">
      <w:pPr>
        <w:pStyle w:val="Note2"/>
      </w:pPr>
      <w:r>
        <w:t xml:space="preserve">Note: </w:t>
      </w:r>
      <w:r w:rsidRPr="00FE276F">
        <w:rPr>
          <w:b/>
          <w:i/>
        </w:rPr>
        <w:t>hypoglycaemia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>
        <w:t xml:space="preserve">having hyperglycaemia at the time of the clinical onset of  seizure; </w:t>
      </w:r>
    </w:p>
    <w:p w:rsidR="00D41433" w:rsidRDefault="00D41433" w:rsidP="00D41433">
      <w:pPr>
        <w:pStyle w:val="Note2"/>
      </w:pPr>
      <w:r>
        <w:t xml:space="preserve">Note: </w:t>
      </w:r>
      <w:r w:rsidRPr="005A0AB3">
        <w:rPr>
          <w:b/>
          <w:i/>
        </w:rPr>
        <w:t>hyperglycaemia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 w:rsidRPr="005A0AB3">
        <w:t>having diabetes mellitus at the time of the clinical onset of seizure;</w:t>
      </w:r>
    </w:p>
    <w:p w:rsidR="00D41433" w:rsidRDefault="00D41433" w:rsidP="00D41433">
      <w:pPr>
        <w:pStyle w:val="LV2"/>
      </w:pPr>
      <w:r>
        <w:t xml:space="preserve">having an electrolyte abnormality at the time of the clinical onset of seizure; </w:t>
      </w:r>
    </w:p>
    <w:p w:rsidR="00D41433" w:rsidRDefault="00D41433" w:rsidP="00D41433">
      <w:pPr>
        <w:pStyle w:val="Note2"/>
      </w:pPr>
      <w:r>
        <w:t xml:space="preserve">Note: </w:t>
      </w:r>
      <w:r w:rsidRPr="005A0AB3">
        <w:rPr>
          <w:b/>
          <w:i/>
        </w:rPr>
        <w:t>electrolyte abnormality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 w:rsidRPr="00183219">
        <w:t>having carbon monoxide poisoning within the 30 days before the clinical onset of seizure;</w:t>
      </w:r>
    </w:p>
    <w:p w:rsidR="00D41433" w:rsidRDefault="00D41433" w:rsidP="00D41433">
      <w:pPr>
        <w:pStyle w:val="LV2"/>
      </w:pPr>
      <w:r>
        <w:t>having sleep deprivation at the time of the clinical onset of seizure;</w:t>
      </w:r>
    </w:p>
    <w:p w:rsidR="00D41433" w:rsidRDefault="00D41433" w:rsidP="00D41433">
      <w:pPr>
        <w:pStyle w:val="Note2"/>
      </w:pPr>
      <w:r>
        <w:t xml:space="preserve">Note: </w:t>
      </w:r>
      <w:r w:rsidRPr="005A0AB3">
        <w:rPr>
          <w:b/>
          <w:i/>
        </w:rPr>
        <w:t>sleep deprivation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>
        <w:t>having exertional heat stroke at the time of the clinical onset of seizure;</w:t>
      </w:r>
    </w:p>
    <w:p w:rsidR="00D41433" w:rsidRDefault="00D41433" w:rsidP="00D41433">
      <w:pPr>
        <w:pStyle w:val="LV2"/>
      </w:pPr>
      <w:r>
        <w:t>being dehydrated at the time of the clinical onset of seizure;</w:t>
      </w:r>
    </w:p>
    <w:p w:rsidR="00D41433" w:rsidRDefault="00D41433" w:rsidP="00D41433">
      <w:pPr>
        <w:pStyle w:val="LV2"/>
      </w:pPr>
      <w:r>
        <w:t>undergoing organ or tissue transplantation, excluding corneal transplant, within the 6 months before the clinical onset of seizure;</w:t>
      </w:r>
    </w:p>
    <w:p w:rsidR="00D41433" w:rsidRDefault="00D41433" w:rsidP="00D41433">
      <w:pPr>
        <w:pStyle w:val="Note2"/>
      </w:pPr>
      <w:r>
        <w:t xml:space="preserve">Note: </w:t>
      </w:r>
      <w:r w:rsidRPr="00B63AE1">
        <w:rPr>
          <w:b/>
          <w:i/>
        </w:rPr>
        <w:t>organ or tissue transplantation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 w:rsidRPr="00E86B8C">
        <w:t xml:space="preserve">taking a drug specified in the Schedule 2 </w:t>
      </w:r>
      <w:r>
        <w:t xml:space="preserve">- </w:t>
      </w:r>
      <w:r w:rsidRPr="00E86B8C">
        <w:t xml:space="preserve">Drugs of this Instrument, within the 24 hours before the clinical onset of seizure, and </w:t>
      </w:r>
      <w:r>
        <w:t>if</w:t>
      </w:r>
      <w:r w:rsidRPr="00E86B8C">
        <w:t xml:space="preserve"> multiple seizures occur, the first seizure occurred within 24 hours of taking the drug;</w:t>
      </w:r>
    </w:p>
    <w:p w:rsidR="00685FBE" w:rsidRDefault="00D41433" w:rsidP="00D41433">
      <w:pPr>
        <w:pStyle w:val="LV2"/>
      </w:pPr>
      <w:r w:rsidRPr="00183219">
        <w:t>taking a drug which is associated in the individual with</w:t>
      </w:r>
      <w:r w:rsidR="00685FBE">
        <w:t>:</w:t>
      </w:r>
      <w:r w:rsidRPr="00183219">
        <w:t xml:space="preserve"> </w:t>
      </w:r>
    </w:p>
    <w:p w:rsidR="00685FBE" w:rsidRDefault="00D41433" w:rsidP="00685FBE">
      <w:pPr>
        <w:pStyle w:val="LV3"/>
      </w:pPr>
      <w:r w:rsidRPr="00183219">
        <w:t>the development of a seizure within 24 hours of first taking the drug</w:t>
      </w:r>
      <w:r w:rsidR="00685FBE">
        <w:t>; and</w:t>
      </w:r>
    </w:p>
    <w:p w:rsidR="00D41433" w:rsidRDefault="00D41433" w:rsidP="00685FBE">
      <w:pPr>
        <w:pStyle w:val="LV3"/>
      </w:pPr>
      <w:r w:rsidRPr="00183219">
        <w:t>the redevelopment of a seizure on rechallenge with the same drug;</w:t>
      </w:r>
    </w:p>
    <w:p w:rsidR="00D41433" w:rsidRDefault="00D41433" w:rsidP="00D41433">
      <w:pPr>
        <w:pStyle w:val="LV2"/>
      </w:pPr>
      <w:r>
        <w:t xml:space="preserve">being exposed to radiographic contrast media within the 24 hours before the clinical onset of seizure, and if multiple seizures occur, the first seizure occurred within 24 hours of </w:t>
      </w:r>
      <w:r w:rsidR="00BF4D95">
        <w:t>exposure</w:t>
      </w:r>
      <w:r>
        <w:t xml:space="preserve"> to the radiographic contrast media; </w:t>
      </w:r>
    </w:p>
    <w:p w:rsidR="00D41433" w:rsidRDefault="00D41433" w:rsidP="00D41433">
      <w:pPr>
        <w:pStyle w:val="Note2"/>
        <w:ind w:left="1872" w:hanging="454"/>
      </w:pPr>
      <w:r>
        <w:t>Note: Examples of radiographic contrast media include meglumine carbamate, metrizamide and iohexol.</w:t>
      </w:r>
    </w:p>
    <w:p w:rsidR="00D41433" w:rsidRDefault="00D41433" w:rsidP="00D41433">
      <w:pPr>
        <w:pStyle w:val="LV2"/>
      </w:pPr>
      <w:r>
        <w:lastRenderedPageBreak/>
        <w:t xml:space="preserve">reducing the intake of, or withdrawing from, a chronically administered sedative drug within the 2 weeks before the clinical onset of seizure; </w:t>
      </w:r>
    </w:p>
    <w:p w:rsidR="00D41433" w:rsidRDefault="00D41433" w:rsidP="00D41433">
      <w:pPr>
        <w:pStyle w:val="Note2"/>
      </w:pPr>
      <w:r>
        <w:t xml:space="preserve">Note: </w:t>
      </w:r>
      <w:r w:rsidRPr="00183219">
        <w:rPr>
          <w:b/>
          <w:i/>
        </w:rPr>
        <w:t>sedative drug</w:t>
      </w:r>
      <w:r>
        <w:t xml:space="preserve"> is defined in the Schedule 1 – Dictionary.</w:t>
      </w:r>
    </w:p>
    <w:p w:rsidR="00D41433" w:rsidRDefault="00D41433" w:rsidP="00D41433">
      <w:pPr>
        <w:pStyle w:val="LV2"/>
      </w:pPr>
      <w:r>
        <w:t xml:space="preserve">being exposed to partial pressures of oxygen above 1.2 atmospheres absolute (120 kPa) from: </w:t>
      </w:r>
    </w:p>
    <w:p w:rsidR="00D41433" w:rsidRDefault="00D41433" w:rsidP="00D41433">
      <w:pPr>
        <w:pStyle w:val="LV3"/>
      </w:pPr>
      <w:r>
        <w:t xml:space="preserve">breathing oxygen enriched air during diving; </w:t>
      </w:r>
    </w:p>
    <w:p w:rsidR="00D41433" w:rsidRDefault="00D41433" w:rsidP="00D41433">
      <w:pPr>
        <w:pStyle w:val="LV3"/>
      </w:pPr>
      <w:r>
        <w:t xml:space="preserve">receiving hyperbaric oxygen therapy; </w:t>
      </w:r>
    </w:p>
    <w:p w:rsidR="00D41433" w:rsidRDefault="00D41433" w:rsidP="00D41433">
      <w:pPr>
        <w:pStyle w:val="LV3"/>
      </w:pPr>
      <w:r>
        <w:t>saturation diving; or</w:t>
      </w:r>
    </w:p>
    <w:p w:rsidR="00D41433" w:rsidRDefault="00D41433" w:rsidP="00D41433">
      <w:pPr>
        <w:pStyle w:val="LV3"/>
      </w:pPr>
      <w:r>
        <w:t xml:space="preserve">the use of closed or semi-closed rebreathing apparatus; </w:t>
      </w:r>
    </w:p>
    <w:p w:rsidR="00D41433" w:rsidRDefault="00D41433" w:rsidP="00D41433">
      <w:pPr>
        <w:pStyle w:val="LV2"/>
        <w:numPr>
          <w:ilvl w:val="0"/>
          <w:numId w:val="0"/>
        </w:numPr>
        <w:ind w:left="1418"/>
      </w:pPr>
      <w:proofErr w:type="gramStart"/>
      <w:r>
        <w:t>within</w:t>
      </w:r>
      <w:proofErr w:type="gramEnd"/>
      <w:r>
        <w:t xml:space="preserve"> the 24 hours before the clinical onset of seizure;</w:t>
      </w:r>
    </w:p>
    <w:p w:rsidR="00D41433" w:rsidRDefault="00D41433" w:rsidP="00D41433">
      <w:pPr>
        <w:pStyle w:val="LV2"/>
      </w:pPr>
      <w:r w:rsidRPr="00183219">
        <w:t xml:space="preserve">being exposed to an abrupt reduction in the pressure of the air surrounding the person, resulting in the development of cerebral arterial gas embolism or decompression </w:t>
      </w:r>
      <w:r>
        <w:t>sickness</w:t>
      </w:r>
      <w:r w:rsidRPr="00183219">
        <w:t>, within the 24 hours before the clinical onset of seizure;</w:t>
      </w:r>
    </w:p>
    <w:p w:rsidR="00D41433" w:rsidRDefault="00D41433" w:rsidP="00D41433">
      <w:pPr>
        <w:pStyle w:val="LV2"/>
      </w:pPr>
      <w:r w:rsidRPr="003C7252">
        <w:t>being poisoned with a metal from the specified list of metals, as demonstrated by clinical, haematological or biochemical evidence of such poisoning, at the time of the clinical onset of seizure;</w:t>
      </w:r>
    </w:p>
    <w:p w:rsidR="00D41433" w:rsidRDefault="00D41433" w:rsidP="00D41433">
      <w:pPr>
        <w:pStyle w:val="Note2"/>
      </w:pPr>
      <w:r w:rsidRPr="003C7252">
        <w:t xml:space="preserve">Note: </w:t>
      </w:r>
      <w:r w:rsidRPr="003C7252">
        <w:rPr>
          <w:b/>
          <w:i/>
        </w:rPr>
        <w:t>specified list of metals</w:t>
      </w:r>
      <w:r w:rsidRPr="003C7252">
        <w:t xml:space="preserve"> is defined in the Schedule 1 – Dictionary.</w:t>
      </w:r>
    </w:p>
    <w:p w:rsidR="00D41433" w:rsidRDefault="00D41433" w:rsidP="00D41433">
      <w:pPr>
        <w:pStyle w:val="LV2"/>
      </w:pPr>
      <w:r>
        <w:t>inhaling, ingesting or having cutaneous contact with a neurotoxic substance, or a food or compound containing a neurotoxic substance, within the 24 hours before the clinical onset of seizure, and</w:t>
      </w:r>
      <w:r w:rsidR="00BF4D95">
        <w:t>:</w:t>
      </w:r>
      <w:r>
        <w:t xml:space="preserve"> </w:t>
      </w:r>
    </w:p>
    <w:p w:rsidR="00D41433" w:rsidRDefault="00D41433" w:rsidP="00D41433">
      <w:pPr>
        <w:pStyle w:val="LV3"/>
      </w:pPr>
      <w:r>
        <w:t xml:space="preserve">other signs and symptoms of poisoning are present; and </w:t>
      </w:r>
    </w:p>
    <w:p w:rsidR="00D41433" w:rsidRDefault="00BF4D95" w:rsidP="00D41433">
      <w:pPr>
        <w:pStyle w:val="LV3"/>
      </w:pPr>
      <w:r>
        <w:t>if</w:t>
      </w:r>
      <w:r w:rsidR="00D41433">
        <w:t xml:space="preserve"> multiple seizures occur, the first seizure occurred within 24</w:t>
      </w:r>
      <w:r w:rsidR="00ED163D">
        <w:t> </w:t>
      </w:r>
      <w:r w:rsidR="00D41433">
        <w:t xml:space="preserve">hours of exposure to the neurotoxic substance; </w:t>
      </w:r>
    </w:p>
    <w:p w:rsidR="00D41433" w:rsidRDefault="00D41433" w:rsidP="00D41433">
      <w:pPr>
        <w:pStyle w:val="Note2"/>
        <w:ind w:left="1872" w:hanging="454"/>
      </w:pPr>
      <w:r>
        <w:t xml:space="preserve">Note: </w:t>
      </w:r>
      <w:r w:rsidRPr="003C7252">
        <w:rPr>
          <w:b/>
          <w:i/>
        </w:rPr>
        <w:t xml:space="preserve">neurotoxic substance or </w:t>
      </w:r>
      <w:r>
        <w:rPr>
          <w:b/>
          <w:i/>
        </w:rPr>
        <w:t xml:space="preserve">a </w:t>
      </w:r>
      <w:r w:rsidRPr="003C7252">
        <w:rPr>
          <w:b/>
          <w:i/>
        </w:rPr>
        <w:t>food or compound containing a neurotoxic substance</w:t>
      </w:r>
      <w:r>
        <w:t xml:space="preserve"> and </w:t>
      </w:r>
      <w:r w:rsidRPr="003C7252">
        <w:rPr>
          <w:b/>
          <w:i/>
        </w:rPr>
        <w:t>signs and symptoms of poisoning</w:t>
      </w:r>
      <w:r>
        <w:t xml:space="preserve"> are defined in the Schedule 1 – Dictionary.</w:t>
      </w:r>
    </w:p>
    <w:p w:rsidR="00D41433" w:rsidRDefault="00D41433" w:rsidP="00D41433">
      <w:pPr>
        <w:pStyle w:val="LV2"/>
      </w:pPr>
      <w:r w:rsidRPr="00476F59">
        <w:t>experiencing animal envenomation within the 24 hours before the clinical onset of seizure;</w:t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3"/>
      <w:r w:rsidR="007A3989">
        <w:t xml:space="preserve"> </w:t>
      </w:r>
      <w:r w:rsidR="00D0611B" w:rsidRPr="00D0611B">
        <w:t>seizure</w:t>
      </w:r>
      <w:r w:rsidR="00D5620B" w:rsidRPr="008D1B8B">
        <w:t>.</w:t>
      </w:r>
      <w:bookmarkEnd w:id="24"/>
    </w:p>
    <w:p w:rsidR="000C21A3" w:rsidRPr="00684C0E" w:rsidRDefault="00D32F71" w:rsidP="00472812">
      <w:pPr>
        <w:pStyle w:val="LV1"/>
      </w:pPr>
      <w:bookmarkStart w:id="25" w:name="_Toc98424652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472812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6552DF">
        <w:t>40</w:t>
      </w:r>
      <w:r w:rsidR="00FF1D47">
        <w:t xml:space="preserve">) </w:t>
      </w:r>
      <w:r w:rsidRPr="00187DE1">
        <w:t xml:space="preserve">applies only to material contribution to, or aggravation of, </w:t>
      </w:r>
      <w:r w:rsidR="00D0611B" w:rsidRPr="00D0611B">
        <w:t>seizure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D0611B" w:rsidRPr="00D0611B">
        <w:t>seizure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D0611B">
      <w:pPr>
        <w:pStyle w:val="LV1"/>
        <w:keepNext/>
      </w:pPr>
      <w:bookmarkStart w:id="27" w:name="_Toc98424653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9842465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98424655"/>
      <w:r w:rsidRPr="00D97BB3">
        <w:t>Definitions</w:t>
      </w:r>
      <w:bookmarkEnd w:id="31"/>
      <w:bookmarkEnd w:id="32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A63650" w:rsidRDefault="00A63650" w:rsidP="00A63650">
      <w:pPr>
        <w:pStyle w:val="SH3"/>
        <w:ind w:left="851" w:hanging="851"/>
      </w:pPr>
      <w:bookmarkStart w:id="33" w:name="_Ref402530810"/>
      <w:proofErr w:type="gramStart"/>
      <w:r w:rsidRPr="00B63AE1">
        <w:rPr>
          <w:b/>
          <w:i/>
        </w:rPr>
        <w:t>acute</w:t>
      </w:r>
      <w:proofErr w:type="gramEnd"/>
      <w:r w:rsidRPr="00B63AE1">
        <w:rPr>
          <w:b/>
          <w:i/>
        </w:rPr>
        <w:t xml:space="preserve"> renal failure</w:t>
      </w:r>
      <w:r>
        <w:t xml:space="preserve"> means a kidney disorder characterised by rapid decline of glomerular filtration rate and retention of nitrogenous waste products. </w:t>
      </w:r>
    </w:p>
    <w:p w:rsidR="00A63650" w:rsidRDefault="00A63650" w:rsidP="00A63650">
      <w:pPr>
        <w:pStyle w:val="SH3"/>
        <w:ind w:left="851" w:hanging="851"/>
      </w:pPr>
      <w:r w:rsidRPr="00591417">
        <w:rPr>
          <w:b/>
          <w:i/>
        </w:rPr>
        <w:t>alcohol intoxication</w:t>
      </w:r>
      <w:r>
        <w:t xml:space="preserve"> means recently consuming a quantity of alcohol such that the person exhibits the following behaviours and signs and symptoms: </w:t>
      </w:r>
    </w:p>
    <w:p w:rsidR="00A63650" w:rsidRDefault="00A63650" w:rsidP="00A63650">
      <w:pPr>
        <w:pStyle w:val="SH4"/>
        <w:ind w:left="1418"/>
      </w:pPr>
      <w:r>
        <w:t xml:space="preserve">clinically significant problematic behavioural or psychological changes (for example, inappropriate sexual or aggressive behaviour, mood lability, impaired judgment) that developed during, or shortly after, alcohol ingestion; </w:t>
      </w:r>
    </w:p>
    <w:p w:rsidR="00A63650" w:rsidRDefault="00A63650" w:rsidP="00A63650">
      <w:pPr>
        <w:pStyle w:val="SH4"/>
        <w:ind w:left="1418"/>
      </w:pPr>
      <w:r>
        <w:t>one (or more) of the following signs or symptoms developing during, or shortly after, alcohol use:</w:t>
      </w:r>
    </w:p>
    <w:p w:rsidR="00A63650" w:rsidRDefault="00A63650" w:rsidP="00A63650">
      <w:pPr>
        <w:pStyle w:val="SH5"/>
        <w:ind w:hanging="623"/>
      </w:pPr>
      <w:r>
        <w:t xml:space="preserve">slurred speech; </w:t>
      </w:r>
    </w:p>
    <w:p w:rsidR="00A63650" w:rsidRDefault="00A63650" w:rsidP="00A63650">
      <w:pPr>
        <w:pStyle w:val="SH5"/>
        <w:ind w:hanging="623"/>
      </w:pPr>
      <w:r>
        <w:t xml:space="preserve">incoordination; </w:t>
      </w:r>
    </w:p>
    <w:p w:rsidR="00A63650" w:rsidRDefault="00A63650" w:rsidP="00A63650">
      <w:pPr>
        <w:pStyle w:val="SH5"/>
        <w:ind w:hanging="623"/>
      </w:pPr>
      <w:r>
        <w:t xml:space="preserve">unsteady gait; </w:t>
      </w:r>
    </w:p>
    <w:p w:rsidR="00A63650" w:rsidRDefault="00A63650" w:rsidP="00A63650">
      <w:pPr>
        <w:pStyle w:val="SH5"/>
        <w:ind w:hanging="623"/>
      </w:pPr>
      <w:r>
        <w:t xml:space="preserve">nystagmus; </w:t>
      </w:r>
    </w:p>
    <w:p w:rsidR="00A63650" w:rsidRDefault="00A63650" w:rsidP="00A63650">
      <w:pPr>
        <w:pStyle w:val="SH5"/>
        <w:ind w:hanging="623"/>
      </w:pPr>
      <w:r>
        <w:t xml:space="preserve">impairment in attention or memory; or </w:t>
      </w:r>
    </w:p>
    <w:p w:rsidR="00A63650" w:rsidRDefault="00A63650" w:rsidP="00A63650">
      <w:pPr>
        <w:pStyle w:val="SH5"/>
        <w:ind w:hanging="623"/>
      </w:pPr>
      <w:r>
        <w:t xml:space="preserve">stupor or coma; and </w:t>
      </w:r>
    </w:p>
    <w:p w:rsidR="00A63650" w:rsidRPr="00591417" w:rsidRDefault="00A63650" w:rsidP="00A63650">
      <w:pPr>
        <w:pStyle w:val="SH4"/>
        <w:ind w:left="1418"/>
      </w:pPr>
      <w:proofErr w:type="gramStart"/>
      <w:r>
        <w:t>the</w:t>
      </w:r>
      <w:proofErr w:type="gramEnd"/>
      <w:r>
        <w:t xml:space="preserve"> signs or symptoms are not attributable to another medical condition and are not better explained by another mental disorder, including intoxication with another substance.</w:t>
      </w:r>
    </w:p>
    <w:p w:rsidR="00A63650" w:rsidRPr="00E16D1B" w:rsidRDefault="00A63650" w:rsidP="00A63650">
      <w:pPr>
        <w:pStyle w:val="SH3"/>
        <w:ind w:left="851" w:hanging="851"/>
      </w:pPr>
      <w:proofErr w:type="gramStart"/>
      <w:r w:rsidRPr="00E16D1B">
        <w:rPr>
          <w:b/>
          <w:i/>
        </w:rPr>
        <w:t>alcohol</w:t>
      </w:r>
      <w:proofErr w:type="gramEnd"/>
      <w:r w:rsidRPr="00E16D1B">
        <w:rPr>
          <w:b/>
          <w:i/>
        </w:rPr>
        <w:t xml:space="preserve"> withdrawal</w:t>
      </w:r>
      <w:r w:rsidRPr="00E16D1B">
        <w:t xml:space="preserve"> means ceasing or reducing the intake of alcohol after a continuous period of at least </w:t>
      </w:r>
      <w:r>
        <w:t>2</w:t>
      </w:r>
      <w:r w:rsidRPr="00E16D1B">
        <w:t xml:space="preserve"> weeks of heavy alcohol use.</w:t>
      </w:r>
    </w:p>
    <w:p w:rsidR="00A63650" w:rsidRPr="00E16D1B" w:rsidRDefault="00A63650" w:rsidP="00A63650">
      <w:pPr>
        <w:pStyle w:val="SH3"/>
        <w:ind w:left="851" w:hanging="851"/>
      </w:pPr>
      <w:proofErr w:type="gramStart"/>
      <w:r w:rsidRPr="00E16D1B">
        <w:rPr>
          <w:b/>
          <w:i/>
        </w:rPr>
        <w:t>autoimmune</w:t>
      </w:r>
      <w:proofErr w:type="gramEnd"/>
      <w:r w:rsidRPr="00E16D1B">
        <w:rPr>
          <w:b/>
          <w:i/>
        </w:rPr>
        <w:t xml:space="preserve"> encephalitis</w:t>
      </w:r>
      <w:r w:rsidRPr="00E16D1B">
        <w:t xml:space="preserve"> means a diffuse brain injury due to autoimmune inflammation of the brain.</w:t>
      </w:r>
    </w:p>
    <w:p w:rsidR="00A63650" w:rsidRDefault="00A63650" w:rsidP="00A63650">
      <w:pPr>
        <w:pStyle w:val="SH3"/>
        <w:ind w:left="851" w:hanging="851"/>
      </w:pPr>
      <w:r w:rsidRPr="005A0AB3">
        <w:rPr>
          <w:b/>
          <w:i/>
        </w:rPr>
        <w:t>chronic renal failure</w:t>
      </w:r>
      <w:r>
        <w:t xml:space="preserve"> means:</w:t>
      </w:r>
    </w:p>
    <w:p w:rsidR="00A63650" w:rsidRDefault="00A63650" w:rsidP="00A63650">
      <w:pPr>
        <w:pStyle w:val="SH4"/>
        <w:ind w:left="1418"/>
      </w:pPr>
      <w:r>
        <w:t>having a glomerular filtration rate of less than 15 mL/min/1.73 m</w:t>
      </w:r>
      <w:r w:rsidRPr="00B63AE1">
        <w:rPr>
          <w:vertAlign w:val="superscript"/>
        </w:rPr>
        <w:t>2</w:t>
      </w:r>
      <w:r>
        <w:t xml:space="preserve"> for a period of at least 3 months; or </w:t>
      </w:r>
    </w:p>
    <w:p w:rsidR="00A63650" w:rsidRDefault="00A63650" w:rsidP="00A63650">
      <w:pPr>
        <w:pStyle w:val="SH4"/>
        <w:ind w:left="1418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A63650" w:rsidRPr="00B63AE1" w:rsidRDefault="00A63650" w:rsidP="00A63650">
      <w:pPr>
        <w:pStyle w:val="SH4"/>
        <w:ind w:left="1418"/>
      </w:pPr>
      <w:proofErr w:type="gramStart"/>
      <w:r>
        <w:t>undergoing</w:t>
      </w:r>
      <w:proofErr w:type="gramEnd"/>
      <w:r>
        <w:t xml:space="preserve"> chronic dialysis.</w:t>
      </w:r>
    </w:p>
    <w:p w:rsidR="00A63650" w:rsidRDefault="00A63650" w:rsidP="00A63650">
      <w:pPr>
        <w:pStyle w:val="SH3"/>
        <w:ind w:left="851" w:hanging="851"/>
      </w:pPr>
      <w:r w:rsidRPr="00E16D1B">
        <w:rPr>
          <w:b/>
          <w:i/>
        </w:rPr>
        <w:t>dementia as specified</w:t>
      </w:r>
      <w:r>
        <w:t xml:space="preserve"> means</w:t>
      </w:r>
      <w:r w:rsidR="002E5129">
        <w:t xml:space="preserve"> one of the following</w:t>
      </w:r>
      <w:r w:rsidR="003E58D7">
        <w:t xml:space="preserve"> forms of dementia</w:t>
      </w:r>
      <w:r>
        <w:t xml:space="preserve">: </w:t>
      </w:r>
    </w:p>
    <w:p w:rsidR="00A63650" w:rsidRDefault="00A63650" w:rsidP="00A63650">
      <w:pPr>
        <w:pStyle w:val="SH4"/>
        <w:ind w:left="1418"/>
      </w:pPr>
      <w:r>
        <w:t xml:space="preserve">Alzheimer </w:t>
      </w:r>
      <w:r w:rsidRPr="00DC1415">
        <w:t>d</w:t>
      </w:r>
      <w:r w:rsidR="009C5EF5" w:rsidRPr="00DC1415">
        <w:t>ementia</w:t>
      </w:r>
      <w:r w:rsidRPr="00DC1415">
        <w:t>;</w:t>
      </w:r>
      <w:r>
        <w:t xml:space="preserve"> </w:t>
      </w:r>
    </w:p>
    <w:p w:rsidR="00A63650" w:rsidRDefault="00A63650" w:rsidP="00A63650">
      <w:pPr>
        <w:pStyle w:val="SH4"/>
        <w:ind w:left="1418"/>
      </w:pPr>
      <w:r>
        <w:t>Creutzfeldt-Jakob disease</w:t>
      </w:r>
      <w:r w:rsidR="00DC1415">
        <w:t xml:space="preserve"> with dementia</w:t>
      </w:r>
      <w:r>
        <w:t xml:space="preserve">; </w:t>
      </w:r>
    </w:p>
    <w:p w:rsidR="00A63650" w:rsidRDefault="00A63650" w:rsidP="00A63650">
      <w:pPr>
        <w:pStyle w:val="SH4"/>
        <w:ind w:left="1418"/>
      </w:pPr>
      <w:r>
        <w:t xml:space="preserve">dementia </w:t>
      </w:r>
      <w:proofErr w:type="spellStart"/>
      <w:r>
        <w:t>pugilistica</w:t>
      </w:r>
      <w:proofErr w:type="spellEnd"/>
      <w:r>
        <w:t xml:space="preserve">; </w:t>
      </w:r>
    </w:p>
    <w:p w:rsidR="00A63650" w:rsidRDefault="00A63650" w:rsidP="00A63650">
      <w:pPr>
        <w:pStyle w:val="SH4"/>
        <w:ind w:left="1418"/>
      </w:pPr>
      <w:r>
        <w:t xml:space="preserve">frontotemporal dementia; </w:t>
      </w:r>
    </w:p>
    <w:p w:rsidR="00A63650" w:rsidRDefault="00A63650" w:rsidP="00A63650">
      <w:pPr>
        <w:pStyle w:val="SH4"/>
        <w:ind w:left="1418"/>
      </w:pPr>
      <w:r>
        <w:t>Huntington's chorea</w:t>
      </w:r>
      <w:r w:rsidR="00DC1415">
        <w:t xml:space="preserve"> with dementia</w:t>
      </w:r>
      <w:r>
        <w:t>;</w:t>
      </w:r>
    </w:p>
    <w:p w:rsidR="00A63650" w:rsidRDefault="00A63650" w:rsidP="00A63650">
      <w:pPr>
        <w:pStyle w:val="SH4"/>
        <w:ind w:left="1418"/>
      </w:pPr>
      <w:r>
        <w:t>neurocognitive disorder with Lewy bodies;</w:t>
      </w:r>
    </w:p>
    <w:p w:rsidR="00A63650" w:rsidRDefault="00A63650" w:rsidP="00A63650">
      <w:pPr>
        <w:pStyle w:val="SH4"/>
        <w:ind w:left="1418"/>
      </w:pPr>
      <w:r>
        <w:lastRenderedPageBreak/>
        <w:t xml:space="preserve">Parkinson's disease with dementia; </w:t>
      </w:r>
    </w:p>
    <w:p w:rsidR="00A63650" w:rsidRDefault="00A63650" w:rsidP="00A63650">
      <w:pPr>
        <w:pStyle w:val="SH4"/>
        <w:ind w:left="1418"/>
      </w:pPr>
      <w:r>
        <w:t xml:space="preserve">vascular dementia; or </w:t>
      </w:r>
    </w:p>
    <w:p w:rsidR="00A63650" w:rsidRPr="00E16D1B" w:rsidRDefault="00A63650" w:rsidP="00A63650">
      <w:pPr>
        <w:pStyle w:val="SH4"/>
        <w:ind w:left="1418"/>
      </w:pPr>
      <w:proofErr w:type="gramStart"/>
      <w:r>
        <w:t>any</w:t>
      </w:r>
      <w:proofErr w:type="gramEnd"/>
      <w:r>
        <w:t xml:space="preserve"> other type of dementia.</w:t>
      </w:r>
    </w:p>
    <w:p w:rsidR="00A63650" w:rsidRPr="00B63AE1" w:rsidRDefault="00A63650" w:rsidP="00A63650">
      <w:pPr>
        <w:pStyle w:val="SH3"/>
        <w:ind w:left="851" w:hanging="851"/>
      </w:pPr>
      <w:proofErr w:type="gramStart"/>
      <w:r w:rsidRPr="00B63AE1">
        <w:rPr>
          <w:b/>
          <w:i/>
        </w:rPr>
        <w:t>eclampsia</w:t>
      </w:r>
      <w:proofErr w:type="gramEnd"/>
      <w:r>
        <w:t xml:space="preserve"> means a condition occurring in pregnant or puerperal women, characterised by hypertension, coma, convulsions, oedema or proteinuria.</w:t>
      </w:r>
    </w:p>
    <w:p w:rsidR="00A63650" w:rsidRDefault="00A63650" w:rsidP="00A63650">
      <w:pPr>
        <w:pStyle w:val="SH3"/>
        <w:ind w:left="851" w:hanging="851"/>
      </w:pPr>
      <w:r w:rsidRPr="005A0AB3">
        <w:rPr>
          <w:b/>
          <w:i/>
        </w:rPr>
        <w:t>electrolyte abnormality</w:t>
      </w:r>
      <w:r>
        <w:t xml:space="preserve"> means:</w:t>
      </w:r>
    </w:p>
    <w:p w:rsidR="00A63650" w:rsidRDefault="00A63650" w:rsidP="00A63650">
      <w:pPr>
        <w:pStyle w:val="SH4"/>
      </w:pPr>
      <w:r>
        <w:t>hypercalcaemia;</w:t>
      </w:r>
    </w:p>
    <w:p w:rsidR="00A63650" w:rsidRDefault="00A63650" w:rsidP="00A63650">
      <w:pPr>
        <w:pStyle w:val="SH4"/>
      </w:pPr>
      <w:r>
        <w:t>hypocalcaemia;</w:t>
      </w:r>
    </w:p>
    <w:p w:rsidR="00A63650" w:rsidRDefault="00A63650" w:rsidP="00A63650">
      <w:pPr>
        <w:pStyle w:val="SH4"/>
      </w:pPr>
      <w:r>
        <w:t xml:space="preserve">hypomagnesaemia; </w:t>
      </w:r>
    </w:p>
    <w:p w:rsidR="00A63650" w:rsidRDefault="00A63650" w:rsidP="00A63650">
      <w:pPr>
        <w:pStyle w:val="SH4"/>
      </w:pPr>
      <w:r>
        <w:t>hyponatraemia; or</w:t>
      </w:r>
    </w:p>
    <w:p w:rsidR="00A63650" w:rsidRDefault="00A63650" w:rsidP="00A63650">
      <w:pPr>
        <w:pStyle w:val="SH4"/>
      </w:pPr>
      <w:proofErr w:type="gramStart"/>
      <w:r>
        <w:t>hypophosphataemia</w:t>
      </w:r>
      <w:proofErr w:type="gramEnd"/>
      <w:r>
        <w:t xml:space="preserve">. </w:t>
      </w:r>
    </w:p>
    <w:p w:rsidR="00A63650" w:rsidRDefault="00A63650" w:rsidP="00A63650">
      <w:pPr>
        <w:pStyle w:val="ScheduleNote"/>
      </w:pPr>
      <w:r>
        <w:t xml:space="preserve">Note: An example of a condition in which electrolyte abnormality occurs is tumour lysis syndrome. </w:t>
      </w:r>
    </w:p>
    <w:p w:rsidR="00A63650" w:rsidRPr="005A0AB3" w:rsidRDefault="00A63650" w:rsidP="00A63650">
      <w:pPr>
        <w:pStyle w:val="SH3"/>
        <w:ind w:left="851" w:hanging="851"/>
      </w:pPr>
      <w:proofErr w:type="gramStart"/>
      <w:r w:rsidRPr="005A0AB3">
        <w:rPr>
          <w:b/>
          <w:i/>
        </w:rPr>
        <w:t>hyperglycaemia</w:t>
      </w:r>
      <w:proofErr w:type="gramEnd"/>
      <w:r w:rsidRPr="005A0AB3">
        <w:t xml:space="preserve"> means a serum glucose concentration greater than 17</w:t>
      </w:r>
      <w:r>
        <w:t> </w:t>
      </w:r>
      <w:r w:rsidRPr="005A0AB3">
        <w:t>mmol/L.</w:t>
      </w:r>
    </w:p>
    <w:p w:rsidR="00A63650" w:rsidRPr="00FE276F" w:rsidRDefault="00A63650" w:rsidP="00A63650">
      <w:pPr>
        <w:pStyle w:val="SH3"/>
        <w:ind w:left="851" w:hanging="851"/>
      </w:pPr>
      <w:proofErr w:type="gramStart"/>
      <w:r w:rsidRPr="00FE276F">
        <w:rPr>
          <w:b/>
          <w:i/>
        </w:rPr>
        <w:t>hypoglycaemia</w:t>
      </w:r>
      <w:proofErr w:type="gramEnd"/>
      <w:r w:rsidRPr="00FE276F">
        <w:t xml:space="preserve"> means a serum glucose concentration less than 3 mmol/L.</w:t>
      </w:r>
    </w:p>
    <w:p w:rsidR="00A63650" w:rsidRPr="007E58D9" w:rsidRDefault="00A63650" w:rsidP="00A63650">
      <w:pPr>
        <w:pStyle w:val="SH3"/>
        <w:ind w:left="851" w:hanging="851"/>
      </w:pPr>
      <w:proofErr w:type="gramStart"/>
      <w:r w:rsidRPr="007E58D9">
        <w:rPr>
          <w:b/>
          <w:i/>
        </w:rPr>
        <w:t>hypoxic</w:t>
      </w:r>
      <w:proofErr w:type="gramEnd"/>
      <w:r w:rsidRPr="007E58D9">
        <w:rPr>
          <w:b/>
          <w:i/>
        </w:rPr>
        <w:t xml:space="preserve"> cerebral insult</w:t>
      </w:r>
      <w:r w:rsidRPr="007E58D9">
        <w:t xml:space="preserve"> means an event which results in either a decreased rate of cerebral blood flow or decreased oxygen content of cerebral arterial blood for a sustained period.</w:t>
      </w:r>
    </w:p>
    <w:p w:rsidR="00A63650" w:rsidRDefault="00A63650" w:rsidP="00A63650">
      <w:pPr>
        <w:pStyle w:val="SH3"/>
        <w:ind w:left="851" w:hanging="851"/>
      </w:pPr>
      <w:proofErr w:type="gramStart"/>
      <w:r w:rsidRPr="00E86B8C">
        <w:rPr>
          <w:b/>
          <w:i/>
        </w:rPr>
        <w:t>inhalants</w:t>
      </w:r>
      <w:proofErr w:type="gramEnd"/>
      <w:r>
        <w:t xml:space="preserve"> means a breathable chemical that produces psychoactive vapours and includes organic solvents, aerosols and some anaesthetics.</w:t>
      </w:r>
    </w:p>
    <w:p w:rsidR="00A63650" w:rsidRDefault="00A63650" w:rsidP="00A63650">
      <w:pPr>
        <w:pStyle w:val="ScheduleNote"/>
      </w:pPr>
      <w:r>
        <w:t xml:space="preserve">Note: </w:t>
      </w:r>
      <w:r w:rsidRPr="00E86B8C">
        <w:rPr>
          <w:b/>
          <w:i/>
        </w:rPr>
        <w:t>organic solvents</w:t>
      </w:r>
      <w:r>
        <w:t xml:space="preserve"> is also defined in the Schedule 1 – Dictionary.</w:t>
      </w:r>
    </w:p>
    <w:p w:rsidR="00A63650" w:rsidRPr="00E16D1B" w:rsidRDefault="00A63650" w:rsidP="00A63650">
      <w:pPr>
        <w:pStyle w:val="SH3"/>
        <w:ind w:left="851" w:hanging="851"/>
      </w:pPr>
      <w:proofErr w:type="gramStart"/>
      <w:r w:rsidRPr="00E16D1B">
        <w:rPr>
          <w:b/>
          <w:i/>
        </w:rPr>
        <w:t>intracranial</w:t>
      </w:r>
      <w:proofErr w:type="gramEnd"/>
      <w:r w:rsidRPr="00E16D1B">
        <w:rPr>
          <w:b/>
          <w:i/>
        </w:rPr>
        <w:t xml:space="preserve"> space-occupying lesion</w:t>
      </w:r>
      <w:r w:rsidRPr="00E16D1B">
        <w:t xml:space="preserve"> means a pathological entity occupying volume within the cranial cavity, including intracranial aneurysm, neoplasm and abscess.</w:t>
      </w:r>
    </w:p>
    <w:p w:rsidR="00A63650" w:rsidRDefault="00A63650" w:rsidP="00A63650">
      <w:pPr>
        <w:pStyle w:val="SH3"/>
        <w:ind w:left="851" w:hanging="851"/>
      </w:pPr>
      <w:proofErr w:type="gramStart"/>
      <w:r w:rsidRPr="00B63AE1">
        <w:rPr>
          <w:b/>
          <w:i/>
        </w:rPr>
        <w:t>iron</w:t>
      </w:r>
      <w:proofErr w:type="gramEnd"/>
      <w:r w:rsidRPr="00B63AE1">
        <w:rPr>
          <w:b/>
          <w:i/>
        </w:rPr>
        <w:t xml:space="preserve"> overload</w:t>
      </w:r>
      <w:r>
        <w:t xml:space="preserve"> means an accumulation of excess iron in tissues and organs which has been confirmed by elevated ferritin or transferrin saturation levels. </w:t>
      </w:r>
    </w:p>
    <w:p w:rsidR="00A63650" w:rsidRDefault="00A63650" w:rsidP="00A63650">
      <w:pPr>
        <w:pStyle w:val="ScheduleNote"/>
      </w:pPr>
      <w:r>
        <w:t>Note: Causes include haemochromatosis and blood transfusions.</w:t>
      </w:r>
    </w:p>
    <w:p w:rsidR="00A63650" w:rsidRDefault="00A63650" w:rsidP="00A63650">
      <w:pPr>
        <w:pStyle w:val="SH3"/>
        <w:ind w:left="851" w:hanging="851"/>
      </w:pPr>
      <w:proofErr w:type="gramStart"/>
      <w:r w:rsidRPr="00B63AE1">
        <w:rPr>
          <w:b/>
          <w:i/>
        </w:rPr>
        <w:t>malignant</w:t>
      </w:r>
      <w:proofErr w:type="gramEnd"/>
      <w:r w:rsidRPr="00B63AE1">
        <w:rPr>
          <w:b/>
          <w:i/>
        </w:rPr>
        <w:t xml:space="preserve"> hypertension</w:t>
      </w:r>
      <w:r>
        <w:t xml:space="preserve"> means a severe hypertensive state characterised by papilloedema of the ocular fundus, retinal haemorrhage and exudates, cardiac decompensation and declining renal function. </w:t>
      </w:r>
    </w:p>
    <w:p w:rsidR="00A63650" w:rsidRDefault="00A63650" w:rsidP="00A63650">
      <w:pPr>
        <w:pStyle w:val="SH3"/>
        <w:ind w:left="851" w:hanging="851"/>
      </w:pPr>
      <w:r w:rsidRPr="00E16D1B">
        <w:rPr>
          <w:b/>
          <w:i/>
        </w:rPr>
        <w:t>moderate to severe alcohol use disorder</w:t>
      </w:r>
      <w:r>
        <w:t xml:space="preserve"> means a psychiatric disorder characterised by a problematic pattern of alcohol use leading to clinically significant impairment or distress, as manifested by at least 4 of the following criteria, occurring within a 12-month period: </w:t>
      </w:r>
    </w:p>
    <w:p w:rsidR="00A63650" w:rsidRDefault="00A63650" w:rsidP="00A63650">
      <w:pPr>
        <w:pStyle w:val="SH4"/>
        <w:ind w:left="1418"/>
      </w:pPr>
      <w:r>
        <w:t xml:space="preserve">alcohol is often taken in larger amounts or over a longer period than was intended; </w:t>
      </w:r>
    </w:p>
    <w:p w:rsidR="00A63650" w:rsidRDefault="00A63650" w:rsidP="00A63650">
      <w:pPr>
        <w:pStyle w:val="SH4"/>
        <w:ind w:left="1418"/>
      </w:pPr>
      <w:r>
        <w:t xml:space="preserve">there is a persistent desire or unsuccessful efforts to cut down or control alcohol use; </w:t>
      </w:r>
    </w:p>
    <w:p w:rsidR="00A63650" w:rsidRDefault="00A63650" w:rsidP="00A63650">
      <w:pPr>
        <w:pStyle w:val="SH4"/>
        <w:ind w:left="1418"/>
      </w:pPr>
      <w:r>
        <w:t xml:space="preserve">a great deal of time is spent in activities necessary to obtain alcohol, use alcohol, or recover from its effects; </w:t>
      </w:r>
    </w:p>
    <w:p w:rsidR="00A63650" w:rsidRDefault="00A63650" w:rsidP="00A63650">
      <w:pPr>
        <w:pStyle w:val="SH4"/>
        <w:ind w:left="1418"/>
      </w:pPr>
      <w:r>
        <w:t xml:space="preserve">craving, or a strong desire or urge to use alcohol; </w:t>
      </w:r>
    </w:p>
    <w:p w:rsidR="00A63650" w:rsidRDefault="00A63650" w:rsidP="00A63650">
      <w:pPr>
        <w:pStyle w:val="SH4"/>
        <w:ind w:left="1418"/>
      </w:pPr>
      <w:r>
        <w:t xml:space="preserve">recurrent alcohol use resulting in a failure to fulfil major role obligations at work, school, or home; </w:t>
      </w:r>
    </w:p>
    <w:p w:rsidR="00A63650" w:rsidRDefault="00A63650" w:rsidP="00A63650">
      <w:pPr>
        <w:pStyle w:val="SH4"/>
        <w:ind w:left="1418"/>
      </w:pPr>
      <w:r>
        <w:lastRenderedPageBreak/>
        <w:t xml:space="preserve">continued alcohol use despite having persistent or recurrent social or interpersonal problems caused or exacerbated by the effects of alcohol; </w:t>
      </w:r>
    </w:p>
    <w:p w:rsidR="00A63650" w:rsidRDefault="00A63650" w:rsidP="00A63650">
      <w:pPr>
        <w:pStyle w:val="SH4"/>
        <w:ind w:left="1418"/>
      </w:pPr>
      <w:r>
        <w:t xml:space="preserve">important social, occupational, or recreational activities are given up or reduced because of alcohol use; </w:t>
      </w:r>
    </w:p>
    <w:p w:rsidR="00A63650" w:rsidRDefault="00A63650" w:rsidP="00A63650">
      <w:pPr>
        <w:pStyle w:val="SH4"/>
        <w:ind w:left="1418"/>
      </w:pPr>
      <w:r>
        <w:t xml:space="preserve">recurrent alcohol use in situations in which it is physically hazardous; </w:t>
      </w:r>
    </w:p>
    <w:p w:rsidR="00A63650" w:rsidRDefault="00A63650" w:rsidP="00A63650">
      <w:pPr>
        <w:pStyle w:val="SH4"/>
        <w:ind w:left="1418"/>
      </w:pPr>
      <w:r>
        <w:t xml:space="preserve">alcohol use is continued despite knowledge of having a persistent or recurrent physical or psychological problem that is likely to have been caused or exacerbated by alcohol; or </w:t>
      </w:r>
    </w:p>
    <w:p w:rsidR="00A63650" w:rsidRDefault="00A63650" w:rsidP="00A63650">
      <w:pPr>
        <w:pStyle w:val="SH4"/>
        <w:ind w:left="1418"/>
      </w:pPr>
      <w:r>
        <w:t xml:space="preserve">tolerance, defined by either: </w:t>
      </w:r>
    </w:p>
    <w:p w:rsidR="00A63650" w:rsidRDefault="00A63650" w:rsidP="00A63650">
      <w:pPr>
        <w:pStyle w:val="SH5"/>
        <w:ind w:left="1985"/>
      </w:pPr>
      <w:r>
        <w:t xml:space="preserve">a need for markedly increased amounts of alcohol to achieve intoxication or desired effect; or </w:t>
      </w:r>
    </w:p>
    <w:p w:rsidR="00A63650" w:rsidRPr="00E16D1B" w:rsidRDefault="00A63650" w:rsidP="00A63650">
      <w:pPr>
        <w:pStyle w:val="SH5"/>
        <w:ind w:left="1985"/>
      </w:pPr>
      <w:proofErr w:type="gramStart"/>
      <w:r>
        <w:t>a</w:t>
      </w:r>
      <w:proofErr w:type="gramEnd"/>
      <w:r>
        <w:t xml:space="preserve"> markedly diminished effect with continued use of the same amount of alcohol.</w:t>
      </w:r>
    </w:p>
    <w:p w:rsidR="00A63650" w:rsidRPr="009C404D" w:rsidRDefault="00A63650" w:rsidP="00A63650">
      <w:pPr>
        <w:pStyle w:val="SH3"/>
        <w:ind w:left="851" w:hanging="851"/>
      </w:pPr>
      <w:r w:rsidRPr="005A0AB3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5A0AB3">
        <w:rPr>
          <w:i/>
        </w:rPr>
        <w:t>Military Rehabilitation and Compensation Act 2004</w:t>
      </w:r>
      <w:r w:rsidRPr="009C404D">
        <w:t>.</w:t>
      </w:r>
    </w:p>
    <w:p w:rsidR="00A63650" w:rsidRDefault="00A63650" w:rsidP="00A63650">
      <w:pPr>
        <w:pStyle w:val="SH3"/>
        <w:ind w:left="851" w:hanging="851"/>
      </w:pPr>
      <w:r w:rsidRPr="003C7252">
        <w:rPr>
          <w:b/>
          <w:i/>
        </w:rPr>
        <w:t xml:space="preserve">neurotoxic substance or a food or compound containing a neurotoxic substance </w:t>
      </w:r>
      <w:r>
        <w:t xml:space="preserve">means: </w:t>
      </w:r>
    </w:p>
    <w:p w:rsidR="00A63650" w:rsidRDefault="00A63650" w:rsidP="00A63650">
      <w:pPr>
        <w:pStyle w:val="SH4"/>
        <w:ind w:left="1418"/>
      </w:pPr>
      <w:r>
        <w:t>abrin (</w:t>
      </w:r>
      <w:r w:rsidRPr="00DC1C14">
        <w:rPr>
          <w:i/>
        </w:rPr>
        <w:t xml:space="preserve">Abrus </w:t>
      </w:r>
      <w:proofErr w:type="spellStart"/>
      <w:r w:rsidRPr="00DC1C14">
        <w:rPr>
          <w:i/>
        </w:rPr>
        <w:t>precatorius</w:t>
      </w:r>
      <w:proofErr w:type="spellEnd"/>
      <w:r>
        <w:t xml:space="preserve">); </w:t>
      </w:r>
    </w:p>
    <w:p w:rsidR="00A63650" w:rsidRDefault="00A63650" w:rsidP="00A63650">
      <w:pPr>
        <w:pStyle w:val="SH4"/>
        <w:ind w:left="1418"/>
      </w:pPr>
      <w:r>
        <w:t xml:space="preserve">anatoxin; </w:t>
      </w:r>
    </w:p>
    <w:p w:rsidR="00A63650" w:rsidRDefault="00A63650" w:rsidP="00A63650">
      <w:pPr>
        <w:pStyle w:val="SH4"/>
        <w:ind w:left="1418"/>
      </w:pPr>
      <w:r>
        <w:t xml:space="preserve">camphor; </w:t>
      </w:r>
    </w:p>
    <w:p w:rsidR="00A63650" w:rsidRDefault="00A63650" w:rsidP="00A63650">
      <w:pPr>
        <w:pStyle w:val="SH4"/>
        <w:ind w:left="1418"/>
      </w:pPr>
      <w:r>
        <w:t xml:space="preserve">chemical weapon agents sarin, soman and VX gas; </w:t>
      </w:r>
    </w:p>
    <w:p w:rsidR="00A63650" w:rsidRDefault="00A63650" w:rsidP="00A63650">
      <w:pPr>
        <w:pStyle w:val="SH4"/>
        <w:ind w:left="1418"/>
      </w:pPr>
      <w:r>
        <w:t xml:space="preserve">colloidal silver; </w:t>
      </w:r>
    </w:p>
    <w:p w:rsidR="00A63650" w:rsidRDefault="00A63650" w:rsidP="00A63650">
      <w:pPr>
        <w:pStyle w:val="SH4"/>
        <w:ind w:left="1418"/>
      </w:pPr>
      <w:r>
        <w:t>cyanide;</w:t>
      </w:r>
    </w:p>
    <w:p w:rsidR="00A63650" w:rsidRDefault="00A63650" w:rsidP="00A63650">
      <w:pPr>
        <w:pStyle w:val="SH4"/>
        <w:ind w:left="1418"/>
      </w:pPr>
      <w:proofErr w:type="spellStart"/>
      <w:r>
        <w:t>cyclotrimethylenetrinitramine</w:t>
      </w:r>
      <w:proofErr w:type="spellEnd"/>
      <w:r>
        <w:t xml:space="preserve"> (RDX or C4 explosive); </w:t>
      </w:r>
    </w:p>
    <w:p w:rsidR="00A63650" w:rsidRDefault="00A63650" w:rsidP="00A63650">
      <w:pPr>
        <w:pStyle w:val="SH4"/>
        <w:ind w:left="1418"/>
      </w:pPr>
      <w:r>
        <w:t xml:space="preserve">domoic acid; </w:t>
      </w:r>
    </w:p>
    <w:p w:rsidR="00A63650" w:rsidRDefault="00A63650" w:rsidP="00A63650">
      <w:pPr>
        <w:pStyle w:val="SH4"/>
        <w:ind w:left="1418"/>
      </w:pPr>
      <w:r>
        <w:t xml:space="preserve">ethylene glycol; </w:t>
      </w:r>
    </w:p>
    <w:p w:rsidR="00A63650" w:rsidRDefault="00A63650" w:rsidP="00A63650">
      <w:pPr>
        <w:pStyle w:val="SH4"/>
        <w:ind w:left="1418"/>
      </w:pPr>
      <w:r>
        <w:t xml:space="preserve">eucalyptus oil; </w:t>
      </w:r>
    </w:p>
    <w:p w:rsidR="00A63650" w:rsidRDefault="00A63650" w:rsidP="00A63650">
      <w:pPr>
        <w:pStyle w:val="SH4"/>
        <w:ind w:left="1418"/>
      </w:pPr>
      <w:r w:rsidRPr="003C7252">
        <w:rPr>
          <w:i/>
        </w:rPr>
        <w:t xml:space="preserve">Illicium </w:t>
      </w:r>
      <w:proofErr w:type="spellStart"/>
      <w:r w:rsidRPr="003C7252">
        <w:rPr>
          <w:i/>
        </w:rPr>
        <w:t>henryi</w:t>
      </w:r>
      <w:proofErr w:type="spellEnd"/>
      <w:r>
        <w:t xml:space="preserve"> or </w:t>
      </w:r>
      <w:r w:rsidRPr="003C7252">
        <w:rPr>
          <w:i/>
        </w:rPr>
        <w:t xml:space="preserve">Illicium </w:t>
      </w:r>
      <w:proofErr w:type="spellStart"/>
      <w:r w:rsidRPr="003C7252">
        <w:rPr>
          <w:i/>
        </w:rPr>
        <w:t>anisatum</w:t>
      </w:r>
      <w:proofErr w:type="spellEnd"/>
      <w:r>
        <w:t xml:space="preserve">; </w:t>
      </w:r>
    </w:p>
    <w:p w:rsidR="00A63650" w:rsidRDefault="00A63650" w:rsidP="00A63650">
      <w:pPr>
        <w:pStyle w:val="SH4"/>
        <w:ind w:left="1418"/>
      </w:pPr>
      <w:r>
        <w:t xml:space="preserve">methyl bromide; </w:t>
      </w:r>
    </w:p>
    <w:p w:rsidR="00A63650" w:rsidRDefault="00A63650" w:rsidP="00A63650">
      <w:pPr>
        <w:pStyle w:val="SH4"/>
        <w:ind w:left="1418"/>
      </w:pPr>
      <w:r>
        <w:t>N,N-diethyl-m-</w:t>
      </w:r>
      <w:proofErr w:type="spellStart"/>
      <w:r>
        <w:t>toluamide</w:t>
      </w:r>
      <w:proofErr w:type="spellEnd"/>
      <w:r>
        <w:t xml:space="preserve"> (DEET); </w:t>
      </w:r>
    </w:p>
    <w:p w:rsidR="00A63650" w:rsidRDefault="00A63650" w:rsidP="00A63650">
      <w:pPr>
        <w:pStyle w:val="SH4"/>
        <w:ind w:left="1418"/>
      </w:pPr>
      <w:r>
        <w:t>organochlorine insecticide</w:t>
      </w:r>
      <w:r w:rsidR="005E62B3">
        <w:t>s</w:t>
      </w:r>
      <w:r>
        <w:t xml:space="preserve">; </w:t>
      </w:r>
    </w:p>
    <w:p w:rsidR="00A63650" w:rsidRDefault="00A63650" w:rsidP="00A63650">
      <w:pPr>
        <w:pStyle w:val="SH4"/>
        <w:ind w:left="1418"/>
      </w:pPr>
      <w:r>
        <w:t>organophosphates;</w:t>
      </w:r>
    </w:p>
    <w:p w:rsidR="00A63650" w:rsidRDefault="00A63650" w:rsidP="00A63650">
      <w:pPr>
        <w:pStyle w:val="SH4"/>
        <w:ind w:left="1418"/>
      </w:pPr>
      <w:r>
        <w:t>picrotoxin (</w:t>
      </w:r>
      <w:r w:rsidRPr="003C7252">
        <w:rPr>
          <w:i/>
        </w:rPr>
        <w:t>Anamirta cocculus</w:t>
      </w:r>
      <w:r>
        <w:t xml:space="preserve">); </w:t>
      </w:r>
    </w:p>
    <w:p w:rsidR="00A63650" w:rsidRDefault="00A63650" w:rsidP="00A63650">
      <w:pPr>
        <w:pStyle w:val="SH4"/>
        <w:ind w:left="1418"/>
      </w:pPr>
      <w:r>
        <w:t xml:space="preserve">sodium azide; </w:t>
      </w:r>
    </w:p>
    <w:p w:rsidR="00A63650" w:rsidRDefault="00A63650" w:rsidP="00A63650">
      <w:pPr>
        <w:pStyle w:val="SH4"/>
        <w:ind w:left="1418"/>
      </w:pPr>
      <w:r>
        <w:t>star fruit (</w:t>
      </w:r>
      <w:proofErr w:type="spellStart"/>
      <w:r w:rsidRPr="003C7252">
        <w:rPr>
          <w:i/>
        </w:rPr>
        <w:t>Averrhoa</w:t>
      </w:r>
      <w:proofErr w:type="spellEnd"/>
      <w:r w:rsidRPr="003C7252">
        <w:rPr>
          <w:i/>
        </w:rPr>
        <w:t xml:space="preserve"> carambola</w:t>
      </w:r>
      <w:r>
        <w:t xml:space="preserve">); </w:t>
      </w:r>
    </w:p>
    <w:p w:rsidR="00A63650" w:rsidRDefault="00A63650" w:rsidP="00A63650">
      <w:pPr>
        <w:pStyle w:val="SH4"/>
        <w:ind w:left="1418"/>
      </w:pPr>
      <w:r>
        <w:t>strychnine (</w:t>
      </w:r>
      <w:r w:rsidRPr="003C7252">
        <w:rPr>
          <w:i/>
        </w:rPr>
        <w:t xml:space="preserve">Strychnos </w:t>
      </w:r>
      <w:proofErr w:type="spellStart"/>
      <w:r w:rsidRPr="003C7252">
        <w:rPr>
          <w:i/>
        </w:rPr>
        <w:t>nux</w:t>
      </w:r>
      <w:proofErr w:type="spellEnd"/>
      <w:r w:rsidRPr="003C7252">
        <w:rPr>
          <w:i/>
        </w:rPr>
        <w:t>-vomica</w:t>
      </w:r>
      <w:r>
        <w:t xml:space="preserve">); </w:t>
      </w:r>
    </w:p>
    <w:p w:rsidR="00A63650" w:rsidRDefault="00A63650" w:rsidP="00A63650">
      <w:pPr>
        <w:pStyle w:val="SH4"/>
        <w:ind w:left="1418"/>
      </w:pPr>
      <w:r>
        <w:t>tetramine; or</w:t>
      </w:r>
    </w:p>
    <w:p w:rsidR="00A63650" w:rsidRPr="003C7252" w:rsidRDefault="00A63650" w:rsidP="00A63650">
      <w:pPr>
        <w:pStyle w:val="SH4"/>
        <w:ind w:left="1418"/>
      </w:pPr>
      <w:proofErr w:type="gramStart"/>
      <w:r>
        <w:t>any</w:t>
      </w:r>
      <w:proofErr w:type="gramEnd"/>
      <w:r>
        <w:t xml:space="preserve"> other epileptogenic neurotoxic compound.</w:t>
      </w:r>
    </w:p>
    <w:p w:rsidR="00A63650" w:rsidRDefault="00A63650" w:rsidP="00A63650">
      <w:pPr>
        <w:pStyle w:val="SH3"/>
        <w:ind w:left="851" w:hanging="851"/>
      </w:pPr>
      <w:r w:rsidRPr="005A0AB3">
        <w:rPr>
          <w:b/>
          <w:i/>
        </w:rPr>
        <w:t>organ or tissue transplantation</w:t>
      </w:r>
      <w:r>
        <w:t xml:space="preserve"> means the transplantation of:</w:t>
      </w:r>
    </w:p>
    <w:p w:rsidR="00A63650" w:rsidRDefault="00A63650" w:rsidP="00A63650">
      <w:pPr>
        <w:pStyle w:val="SH4"/>
        <w:ind w:left="1418"/>
      </w:pPr>
      <w:r>
        <w:tab/>
        <w:t>all or part of an organ or tissue; or</w:t>
      </w:r>
    </w:p>
    <w:p w:rsidR="00A63650" w:rsidRPr="00B63AE1" w:rsidRDefault="00A63650" w:rsidP="00A63650">
      <w:pPr>
        <w:pStyle w:val="SH4"/>
        <w:ind w:left="1418"/>
      </w:pPr>
      <w:r>
        <w:tab/>
      </w:r>
      <w:proofErr w:type="gramStart"/>
      <w:r>
        <w:t>a</w:t>
      </w:r>
      <w:proofErr w:type="gramEnd"/>
      <w:r>
        <w:t xml:space="preserve"> substance obtained from an organ or tissue.</w:t>
      </w:r>
    </w:p>
    <w:p w:rsidR="00A63650" w:rsidRDefault="00A63650" w:rsidP="00A63650">
      <w:pPr>
        <w:pStyle w:val="SH3"/>
        <w:ind w:left="851" w:hanging="851"/>
      </w:pPr>
      <w:r w:rsidRPr="00E86B8C">
        <w:rPr>
          <w:b/>
          <w:i/>
        </w:rPr>
        <w:t>organic solvents</w:t>
      </w:r>
      <w:r>
        <w:t xml:space="preserve"> means: </w:t>
      </w:r>
    </w:p>
    <w:p w:rsidR="00A63650" w:rsidRDefault="00A63650" w:rsidP="00A63650">
      <w:pPr>
        <w:pStyle w:val="SH4"/>
        <w:ind w:left="1418"/>
      </w:pPr>
      <w:r>
        <w:t xml:space="preserve">aliphatic hydrocarbon solvents; or </w:t>
      </w:r>
    </w:p>
    <w:p w:rsidR="00A63650" w:rsidRDefault="00A63650" w:rsidP="00A63650">
      <w:pPr>
        <w:pStyle w:val="SH4"/>
        <w:ind w:left="1418"/>
      </w:pPr>
      <w:r>
        <w:t xml:space="preserve">aromatic hydrocarbon solvents; or </w:t>
      </w:r>
    </w:p>
    <w:p w:rsidR="00A63650" w:rsidRDefault="00A63650" w:rsidP="00A63650">
      <w:pPr>
        <w:pStyle w:val="SH4"/>
        <w:ind w:left="1418"/>
      </w:pPr>
      <w:r>
        <w:t xml:space="preserve">chlorinated organic solvents; or </w:t>
      </w:r>
    </w:p>
    <w:p w:rsidR="00A63650" w:rsidRPr="00E86B8C" w:rsidRDefault="00A63650" w:rsidP="00A63650">
      <w:pPr>
        <w:pStyle w:val="SH4"/>
        <w:ind w:left="1418"/>
      </w:pPr>
      <w:proofErr w:type="gramStart"/>
      <w:r>
        <w:t>oxygenated</w:t>
      </w:r>
      <w:proofErr w:type="gramEnd"/>
      <w:r>
        <w:t xml:space="preserve"> organic solvents.</w:t>
      </w:r>
    </w:p>
    <w:bookmarkEnd w:id="33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lastRenderedPageBreak/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A63650" w:rsidRPr="00183219" w:rsidRDefault="00A63650" w:rsidP="00A63650">
      <w:pPr>
        <w:pStyle w:val="SH3"/>
        <w:ind w:left="851" w:hanging="851"/>
      </w:pPr>
      <w:proofErr w:type="gramStart"/>
      <w:r w:rsidRPr="00183219">
        <w:rPr>
          <w:b/>
          <w:i/>
        </w:rPr>
        <w:t>sedative</w:t>
      </w:r>
      <w:proofErr w:type="gramEnd"/>
      <w:r w:rsidRPr="00183219">
        <w:rPr>
          <w:b/>
          <w:i/>
        </w:rPr>
        <w:t xml:space="preserve"> drug</w:t>
      </w:r>
      <w:r w:rsidRPr="00183219">
        <w:t xml:space="preserve"> means a psychoactive agent used therapeutically to suppress central nervous system activity, including barbiturates, benzodiazepines, anticonvulsants, sedatives and hypnotics.</w:t>
      </w:r>
    </w:p>
    <w:p w:rsidR="00A63650" w:rsidRPr="00513D05" w:rsidRDefault="00D0611B" w:rsidP="00A63650">
      <w:pPr>
        <w:pStyle w:val="SH3"/>
        <w:ind w:left="851" w:hanging="851"/>
      </w:pPr>
      <w:proofErr w:type="gramStart"/>
      <w:r w:rsidRPr="00D0611B">
        <w:rPr>
          <w:b/>
          <w:i/>
        </w:rPr>
        <w:t>seizure</w:t>
      </w:r>
      <w:r w:rsidR="00A63650" w:rsidRPr="00513D05">
        <w:t>—</w:t>
      </w:r>
      <w:proofErr w:type="gramEnd"/>
      <w:r w:rsidR="00A63650" w:rsidRPr="00513D05">
        <w:t>see subsection</w:t>
      </w:r>
      <w:r w:rsidR="00A63650">
        <w:t xml:space="preserve"> 7(2).</w:t>
      </w:r>
    </w:p>
    <w:p w:rsidR="00A63650" w:rsidRDefault="00A63650" w:rsidP="00A63650">
      <w:pPr>
        <w:pStyle w:val="SH3"/>
        <w:ind w:left="851" w:hanging="851"/>
      </w:pPr>
      <w:r w:rsidRPr="003C7252">
        <w:rPr>
          <w:b/>
          <w:i/>
        </w:rPr>
        <w:t>signs and symptoms of poisoning</w:t>
      </w:r>
      <w:r>
        <w:t xml:space="preserve"> means one of the following signs and symptoms which are not attributable to seizure: </w:t>
      </w:r>
    </w:p>
    <w:p w:rsidR="00A63650" w:rsidRDefault="00A63650" w:rsidP="00A63650">
      <w:pPr>
        <w:pStyle w:val="SH4"/>
      </w:pPr>
      <w:r>
        <w:t xml:space="preserve">behavioural impairments including loss of motor control and loss of consciousness; </w:t>
      </w:r>
    </w:p>
    <w:p w:rsidR="00A63650" w:rsidRDefault="00A63650" w:rsidP="00A63650">
      <w:pPr>
        <w:pStyle w:val="SH4"/>
      </w:pPr>
      <w:r>
        <w:t xml:space="preserve">blurred vision and eye irritation; </w:t>
      </w:r>
    </w:p>
    <w:p w:rsidR="00A63650" w:rsidRDefault="00A63650" w:rsidP="00A63650">
      <w:pPr>
        <w:pStyle w:val="SH4"/>
      </w:pPr>
      <w:r>
        <w:t>central nervous system excitation and depression including agitation, lethargy and perceptual disturbances;</w:t>
      </w:r>
    </w:p>
    <w:p w:rsidR="00A63650" w:rsidRDefault="00A63650" w:rsidP="00A63650">
      <w:pPr>
        <w:pStyle w:val="SH4"/>
      </w:pPr>
      <w:r>
        <w:t xml:space="preserve">cough, acute lung injury and respiratory depression or failure; </w:t>
      </w:r>
    </w:p>
    <w:p w:rsidR="00A63650" w:rsidRDefault="00A63650" w:rsidP="00A63650">
      <w:pPr>
        <w:pStyle w:val="SH4"/>
      </w:pPr>
      <w:r>
        <w:t xml:space="preserve">dermatitis and skin irritation; </w:t>
      </w:r>
    </w:p>
    <w:p w:rsidR="00A63650" w:rsidRDefault="00A63650" w:rsidP="00A63650">
      <w:pPr>
        <w:pStyle w:val="SH4"/>
      </w:pPr>
      <w:r>
        <w:t xml:space="preserve">ear, nose and throat irritation and hypersalivation; </w:t>
      </w:r>
    </w:p>
    <w:p w:rsidR="00A63650" w:rsidRDefault="00A63650" w:rsidP="00A63650">
      <w:pPr>
        <w:pStyle w:val="SH4"/>
      </w:pPr>
      <w:r>
        <w:t xml:space="preserve">gastrointestinal symptoms including nausea, diarrhoea and vomiting; or </w:t>
      </w:r>
    </w:p>
    <w:p w:rsidR="00A63650" w:rsidRPr="003C7252" w:rsidRDefault="00A63650" w:rsidP="00A63650">
      <w:pPr>
        <w:pStyle w:val="SH4"/>
      </w:pPr>
      <w:proofErr w:type="gramStart"/>
      <w:r>
        <w:t>neurocognitive</w:t>
      </w:r>
      <w:proofErr w:type="gramEnd"/>
      <w:r>
        <w:t xml:space="preserve"> deficits including stupor, confusion and memory deficits.</w:t>
      </w:r>
    </w:p>
    <w:p w:rsidR="00A63650" w:rsidRPr="005A0AB3" w:rsidRDefault="00A63650" w:rsidP="00A63650">
      <w:pPr>
        <w:pStyle w:val="SH3"/>
        <w:ind w:left="851" w:hanging="851"/>
      </w:pPr>
      <w:proofErr w:type="gramStart"/>
      <w:r w:rsidRPr="005A0AB3">
        <w:rPr>
          <w:b/>
          <w:i/>
        </w:rPr>
        <w:t>sleep</w:t>
      </w:r>
      <w:proofErr w:type="gramEnd"/>
      <w:r w:rsidRPr="005A0AB3">
        <w:rPr>
          <w:b/>
          <w:i/>
        </w:rPr>
        <w:t xml:space="preserve"> deprivation</w:t>
      </w:r>
      <w:r w:rsidRPr="005A0AB3">
        <w:t xml:space="preserve"> means having not slept within the 36 hours after the end of the last period of 4 hours or more of uninterrupted sleep, or having less than 4 hours sleep for 3 consecutive 24</w:t>
      </w:r>
      <w:r w:rsidR="002622C0">
        <w:t>-</w:t>
      </w:r>
      <w:r w:rsidRPr="005A0AB3">
        <w:t>hour periods.</w:t>
      </w:r>
    </w:p>
    <w:p w:rsidR="00A63650" w:rsidRDefault="00A63650" w:rsidP="00A63650">
      <w:pPr>
        <w:pStyle w:val="SH3"/>
        <w:ind w:left="851" w:hanging="851"/>
      </w:pPr>
      <w:r w:rsidRPr="005A0AB3">
        <w:rPr>
          <w:b/>
          <w:i/>
        </w:rPr>
        <w:t>specified list of central nervous system vascular lesions</w:t>
      </w:r>
      <w:r>
        <w:t xml:space="preserve"> means:</w:t>
      </w:r>
    </w:p>
    <w:p w:rsidR="00A63650" w:rsidRDefault="00A63650" w:rsidP="00A63650">
      <w:pPr>
        <w:pStyle w:val="SH4"/>
        <w:ind w:left="1418"/>
      </w:pPr>
      <w:r>
        <w:t xml:space="preserve">cerebral venous thrombosis; </w:t>
      </w:r>
    </w:p>
    <w:p w:rsidR="00A63650" w:rsidRDefault="00A63650" w:rsidP="00A63650">
      <w:pPr>
        <w:pStyle w:val="SH4"/>
        <w:ind w:left="1418"/>
      </w:pPr>
      <w:r>
        <w:t>cerebrovascular accident;</w:t>
      </w:r>
    </w:p>
    <w:p w:rsidR="00A63650" w:rsidRDefault="00A63650" w:rsidP="00A63650">
      <w:pPr>
        <w:pStyle w:val="SH4"/>
        <w:ind w:left="1418"/>
      </w:pPr>
      <w:r>
        <w:t xml:space="preserve">subarachnoid haemorrhage; or </w:t>
      </w:r>
    </w:p>
    <w:p w:rsidR="00A63650" w:rsidRDefault="00A63650" w:rsidP="00A63650">
      <w:pPr>
        <w:pStyle w:val="SH4"/>
        <w:ind w:left="1418"/>
      </w:pPr>
      <w:proofErr w:type="gramStart"/>
      <w:r>
        <w:t>subdural</w:t>
      </w:r>
      <w:proofErr w:type="gramEnd"/>
      <w:r>
        <w:t xml:space="preserve"> haematoma. </w:t>
      </w:r>
    </w:p>
    <w:p w:rsidR="00A63650" w:rsidRDefault="00A63650" w:rsidP="00A63650">
      <w:pPr>
        <w:pStyle w:val="SH3"/>
        <w:numPr>
          <w:ilvl w:val="0"/>
          <w:numId w:val="0"/>
        </w:numPr>
        <w:ind w:left="851"/>
      </w:pPr>
      <w:proofErr w:type="gramStart"/>
      <w:r w:rsidRPr="005A0AB3">
        <w:rPr>
          <w:b/>
          <w:i/>
        </w:rPr>
        <w:t>specified</w:t>
      </w:r>
      <w:proofErr w:type="gramEnd"/>
      <w:r w:rsidRPr="005A0AB3">
        <w:rPr>
          <w:b/>
          <w:i/>
        </w:rPr>
        <w:t xml:space="preserve"> list of medical conditions</w:t>
      </w:r>
      <w:r>
        <w:t xml:space="preserve"> means: </w:t>
      </w:r>
    </w:p>
    <w:p w:rsidR="00A63650" w:rsidRDefault="00A63650" w:rsidP="00AE7888">
      <w:pPr>
        <w:pStyle w:val="SH4"/>
        <w:numPr>
          <w:ilvl w:val="3"/>
          <w:numId w:val="24"/>
        </w:numPr>
        <w:ind w:left="1418"/>
      </w:pPr>
      <w:r>
        <w:t xml:space="preserve">cerebral </w:t>
      </w:r>
      <w:proofErr w:type="spellStart"/>
      <w:r>
        <w:t>hyperperfusion</w:t>
      </w:r>
      <w:proofErr w:type="spellEnd"/>
      <w:r>
        <w:t xml:space="preserve"> syndrome;</w:t>
      </w:r>
    </w:p>
    <w:p w:rsidR="00A63650" w:rsidRDefault="00A63650" w:rsidP="00A63650">
      <w:pPr>
        <w:pStyle w:val="SH4"/>
        <w:ind w:left="1418"/>
      </w:pPr>
      <w:r>
        <w:t>cerebral vasoconstriction syndrome;</w:t>
      </w:r>
    </w:p>
    <w:p w:rsidR="00815CC1" w:rsidRDefault="00815CC1" w:rsidP="00A63650">
      <w:pPr>
        <w:pStyle w:val="SH4"/>
        <w:ind w:left="1418"/>
      </w:pPr>
      <w:r>
        <w:t>Creutzfeldt-Jakob disease;</w:t>
      </w:r>
    </w:p>
    <w:p w:rsidR="00815CC1" w:rsidRDefault="00815CC1" w:rsidP="00A63650">
      <w:pPr>
        <w:pStyle w:val="SH4"/>
        <w:ind w:left="1418"/>
      </w:pPr>
      <w:r>
        <w:t>Huntington's chorea;</w:t>
      </w:r>
    </w:p>
    <w:p w:rsidR="00A63650" w:rsidRDefault="00A63650" w:rsidP="00A63650">
      <w:pPr>
        <w:pStyle w:val="SH4"/>
        <w:ind w:left="1418"/>
      </w:pPr>
      <w:r>
        <w:t xml:space="preserve">iron overload; </w:t>
      </w:r>
    </w:p>
    <w:p w:rsidR="00A63650" w:rsidRDefault="00A63650" w:rsidP="00A63650">
      <w:pPr>
        <w:pStyle w:val="SH4"/>
        <w:ind w:left="1418"/>
      </w:pPr>
      <w:r>
        <w:t>Parkinson's disease and secondary parkinsonism;</w:t>
      </w:r>
    </w:p>
    <w:p w:rsidR="00A63650" w:rsidRDefault="00A63650" w:rsidP="00A63650">
      <w:pPr>
        <w:pStyle w:val="SH4"/>
        <w:ind w:left="1418"/>
      </w:pPr>
      <w:r>
        <w:t xml:space="preserve">posterior reversible encephalopathy syndrome; </w:t>
      </w:r>
    </w:p>
    <w:p w:rsidR="00A63650" w:rsidRDefault="00A63650" w:rsidP="00A63650">
      <w:pPr>
        <w:pStyle w:val="SH4"/>
        <w:ind w:left="1418"/>
      </w:pPr>
      <w:r>
        <w:t>sarcoidosis; or</w:t>
      </w:r>
    </w:p>
    <w:p w:rsidR="00A63650" w:rsidRDefault="00A63650" w:rsidP="00A63650">
      <w:pPr>
        <w:pStyle w:val="SH4"/>
        <w:ind w:left="1418"/>
      </w:pPr>
      <w:proofErr w:type="gramStart"/>
      <w:r>
        <w:t>sickle-cell</w:t>
      </w:r>
      <w:proofErr w:type="gramEnd"/>
      <w:r>
        <w:t xml:space="preserve"> disease.</w:t>
      </w:r>
    </w:p>
    <w:p w:rsidR="00A63650" w:rsidRDefault="00A63650" w:rsidP="00A63650">
      <w:pPr>
        <w:pStyle w:val="ScheduleNote"/>
      </w:pPr>
      <w:r>
        <w:t xml:space="preserve">Note: </w:t>
      </w:r>
      <w:r w:rsidRPr="00B63AE1">
        <w:rPr>
          <w:b/>
          <w:i/>
        </w:rPr>
        <w:t>iron overload</w:t>
      </w:r>
      <w:r>
        <w:t xml:space="preserve"> is also defined in the Schedule 1 – Dictionary.</w:t>
      </w:r>
    </w:p>
    <w:p w:rsidR="00A63650" w:rsidRDefault="00A63650" w:rsidP="00E95F23">
      <w:pPr>
        <w:pStyle w:val="SH3"/>
        <w:keepNext/>
        <w:ind w:left="851" w:hanging="851"/>
      </w:pPr>
      <w:r w:rsidRPr="003C7252">
        <w:rPr>
          <w:b/>
          <w:i/>
        </w:rPr>
        <w:lastRenderedPageBreak/>
        <w:t>specified list of metals</w:t>
      </w:r>
      <w:r>
        <w:t xml:space="preserve"> means: </w:t>
      </w:r>
    </w:p>
    <w:p w:rsidR="00A63650" w:rsidRDefault="00A63650" w:rsidP="00A63650">
      <w:pPr>
        <w:pStyle w:val="SH4"/>
        <w:ind w:left="1418"/>
      </w:pPr>
      <w:r>
        <w:t xml:space="preserve">lead; </w:t>
      </w:r>
    </w:p>
    <w:p w:rsidR="00A63650" w:rsidRDefault="00A63650" w:rsidP="00A63650">
      <w:pPr>
        <w:pStyle w:val="SH4"/>
        <w:ind w:left="1418"/>
      </w:pPr>
      <w:r>
        <w:t xml:space="preserve">nickel; or </w:t>
      </w:r>
    </w:p>
    <w:p w:rsidR="00A63650" w:rsidRPr="00A63650" w:rsidRDefault="00A63650" w:rsidP="00A63650">
      <w:pPr>
        <w:pStyle w:val="SH4"/>
        <w:ind w:left="1418"/>
      </w:pPr>
      <w:proofErr w:type="gramStart"/>
      <w:r>
        <w:t>tungsten</w:t>
      </w:r>
      <w:proofErr w:type="gramEnd"/>
      <w:r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8A6B26" w:rsidRDefault="008A6B26">
      <w:pPr>
        <w:spacing w:line="240" w:lineRule="auto"/>
        <w:rPr>
          <w:b/>
          <w:i/>
        </w:rPr>
      </w:pPr>
      <w:r>
        <w:rPr>
          <w:b/>
          <w:i/>
        </w:rPr>
        <w:br w:type="page"/>
      </w:r>
    </w:p>
    <w:p w:rsidR="008A6B26" w:rsidRPr="00FA33FB" w:rsidRDefault="008A6B26" w:rsidP="008A6B26">
      <w:pPr>
        <w:pStyle w:val="SHHeader"/>
      </w:pPr>
      <w:bookmarkStart w:id="35" w:name="_Toc98174995"/>
      <w:bookmarkStart w:id="36" w:name="_Toc98424656"/>
      <w:r w:rsidRPr="00FA33FB">
        <w:rPr>
          <w:rStyle w:val="CharAmSchNo"/>
        </w:rPr>
        <w:lastRenderedPageBreak/>
        <w:t>Schedule </w:t>
      </w:r>
      <w:r>
        <w:rPr>
          <w:rStyle w:val="CharAmSchNo"/>
        </w:rPr>
        <w:t xml:space="preserve">2 </w:t>
      </w:r>
      <w:r>
        <w:t xml:space="preserve">- </w:t>
      </w:r>
      <w:r w:rsidRPr="00FA33FB">
        <w:rPr>
          <w:rStyle w:val="CharAmSchText"/>
        </w:rPr>
        <w:t>D</w:t>
      </w:r>
      <w:r>
        <w:rPr>
          <w:rStyle w:val="CharAmSchText"/>
        </w:rPr>
        <w:t>rugs</w:t>
      </w:r>
      <w:bookmarkEnd w:id="35"/>
      <w:bookmarkEnd w:id="36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8A6B26" w:rsidRDefault="008A6B26" w:rsidP="008A6B26">
      <w:pPr>
        <w:tabs>
          <w:tab w:val="left" w:pos="7485"/>
        </w:tabs>
      </w:pPr>
      <w:r w:rsidRPr="003F39C0">
        <w:t>Note:</w:t>
      </w:r>
      <w:r>
        <w:t xml:space="preserve">  </w:t>
      </w:r>
      <w:r w:rsidRPr="003F39C0">
        <w:t>See Section</w:t>
      </w:r>
      <w:r>
        <w:t xml:space="preserve"> 6, Subsection 9(31)</w:t>
      </w:r>
    </w:p>
    <w:p w:rsidR="005E62B3" w:rsidRDefault="005E62B3" w:rsidP="005E62B3">
      <w:pPr>
        <w:pStyle w:val="SH1"/>
        <w:numPr>
          <w:ilvl w:val="0"/>
          <w:numId w:val="6"/>
        </w:numPr>
      </w:pPr>
      <w:bookmarkStart w:id="37" w:name="_Toc98174996"/>
      <w:bookmarkStart w:id="38" w:name="_Toc98424657"/>
      <w:r>
        <w:t>Specified drugs</w:t>
      </w:r>
      <w:bookmarkEnd w:id="37"/>
      <w:bookmarkEnd w:id="38"/>
    </w:p>
    <w:p w:rsidR="008416A1" w:rsidRDefault="008416A1" w:rsidP="008416A1">
      <w:pPr>
        <w:spacing w:after="160" w:line="259" w:lineRule="auto"/>
        <w:rPr>
          <w:szCs w:val="24"/>
        </w:rPr>
      </w:pPr>
    </w:p>
    <w:tbl>
      <w:tblPr>
        <w:tblStyle w:val="TableGrid"/>
        <w:tblW w:w="779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552"/>
      </w:tblGrid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amantadine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aminophylline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color w:val="000000"/>
                <w:szCs w:val="24"/>
              </w:rPr>
              <w:t xml:space="preserve">amphetamine and its derivatives, including </w:t>
            </w:r>
            <w:proofErr w:type="spellStart"/>
            <w:r w:rsidR="00FD6403">
              <w:rPr>
                <w:color w:val="000000"/>
                <w:szCs w:val="24"/>
              </w:rPr>
              <w:t>m</w:t>
            </w:r>
            <w:r w:rsidRPr="00AC66C6">
              <w:rPr>
                <w:color w:val="000000"/>
                <w:szCs w:val="24"/>
              </w:rPr>
              <w:t>ethylenedioxy</w:t>
            </w:r>
            <w:proofErr w:type="spellEnd"/>
            <w:r>
              <w:rPr>
                <w:color w:val="000000"/>
                <w:szCs w:val="24"/>
              </w:rPr>
              <w:t>-</w:t>
            </w:r>
            <w:r w:rsidRPr="00AC66C6">
              <w:rPr>
                <w:color w:val="000000"/>
                <w:szCs w:val="24"/>
              </w:rPr>
              <w:t>methamphetamine (MDMA)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amphotericin B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antibiotics excluding antimycobacterial agents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anticholinesterase drugs used to treat Alzheimer disease and myasthenia gravis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antidepressants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 xml:space="preserve">antineoplastic agents excluding etoposide, carboplatin and oxaliplatin  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antipsychotics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proofErr w:type="spellStart"/>
            <w:r w:rsidRPr="00AC66C6">
              <w:rPr>
                <w:szCs w:val="24"/>
              </w:rPr>
              <w:t>apalutamide</w:t>
            </w:r>
            <w:proofErr w:type="spellEnd"/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 xml:space="preserve">atovaquone with proguanil 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atropine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baclofen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benztropine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bupropion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chloroquine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proofErr w:type="spellStart"/>
            <w:r w:rsidRPr="00AC66C6">
              <w:rPr>
                <w:szCs w:val="24"/>
              </w:rPr>
              <w:t>cinacalet</w:t>
            </w:r>
            <w:proofErr w:type="spellEnd"/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color w:val="000000"/>
                <w:szCs w:val="24"/>
              </w:rPr>
              <w:t>cocaine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cycloserine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danazol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dantrolene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desmopressin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proofErr w:type="spellStart"/>
            <w:r w:rsidRPr="00AC66C6">
              <w:rPr>
                <w:szCs w:val="24"/>
              </w:rPr>
              <w:t>diaxoxide</w:t>
            </w:r>
            <w:proofErr w:type="spellEnd"/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digoxin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disulfiram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efavirenz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enzalutamide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color w:val="000000"/>
                <w:szCs w:val="24"/>
              </w:rPr>
              <w:t>ephedrine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esmolol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proofErr w:type="spellStart"/>
            <w:r w:rsidRPr="00AC66C6">
              <w:rPr>
                <w:szCs w:val="24"/>
              </w:rPr>
              <w:t>fampridine</w:t>
            </w:r>
            <w:proofErr w:type="spellEnd"/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color w:val="000000"/>
                <w:szCs w:val="24"/>
              </w:rPr>
              <w:t>fentanyl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flucytosine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foscarnet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color w:val="000000"/>
                <w:szCs w:val="24"/>
              </w:rPr>
              <w:t>gamma hydroxybutyrate (GHB)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general anaesthetics excluding ketamine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guanine analogue antiviral agents including acyclovir, ganciclovir and valganciclovir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color w:val="000000"/>
                <w:szCs w:val="24"/>
              </w:rPr>
              <w:t>heroin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 xml:space="preserve">immunomodulatory agents 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color w:val="000000"/>
                <w:szCs w:val="24"/>
              </w:rPr>
              <w:t>inhalants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 xml:space="preserve">isoniazid 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ivermectin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proofErr w:type="spellStart"/>
            <w:r w:rsidRPr="00AC66C6">
              <w:rPr>
                <w:color w:val="000000"/>
                <w:szCs w:val="24"/>
              </w:rPr>
              <w:t>kratom</w:t>
            </w:r>
            <w:proofErr w:type="spellEnd"/>
            <w:r w:rsidRPr="00AC66C6">
              <w:rPr>
                <w:color w:val="000000"/>
                <w:szCs w:val="24"/>
              </w:rPr>
              <w:t xml:space="preserve"> (</w:t>
            </w:r>
            <w:proofErr w:type="spellStart"/>
            <w:r w:rsidRPr="00AC66C6">
              <w:rPr>
                <w:i/>
                <w:color w:val="000000"/>
                <w:szCs w:val="24"/>
              </w:rPr>
              <w:t>Mitragyna</w:t>
            </w:r>
            <w:proofErr w:type="spellEnd"/>
            <w:r w:rsidRPr="00AC66C6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AC66C6">
              <w:rPr>
                <w:i/>
                <w:color w:val="000000"/>
                <w:szCs w:val="24"/>
              </w:rPr>
              <w:t>speciosa</w:t>
            </w:r>
            <w:proofErr w:type="spellEnd"/>
            <w:r w:rsidRPr="00AC66C6">
              <w:rPr>
                <w:color w:val="000000"/>
                <w:szCs w:val="24"/>
              </w:rPr>
              <w:t>)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lidocaine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 xml:space="preserve">lithium 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mannitol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mefloquine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memantine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color w:val="000000"/>
                <w:szCs w:val="24"/>
              </w:rPr>
              <w:t>methylphenidate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mexiletine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 xml:space="preserve">non-topical local anaesthetics 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ondansetron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opioid analgesics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proofErr w:type="spellStart"/>
            <w:r w:rsidRPr="00AC66C6">
              <w:rPr>
                <w:szCs w:val="24"/>
              </w:rPr>
              <w:t>perhexiline</w:t>
            </w:r>
            <w:proofErr w:type="spellEnd"/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color w:val="000000"/>
                <w:szCs w:val="24"/>
              </w:rPr>
              <w:t>phencyclidine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phentermine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color w:val="000000"/>
                <w:szCs w:val="24"/>
              </w:rPr>
              <w:t>phenylpropanolamine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pizotifen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proofErr w:type="spellStart"/>
            <w:r w:rsidRPr="00AC66C6">
              <w:rPr>
                <w:szCs w:val="24"/>
              </w:rPr>
              <w:t>pranziquantel</w:t>
            </w:r>
            <w:proofErr w:type="spellEnd"/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pyrimethamine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proofErr w:type="spellStart"/>
            <w:r w:rsidRPr="00AC66C6">
              <w:rPr>
                <w:szCs w:val="24"/>
              </w:rPr>
              <w:t>ranolazine</w:t>
            </w:r>
            <w:proofErr w:type="spellEnd"/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lastRenderedPageBreak/>
              <w:t>rasburicase</w:t>
            </w:r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 xml:space="preserve">salicylate in overdose 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 xml:space="preserve">sedating antihistamines 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A159CD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>
              <w:rPr>
                <w:color w:val="000000"/>
                <w:szCs w:val="24"/>
              </w:rPr>
              <w:t>synthetic cannabinoids</w:t>
            </w:r>
            <w:bookmarkStart w:id="39" w:name="_GoBack"/>
            <w:bookmarkEnd w:id="39"/>
          </w:p>
        </w:tc>
        <w:tc>
          <w:tcPr>
            <w:tcW w:w="2693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theophylline</w:t>
            </w:r>
          </w:p>
        </w:tc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>tranexamic acid</w:t>
            </w:r>
          </w:p>
        </w:tc>
      </w:tr>
      <w:tr w:rsidR="008416A1" w:rsidRPr="00AC66C6" w:rsidTr="00B25BB0">
        <w:tc>
          <w:tcPr>
            <w:tcW w:w="2552" w:type="dxa"/>
          </w:tcPr>
          <w:p w:rsidR="008416A1" w:rsidRPr="00AC66C6" w:rsidRDefault="008416A1" w:rsidP="008416A1">
            <w:pPr>
              <w:pStyle w:val="ListParagraph"/>
              <w:numPr>
                <w:ilvl w:val="0"/>
                <w:numId w:val="23"/>
              </w:numPr>
              <w:ind w:left="367" w:hanging="430"/>
              <w:rPr>
                <w:szCs w:val="24"/>
              </w:rPr>
            </w:pPr>
            <w:r w:rsidRPr="00AC66C6">
              <w:rPr>
                <w:szCs w:val="24"/>
              </w:rPr>
              <w:t xml:space="preserve">trihexyphenidyl </w:t>
            </w:r>
          </w:p>
        </w:tc>
        <w:tc>
          <w:tcPr>
            <w:tcW w:w="2693" w:type="dxa"/>
          </w:tcPr>
          <w:p w:rsidR="008416A1" w:rsidRPr="00AC66C6" w:rsidRDefault="008416A1" w:rsidP="004E307A">
            <w:pPr>
              <w:pStyle w:val="ListParagraph"/>
              <w:ind w:left="367"/>
              <w:rPr>
                <w:szCs w:val="24"/>
              </w:rPr>
            </w:pPr>
          </w:p>
        </w:tc>
        <w:tc>
          <w:tcPr>
            <w:tcW w:w="2552" w:type="dxa"/>
          </w:tcPr>
          <w:p w:rsidR="008416A1" w:rsidRPr="00AC66C6" w:rsidRDefault="008416A1" w:rsidP="004E307A">
            <w:pPr>
              <w:pStyle w:val="ListParagraph"/>
              <w:ind w:left="367"/>
              <w:rPr>
                <w:szCs w:val="24"/>
              </w:rPr>
            </w:pPr>
          </w:p>
        </w:tc>
      </w:tr>
    </w:tbl>
    <w:p w:rsidR="008416A1" w:rsidRDefault="008416A1" w:rsidP="008416A1">
      <w:pPr>
        <w:pStyle w:val="ScheduleNote"/>
        <w:rPr>
          <w:b/>
          <w:i/>
        </w:rPr>
      </w:pPr>
      <w:r>
        <w:t xml:space="preserve">Note: </w:t>
      </w:r>
      <w:r w:rsidRPr="000E1C68">
        <w:rPr>
          <w:b/>
          <w:i/>
        </w:rPr>
        <w:t>inhalants</w:t>
      </w:r>
      <w:r w:rsidRPr="000E1C68">
        <w:t xml:space="preserve"> is </w:t>
      </w:r>
      <w:r>
        <w:t xml:space="preserve">also </w:t>
      </w:r>
      <w:r w:rsidRPr="000E1C68">
        <w:t>defined in the Schedule 1 – Dictionary.</w:t>
      </w:r>
    </w:p>
    <w:p w:rsidR="00CF2367" w:rsidRDefault="00CF2367" w:rsidP="008416A1">
      <w:pPr>
        <w:spacing w:after="160" w:line="259" w:lineRule="auto"/>
        <w:rPr>
          <w:b/>
          <w:i/>
        </w:rPr>
      </w:pPr>
    </w:p>
    <w:sectPr w:rsidR="00CF2367" w:rsidSect="005E62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701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F5" w:rsidRDefault="009C5EF5" w:rsidP="00715914">
      <w:pPr>
        <w:spacing w:line="240" w:lineRule="auto"/>
      </w:pPr>
      <w:r>
        <w:separator/>
      </w:r>
    </w:p>
  </w:endnote>
  <w:endnote w:type="continuationSeparator" w:id="0">
    <w:p w:rsidR="009C5EF5" w:rsidRDefault="009C5EF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Pr="00E33C1C" w:rsidRDefault="009C5EF5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9C5EF5" w:rsidRPr="00C01863" w:rsidTr="005E62B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C5EF5" w:rsidRPr="00C01863" w:rsidRDefault="009C5EF5" w:rsidP="000051D9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C5EF5" w:rsidRDefault="009C5EF5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9C5EF5" w:rsidRDefault="009C5EF5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0611B">
            <w:rPr>
              <w:i/>
              <w:sz w:val="18"/>
              <w:szCs w:val="18"/>
            </w:rPr>
            <w:t>Seizure</w:t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 xml:space="preserve">38 </w:t>
          </w:r>
          <w:r w:rsidRPr="007C5CE0">
            <w:rPr>
              <w:i/>
              <w:sz w:val="18"/>
              <w:szCs w:val="18"/>
            </w:rPr>
            <w:t xml:space="preserve">of </w:t>
          </w:r>
          <w:r w:rsidRPr="00D0611B">
            <w:rPr>
              <w:i/>
              <w:sz w:val="18"/>
              <w:szCs w:val="18"/>
            </w:rPr>
            <w:t>2022</w:t>
          </w:r>
          <w:r w:rsidRPr="007C5CE0">
            <w:rPr>
              <w:i/>
              <w:sz w:val="18"/>
              <w:szCs w:val="18"/>
            </w:rPr>
            <w:t>)</w:t>
          </w:r>
        </w:p>
        <w:p w:rsidR="009C5EF5" w:rsidRPr="007C5CE0" w:rsidRDefault="009C5EF5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C5EF5" w:rsidRPr="00C01863" w:rsidRDefault="009C5EF5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25BB0">
            <w:rPr>
              <w:i/>
              <w:noProof/>
              <w:sz w:val="18"/>
            </w:rPr>
            <w:t>13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25BB0">
            <w:rPr>
              <w:i/>
              <w:noProof/>
              <w:sz w:val="18"/>
            </w:rPr>
            <w:t>15</w:t>
          </w:r>
          <w:r>
            <w:rPr>
              <w:i/>
              <w:sz w:val="18"/>
            </w:rPr>
            <w:fldChar w:fldCharType="end"/>
          </w:r>
        </w:p>
      </w:tc>
    </w:tr>
  </w:tbl>
  <w:p w:rsidR="009C5EF5" w:rsidRPr="000051D9" w:rsidRDefault="009C5EF5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Pr="00E33C1C" w:rsidRDefault="009C5EF5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9C5EF5" w:rsidRPr="00C01863" w:rsidTr="005E62B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C5EF5" w:rsidRPr="00C01863" w:rsidRDefault="009C5EF5" w:rsidP="000051D9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C5EF5" w:rsidRDefault="009C5EF5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9C5EF5" w:rsidRDefault="009C5EF5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0611B">
            <w:rPr>
              <w:i/>
              <w:sz w:val="18"/>
              <w:szCs w:val="18"/>
            </w:rPr>
            <w:t>Seizure</w:t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38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D0611B">
            <w:rPr>
              <w:i/>
              <w:sz w:val="18"/>
              <w:szCs w:val="18"/>
            </w:rPr>
            <w:t>2022</w:t>
          </w:r>
          <w:r w:rsidRPr="007C5CE0">
            <w:rPr>
              <w:i/>
              <w:sz w:val="18"/>
              <w:szCs w:val="18"/>
            </w:rPr>
            <w:t>)</w:t>
          </w:r>
        </w:p>
        <w:p w:rsidR="009C5EF5" w:rsidRPr="007C5CE0" w:rsidRDefault="009C5EF5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C5EF5" w:rsidRPr="00C01863" w:rsidRDefault="009C5EF5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25BB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25BB0">
            <w:rPr>
              <w:i/>
              <w:noProof/>
              <w:sz w:val="18"/>
            </w:rPr>
            <w:t>15</w:t>
          </w:r>
          <w:r>
            <w:rPr>
              <w:i/>
              <w:sz w:val="18"/>
            </w:rPr>
            <w:fldChar w:fldCharType="end"/>
          </w:r>
        </w:p>
      </w:tc>
    </w:tr>
  </w:tbl>
  <w:p w:rsidR="009C5EF5" w:rsidRPr="000051D9" w:rsidRDefault="009C5EF5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Pr="00D36FC1" w:rsidRDefault="009C5EF5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Pr="00E33C1C" w:rsidRDefault="009C5EF5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Pr="00E33C1C" w:rsidRDefault="009C5EF5" w:rsidP="00EF1C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:rsidR="009C5EF5" w:rsidRDefault="009C5EF5"/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721"/>
      <w:gridCol w:w="926"/>
    </w:tblGrid>
    <w:tr w:rsidR="009C5EF5" w:rsidRPr="00C01863" w:rsidTr="00AE7888">
      <w:tc>
        <w:tcPr>
          <w:tcW w:w="772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C5EF5" w:rsidRDefault="009C5EF5" w:rsidP="008A6B2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9C5EF5" w:rsidRDefault="009C5EF5" w:rsidP="008A6B26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0611B">
            <w:rPr>
              <w:i/>
              <w:sz w:val="18"/>
              <w:szCs w:val="18"/>
            </w:rPr>
            <w:t>Seizure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 xml:space="preserve">38 </w:t>
          </w:r>
          <w:r w:rsidRPr="007C5CE0">
            <w:rPr>
              <w:i/>
              <w:sz w:val="18"/>
              <w:szCs w:val="18"/>
            </w:rPr>
            <w:t xml:space="preserve">of </w:t>
          </w:r>
          <w:r w:rsidRPr="00D0611B">
            <w:rPr>
              <w:i/>
              <w:sz w:val="18"/>
              <w:szCs w:val="18"/>
            </w:rPr>
            <w:t>2022</w:t>
          </w:r>
          <w:r w:rsidRPr="007C5CE0">
            <w:rPr>
              <w:i/>
              <w:sz w:val="18"/>
              <w:szCs w:val="18"/>
            </w:rPr>
            <w:t>)</w:t>
          </w:r>
        </w:p>
        <w:p w:rsidR="009C5EF5" w:rsidRPr="007C5CE0" w:rsidRDefault="009C5EF5" w:rsidP="008A6B2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9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C5EF5" w:rsidRPr="00C01863" w:rsidRDefault="009C5EF5" w:rsidP="008A6B2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25BB0">
            <w:rPr>
              <w:i/>
              <w:noProof/>
              <w:sz w:val="18"/>
            </w:rPr>
            <w:t>15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25BB0">
            <w:rPr>
              <w:i/>
              <w:noProof/>
              <w:sz w:val="18"/>
            </w:rPr>
            <w:t>15</w:t>
          </w:r>
          <w:r>
            <w:rPr>
              <w:i/>
              <w:sz w:val="18"/>
            </w:rPr>
            <w:fldChar w:fldCharType="end"/>
          </w:r>
        </w:p>
      </w:tc>
    </w:tr>
  </w:tbl>
  <w:p w:rsidR="009C5EF5" w:rsidRPr="000051D9" w:rsidRDefault="009C5EF5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Pr="000051D9" w:rsidRDefault="009C5EF5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F5" w:rsidRDefault="009C5EF5" w:rsidP="00715914">
      <w:pPr>
        <w:spacing w:line="240" w:lineRule="auto"/>
      </w:pPr>
      <w:r>
        <w:separator/>
      </w:r>
    </w:p>
  </w:footnote>
  <w:footnote w:type="continuationSeparator" w:id="0">
    <w:p w:rsidR="009C5EF5" w:rsidRDefault="009C5EF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Pr="00711F91" w:rsidRDefault="009C5EF5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Pr="000051D9" w:rsidRDefault="009C5EF5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Default="009C5EF5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9C5EF5" w:rsidRDefault="009C5EF5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Default="009C5EF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Pr="000051D9" w:rsidRDefault="009C5EF5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Default="009C5EF5" w:rsidP="008A6B26">
    <w:pPr>
      <w:rPr>
        <w:sz w:val="20"/>
      </w:rPr>
    </w:pPr>
    <w:r>
      <w:rPr>
        <w:b/>
        <w:noProof/>
        <w:sz w:val="20"/>
      </w:rPr>
      <w:t>Schedule 2</w:t>
    </w:r>
    <w:r>
      <w:rPr>
        <w:sz w:val="20"/>
      </w:rPr>
      <w:t xml:space="preserve"> - </w:t>
    </w:r>
    <w:r>
      <w:rPr>
        <w:noProof/>
        <w:sz w:val="20"/>
      </w:rPr>
      <w:t>Drugs</w:t>
    </w:r>
  </w:p>
  <w:p w:rsidR="009C5EF5" w:rsidRDefault="009C5EF5" w:rsidP="008A6B26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5" w:rsidRPr="007A1328" w:rsidRDefault="009C5EF5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F937677"/>
    <w:multiLevelType w:val="hybridMultilevel"/>
    <w:tmpl w:val="60BC938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F632978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A37399"/>
    <w:multiLevelType w:val="hybridMultilevel"/>
    <w:tmpl w:val="60BC938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C22F4B"/>
    <w:multiLevelType w:val="hybridMultilevel"/>
    <w:tmpl w:val="60BC938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1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2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962F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3241"/>
    <w:rsid w:val="00214488"/>
    <w:rsid w:val="00215860"/>
    <w:rsid w:val="00215AF1"/>
    <w:rsid w:val="00223E2C"/>
    <w:rsid w:val="00225CBD"/>
    <w:rsid w:val="00226ECC"/>
    <w:rsid w:val="002321E8"/>
    <w:rsid w:val="0023540F"/>
    <w:rsid w:val="00236EEC"/>
    <w:rsid w:val="00237471"/>
    <w:rsid w:val="002376A0"/>
    <w:rsid w:val="00237BAF"/>
    <w:rsid w:val="0024010F"/>
    <w:rsid w:val="00240749"/>
    <w:rsid w:val="00241E28"/>
    <w:rsid w:val="00243018"/>
    <w:rsid w:val="00255C4F"/>
    <w:rsid w:val="002564A4"/>
    <w:rsid w:val="002622C0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E5129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E58D7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36EB"/>
    <w:rsid w:val="00436129"/>
    <w:rsid w:val="004379E3"/>
    <w:rsid w:val="0044015E"/>
    <w:rsid w:val="0044291A"/>
    <w:rsid w:val="00444ABD"/>
    <w:rsid w:val="00456CE5"/>
    <w:rsid w:val="00463FC7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307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62B3"/>
    <w:rsid w:val="005E7FC2"/>
    <w:rsid w:val="00600219"/>
    <w:rsid w:val="006013B7"/>
    <w:rsid w:val="00603D01"/>
    <w:rsid w:val="00603DC4"/>
    <w:rsid w:val="00615B89"/>
    <w:rsid w:val="00615FB0"/>
    <w:rsid w:val="00616FF5"/>
    <w:rsid w:val="006177B0"/>
    <w:rsid w:val="00617C4E"/>
    <w:rsid w:val="00620076"/>
    <w:rsid w:val="006314DD"/>
    <w:rsid w:val="0063707F"/>
    <w:rsid w:val="006552DF"/>
    <w:rsid w:val="0066266D"/>
    <w:rsid w:val="006647B7"/>
    <w:rsid w:val="00667A4E"/>
    <w:rsid w:val="00670EA1"/>
    <w:rsid w:val="00677CC2"/>
    <w:rsid w:val="00681926"/>
    <w:rsid w:val="006840B0"/>
    <w:rsid w:val="00684C0E"/>
    <w:rsid w:val="00685FBE"/>
    <w:rsid w:val="006905DE"/>
    <w:rsid w:val="0069207B"/>
    <w:rsid w:val="00695023"/>
    <w:rsid w:val="00695D58"/>
    <w:rsid w:val="006A3179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B3AE0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15CC1"/>
    <w:rsid w:val="00824498"/>
    <w:rsid w:val="008321ED"/>
    <w:rsid w:val="00832C32"/>
    <w:rsid w:val="0083517B"/>
    <w:rsid w:val="00836587"/>
    <w:rsid w:val="008416A1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AF9"/>
    <w:rsid w:val="00885EAB"/>
    <w:rsid w:val="00886456"/>
    <w:rsid w:val="008A46E1"/>
    <w:rsid w:val="008A4F43"/>
    <w:rsid w:val="008A6B26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154B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C5EF5"/>
    <w:rsid w:val="009D4F17"/>
    <w:rsid w:val="009D6BB0"/>
    <w:rsid w:val="009E5CFC"/>
    <w:rsid w:val="00A06E7A"/>
    <w:rsid w:val="00A079CB"/>
    <w:rsid w:val="00A11C0D"/>
    <w:rsid w:val="00A12128"/>
    <w:rsid w:val="00A137F8"/>
    <w:rsid w:val="00A159CD"/>
    <w:rsid w:val="00A20CA1"/>
    <w:rsid w:val="00A20FDB"/>
    <w:rsid w:val="00A22C98"/>
    <w:rsid w:val="00A231E2"/>
    <w:rsid w:val="00A515BC"/>
    <w:rsid w:val="00A56C3D"/>
    <w:rsid w:val="00A6070D"/>
    <w:rsid w:val="00A63650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E7888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BB0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D69DA"/>
    <w:rsid w:val="00BE200B"/>
    <w:rsid w:val="00BE2155"/>
    <w:rsid w:val="00BE2213"/>
    <w:rsid w:val="00BE719A"/>
    <w:rsid w:val="00BE720A"/>
    <w:rsid w:val="00BF0D73"/>
    <w:rsid w:val="00BF2465"/>
    <w:rsid w:val="00BF43B4"/>
    <w:rsid w:val="00BF4D95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2934"/>
    <w:rsid w:val="00C93C03"/>
    <w:rsid w:val="00C96667"/>
    <w:rsid w:val="00C9794D"/>
    <w:rsid w:val="00CA61BB"/>
    <w:rsid w:val="00CA7414"/>
    <w:rsid w:val="00CB1DCB"/>
    <w:rsid w:val="00CB2C8E"/>
    <w:rsid w:val="00CB602E"/>
    <w:rsid w:val="00CB756E"/>
    <w:rsid w:val="00CC7039"/>
    <w:rsid w:val="00CD2C1D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0611B"/>
    <w:rsid w:val="00D13441"/>
    <w:rsid w:val="00D150E7"/>
    <w:rsid w:val="00D32F65"/>
    <w:rsid w:val="00D32F71"/>
    <w:rsid w:val="00D36FC1"/>
    <w:rsid w:val="00D377E3"/>
    <w:rsid w:val="00D41433"/>
    <w:rsid w:val="00D44545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1415"/>
    <w:rsid w:val="00DC1C14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95F23"/>
    <w:rsid w:val="00EA7100"/>
    <w:rsid w:val="00EA7F9F"/>
    <w:rsid w:val="00EB1274"/>
    <w:rsid w:val="00EB2BC4"/>
    <w:rsid w:val="00EC7405"/>
    <w:rsid w:val="00ED019C"/>
    <w:rsid w:val="00ED163D"/>
    <w:rsid w:val="00ED2BB6"/>
    <w:rsid w:val="00ED34E1"/>
    <w:rsid w:val="00ED3B8D"/>
    <w:rsid w:val="00ED46FF"/>
    <w:rsid w:val="00ED4913"/>
    <w:rsid w:val="00EE01E9"/>
    <w:rsid w:val="00EF1CFA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4E14"/>
    <w:rsid w:val="00FD6403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B008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1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43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433"/>
    <w:rPr>
      <w:lang w:eastAsia="en-US"/>
    </w:rPr>
  </w:style>
  <w:style w:type="paragraph" w:styleId="ListParagraph">
    <w:name w:val="List Paragraph"/>
    <w:basedOn w:val="Normal"/>
    <w:uiPriority w:val="34"/>
    <w:qFormat/>
    <w:rsid w:val="008A6B26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3153</Words>
  <Characters>17974</Characters>
  <Application>Microsoft Office Word</Application>
  <DocSecurity>0</DocSecurity>
  <PresentationFormat/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2022-04-21T05:18:00Z</dcterms:created>
  <dcterms:modified xsi:type="dcterms:W3CDTF">2022-04-28T01:29:00Z</dcterms:modified>
  <cp:category/>
  <cp:contentStatus/>
  <dc:language/>
  <cp:version/>
</cp:coreProperties>
</file>