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3802D6" w:rsidP="006647B7">
      <w:pPr>
        <w:pStyle w:val="Plainheader"/>
      </w:pPr>
      <w:bookmarkStart w:id="0" w:name="SoP_Name_Title"/>
      <w:r>
        <w:t>S</w:t>
      </w:r>
      <w:r w:rsidR="00F83264">
        <w:t>O</w:t>
      </w:r>
      <w:r w:rsidR="00171AC2">
        <w:t>MATIC SYM</w:t>
      </w:r>
      <w:r w:rsidR="00F83264">
        <w:t>P</w:t>
      </w:r>
      <w:r w:rsidR="00171AC2">
        <w:t xml:space="preserve">TOM </w:t>
      </w:r>
      <w:proofErr w:type="gramStart"/>
      <w:r w:rsidR="00171AC2">
        <w:t>DISORDER</w:t>
      </w:r>
      <w:bookmarkEnd w:id="0"/>
      <w:proofErr w:type="gramEnd"/>
      <w:r w:rsidR="00997416">
        <w:br/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01698E">
        <w:t>6</w:t>
      </w:r>
      <w:r w:rsidR="0051165C">
        <w:t>5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171AC2">
        <w:t>2022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0E398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51165C">
        <w:t>24 June 2022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815E88" w:rsidTr="0034373D">
        <w:tc>
          <w:tcPr>
            <w:tcW w:w="4116" w:type="dxa"/>
          </w:tcPr>
          <w:p w:rsidR="00815E88" w:rsidRDefault="00815E88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815E88" w:rsidRDefault="00815E88" w:rsidP="0034373D">
            <w:pPr>
              <w:pStyle w:val="Plain"/>
            </w:pPr>
          </w:p>
        </w:tc>
      </w:tr>
      <w:tr w:rsidR="00815E88" w:rsidTr="0034373D">
        <w:tc>
          <w:tcPr>
            <w:tcW w:w="4116" w:type="dxa"/>
          </w:tcPr>
          <w:p w:rsidR="00815E88" w:rsidRDefault="00815E88" w:rsidP="0034373D">
            <w:pPr>
              <w:pStyle w:val="Plain"/>
            </w:pPr>
          </w:p>
          <w:p w:rsidR="00815E88" w:rsidRDefault="00815E88" w:rsidP="0034373D">
            <w:pPr>
              <w:pStyle w:val="Plain"/>
            </w:pPr>
          </w:p>
          <w:p w:rsidR="00815E88" w:rsidRPr="007527C1" w:rsidRDefault="00815E88" w:rsidP="0034373D">
            <w:pPr>
              <w:pStyle w:val="Plain"/>
            </w:pPr>
            <w:r w:rsidRPr="007527C1">
              <w:t xml:space="preserve">Professor </w:t>
            </w:r>
            <w:r w:rsidR="002D142B" w:rsidRPr="002D142B">
              <w:t>Terence Campbell AM</w:t>
            </w:r>
          </w:p>
          <w:p w:rsidR="00815E88" w:rsidRDefault="00815E88" w:rsidP="0034373D">
            <w:pPr>
              <w:pStyle w:val="Plain"/>
            </w:pPr>
            <w:r w:rsidRPr="007527C1">
              <w:t>Chairperson</w:t>
            </w:r>
          </w:p>
          <w:p w:rsidR="00815E88" w:rsidRDefault="00815E88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:rsidR="008B09D0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8B09D0">
        <w:rPr>
          <w:noProof/>
        </w:rPr>
        <w:t>1</w:t>
      </w:r>
      <w:r w:rsidR="008B09D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8B09D0">
        <w:rPr>
          <w:noProof/>
        </w:rPr>
        <w:t>Name</w:t>
      </w:r>
      <w:r w:rsidR="008B09D0">
        <w:rPr>
          <w:noProof/>
        </w:rPr>
        <w:tab/>
      </w:r>
      <w:r w:rsidR="008B09D0">
        <w:rPr>
          <w:noProof/>
        </w:rPr>
        <w:fldChar w:fldCharType="begin"/>
      </w:r>
      <w:r w:rsidR="008B09D0">
        <w:rPr>
          <w:noProof/>
        </w:rPr>
        <w:instrText xml:space="preserve"> PAGEREF _Toc512513685 \h </w:instrText>
      </w:r>
      <w:r w:rsidR="008B09D0">
        <w:rPr>
          <w:noProof/>
        </w:rPr>
      </w:r>
      <w:r w:rsidR="008B09D0">
        <w:rPr>
          <w:noProof/>
        </w:rPr>
        <w:fldChar w:fldCharType="separate"/>
      </w:r>
      <w:r w:rsidR="0051165C">
        <w:rPr>
          <w:noProof/>
        </w:rPr>
        <w:t>3</w:t>
      </w:r>
      <w:r w:rsidR="008B09D0">
        <w:rPr>
          <w:noProof/>
        </w:rPr>
        <w:fldChar w:fldCharType="end"/>
      </w:r>
    </w:p>
    <w:p w:rsidR="008B09D0" w:rsidRDefault="008B09D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_Toc512513686 \h </w:instrText>
      </w:r>
      <w:r>
        <w:rPr>
          <w:noProof/>
        </w:rPr>
      </w:r>
      <w:r>
        <w:rPr>
          <w:noProof/>
        </w:rPr>
        <w:fldChar w:fldCharType="separate"/>
      </w:r>
      <w:r w:rsidR="0051165C">
        <w:rPr>
          <w:noProof/>
        </w:rPr>
        <w:t>3</w:t>
      </w:r>
      <w:r>
        <w:rPr>
          <w:noProof/>
        </w:rPr>
        <w:fldChar w:fldCharType="end"/>
      </w:r>
    </w:p>
    <w:p w:rsidR="008B09D0" w:rsidRDefault="008B09D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_Toc512513687 \h </w:instrText>
      </w:r>
      <w:r>
        <w:rPr>
          <w:noProof/>
        </w:rPr>
      </w:r>
      <w:r>
        <w:rPr>
          <w:noProof/>
        </w:rPr>
        <w:fldChar w:fldCharType="separate"/>
      </w:r>
      <w:r w:rsidR="0051165C">
        <w:rPr>
          <w:noProof/>
        </w:rPr>
        <w:t>3</w:t>
      </w:r>
      <w:r>
        <w:rPr>
          <w:noProof/>
        </w:rPr>
        <w:fldChar w:fldCharType="end"/>
      </w:r>
    </w:p>
    <w:p w:rsidR="008B09D0" w:rsidRDefault="008B09D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_Toc512513688 \h </w:instrText>
      </w:r>
      <w:r>
        <w:rPr>
          <w:noProof/>
        </w:rPr>
      </w:r>
      <w:r>
        <w:rPr>
          <w:noProof/>
        </w:rPr>
        <w:fldChar w:fldCharType="separate"/>
      </w:r>
      <w:r w:rsidR="0051165C">
        <w:rPr>
          <w:noProof/>
        </w:rPr>
        <w:t>3</w:t>
      </w:r>
      <w:r>
        <w:rPr>
          <w:noProof/>
        </w:rPr>
        <w:fldChar w:fldCharType="end"/>
      </w:r>
    </w:p>
    <w:p w:rsidR="008B09D0" w:rsidRDefault="008B09D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_Toc512513689 \h </w:instrText>
      </w:r>
      <w:r>
        <w:rPr>
          <w:noProof/>
        </w:rPr>
      </w:r>
      <w:r>
        <w:rPr>
          <w:noProof/>
        </w:rPr>
        <w:fldChar w:fldCharType="separate"/>
      </w:r>
      <w:r w:rsidR="0051165C">
        <w:rPr>
          <w:noProof/>
        </w:rPr>
        <w:t>3</w:t>
      </w:r>
      <w:r>
        <w:rPr>
          <w:noProof/>
        </w:rPr>
        <w:fldChar w:fldCharType="end"/>
      </w:r>
    </w:p>
    <w:p w:rsidR="008B09D0" w:rsidRDefault="008B09D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_Toc512513690 \h </w:instrText>
      </w:r>
      <w:r>
        <w:rPr>
          <w:noProof/>
        </w:rPr>
      </w:r>
      <w:r>
        <w:rPr>
          <w:noProof/>
        </w:rPr>
        <w:fldChar w:fldCharType="separate"/>
      </w:r>
      <w:r w:rsidR="0051165C">
        <w:rPr>
          <w:noProof/>
        </w:rPr>
        <w:t>3</w:t>
      </w:r>
      <w:r>
        <w:rPr>
          <w:noProof/>
        </w:rPr>
        <w:fldChar w:fldCharType="end"/>
      </w:r>
    </w:p>
    <w:p w:rsidR="008B09D0" w:rsidRDefault="008B09D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_Toc512513691 \h </w:instrText>
      </w:r>
      <w:r>
        <w:rPr>
          <w:noProof/>
        </w:rPr>
      </w:r>
      <w:r>
        <w:rPr>
          <w:noProof/>
        </w:rPr>
        <w:fldChar w:fldCharType="separate"/>
      </w:r>
      <w:r w:rsidR="0051165C">
        <w:rPr>
          <w:noProof/>
        </w:rPr>
        <w:t>3</w:t>
      </w:r>
      <w:r>
        <w:rPr>
          <w:noProof/>
        </w:rPr>
        <w:fldChar w:fldCharType="end"/>
      </w:r>
    </w:p>
    <w:p w:rsidR="008B09D0" w:rsidRDefault="008B09D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_Toc512513692 \h </w:instrText>
      </w:r>
      <w:r>
        <w:rPr>
          <w:noProof/>
        </w:rPr>
      </w:r>
      <w:r>
        <w:rPr>
          <w:noProof/>
        </w:rPr>
        <w:fldChar w:fldCharType="separate"/>
      </w:r>
      <w:r w:rsidR="0051165C">
        <w:rPr>
          <w:noProof/>
        </w:rPr>
        <w:t>4</w:t>
      </w:r>
      <w:r>
        <w:rPr>
          <w:noProof/>
        </w:rPr>
        <w:fldChar w:fldCharType="end"/>
      </w:r>
    </w:p>
    <w:p w:rsidR="008B09D0" w:rsidRDefault="008B09D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_Toc512513693 \h </w:instrText>
      </w:r>
      <w:r>
        <w:rPr>
          <w:noProof/>
        </w:rPr>
      </w:r>
      <w:r>
        <w:rPr>
          <w:noProof/>
        </w:rPr>
        <w:fldChar w:fldCharType="separate"/>
      </w:r>
      <w:r w:rsidR="0051165C">
        <w:rPr>
          <w:noProof/>
        </w:rPr>
        <w:t>4</w:t>
      </w:r>
      <w:r>
        <w:rPr>
          <w:noProof/>
        </w:rPr>
        <w:fldChar w:fldCharType="end"/>
      </w:r>
    </w:p>
    <w:p w:rsidR="008B09D0" w:rsidRDefault="008B09D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_Toc512513694 \h </w:instrText>
      </w:r>
      <w:r>
        <w:rPr>
          <w:noProof/>
        </w:rPr>
      </w:r>
      <w:r>
        <w:rPr>
          <w:noProof/>
        </w:rPr>
        <w:fldChar w:fldCharType="separate"/>
      </w:r>
      <w:r w:rsidR="0051165C">
        <w:rPr>
          <w:noProof/>
        </w:rPr>
        <w:t>4</w:t>
      </w:r>
      <w:r>
        <w:rPr>
          <w:noProof/>
        </w:rPr>
        <w:fldChar w:fldCharType="end"/>
      </w:r>
    </w:p>
    <w:p w:rsidR="008B09D0" w:rsidRDefault="008B09D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_Toc512513695 \h </w:instrText>
      </w:r>
      <w:r>
        <w:rPr>
          <w:noProof/>
        </w:rPr>
      </w:r>
      <w:r>
        <w:rPr>
          <w:noProof/>
        </w:rPr>
        <w:fldChar w:fldCharType="separate"/>
      </w:r>
      <w:r w:rsidR="0051165C">
        <w:rPr>
          <w:noProof/>
        </w:rPr>
        <w:t>5</w:t>
      </w:r>
      <w:r>
        <w:rPr>
          <w:noProof/>
        </w:rPr>
        <w:fldChar w:fldCharType="end"/>
      </w:r>
    </w:p>
    <w:p w:rsidR="008B09D0" w:rsidRDefault="008B09D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_Toc512513696 \h </w:instrText>
      </w:r>
      <w:r>
        <w:rPr>
          <w:noProof/>
        </w:rPr>
      </w:r>
      <w:r>
        <w:rPr>
          <w:noProof/>
        </w:rPr>
        <w:fldChar w:fldCharType="separate"/>
      </w:r>
      <w:r w:rsidR="0051165C">
        <w:rPr>
          <w:noProof/>
        </w:rPr>
        <w:t>6</w:t>
      </w:r>
      <w:r>
        <w:rPr>
          <w:noProof/>
        </w:rPr>
        <w:fldChar w:fldCharType="end"/>
      </w:r>
    </w:p>
    <w:p w:rsidR="008B09D0" w:rsidRDefault="008B09D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_Toc512513697 \h </w:instrText>
      </w:r>
      <w:r>
        <w:rPr>
          <w:noProof/>
        </w:rPr>
      </w:r>
      <w:r>
        <w:rPr>
          <w:noProof/>
        </w:rPr>
        <w:fldChar w:fldCharType="separate"/>
      </w:r>
      <w:r w:rsidR="0051165C">
        <w:rPr>
          <w:noProof/>
        </w:rPr>
        <w:t>6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  <w:bookmarkStart w:id="4" w:name="_GoBack"/>
      <w:bookmarkEnd w:id="4"/>
    </w:p>
    <w:p w:rsidR="00877AE3" w:rsidRDefault="00877AE3" w:rsidP="000939BB">
      <w:pPr>
        <w:pStyle w:val="LV1"/>
      </w:pPr>
      <w:bookmarkStart w:id="5" w:name="_Toc512513685"/>
      <w:r>
        <w:lastRenderedPageBreak/>
        <w:t>Name</w:t>
      </w:r>
      <w:bookmarkEnd w:id="5"/>
    </w:p>
    <w:p w:rsidR="00237471" w:rsidRPr="00F97A62" w:rsidRDefault="00715914" w:rsidP="000939BB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171AC2">
        <w:rPr>
          <w:i/>
        </w:rPr>
        <w:t>somatic symptom disorder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51165C">
        <w:t>65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51165C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0939BB">
      <w:pPr>
        <w:pStyle w:val="LV1"/>
      </w:pPr>
      <w:bookmarkStart w:id="8" w:name="_Toc512513686"/>
      <w:r w:rsidRPr="00684C0E">
        <w:t>Commencement</w:t>
      </w:r>
      <w:bookmarkEnd w:id="8"/>
    </w:p>
    <w:p w:rsidR="00F67B67" w:rsidRPr="007527C1" w:rsidRDefault="007527C1" w:rsidP="000939BB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51165C">
        <w:t>25 July 2022</w:t>
      </w:r>
      <w:r w:rsidR="00F67B67" w:rsidRPr="007527C1">
        <w:t>.</w:t>
      </w:r>
    </w:p>
    <w:p w:rsidR="00F67B67" w:rsidRPr="00684C0E" w:rsidRDefault="00F67B67" w:rsidP="000939BB">
      <w:pPr>
        <w:pStyle w:val="LV1"/>
      </w:pPr>
      <w:bookmarkStart w:id="9" w:name="_Toc512513687"/>
      <w:r w:rsidRPr="00684C0E">
        <w:t>Authority</w:t>
      </w:r>
      <w:bookmarkEnd w:id="9"/>
    </w:p>
    <w:p w:rsidR="00F67B67" w:rsidRDefault="00F67B67" w:rsidP="000939BB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0E398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0939BB">
      <w:pPr>
        <w:pStyle w:val="LV1"/>
      </w:pPr>
      <w:bookmarkStart w:id="10" w:name="_Toc512513688"/>
      <w:r>
        <w:t>Re</w:t>
      </w:r>
      <w:r w:rsidR="008B09D0">
        <w:t>peal</w:t>
      </w:r>
      <w:bookmarkEnd w:id="10"/>
    </w:p>
    <w:p w:rsidR="007959B9" w:rsidRPr="007527C1" w:rsidRDefault="007959B9" w:rsidP="000939BB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51165C" w:rsidRPr="0051165C">
        <w:t>somatic symptom disorder</w:t>
      </w:r>
      <w:r w:rsidR="00171AC2">
        <w:t xml:space="preserve"> No. 25 of 2014</w:t>
      </w:r>
      <w:r w:rsidR="008B09D0">
        <w:t xml:space="preserve"> </w:t>
      </w:r>
      <w:r w:rsidR="008B09D0" w:rsidRPr="00786DAE">
        <w:t>(Federal Re</w:t>
      </w:r>
      <w:r w:rsidR="008F5177">
        <w:t>gister of Legislation No. F2014L00299</w:t>
      </w:r>
      <w:r w:rsidR="008B09D0" w:rsidRPr="00786DAE">
        <w:t xml:space="preserve">) </w:t>
      </w:r>
      <w:r w:rsidR="008B09D0" w:rsidRPr="00DA3996">
        <w:t>made under subsectio</w:t>
      </w:r>
      <w:r w:rsidR="008F5177">
        <w:t>n</w:t>
      </w:r>
      <w:r w:rsidR="008B09D0" w:rsidRPr="00DA3996">
        <w:t xml:space="preserve"> </w:t>
      </w:r>
      <w:proofErr w:type="gramStart"/>
      <w:r w:rsidR="008B09D0" w:rsidRPr="00DA3996">
        <w:t>196B(</w:t>
      </w:r>
      <w:proofErr w:type="gramEnd"/>
      <w:r w:rsidR="001D651B">
        <w:t>3</w:t>
      </w:r>
      <w:r w:rsidR="008F5177">
        <w:t xml:space="preserve">) </w:t>
      </w:r>
      <w:r w:rsidRPr="000B755A">
        <w:t xml:space="preserve">of the </w:t>
      </w:r>
      <w:r w:rsidRPr="007E3C68">
        <w:t>VEA</w:t>
      </w:r>
      <w:r w:rsidRPr="000B755A">
        <w:t xml:space="preserve"> is </w:t>
      </w:r>
      <w:r>
        <w:t>re</w:t>
      </w:r>
      <w:r w:rsidR="008B09D0">
        <w:t>pealed</w:t>
      </w:r>
      <w:r>
        <w:t>.</w:t>
      </w:r>
    </w:p>
    <w:p w:rsidR="007C7DEE" w:rsidRPr="00684C0E" w:rsidRDefault="007C7DEE" w:rsidP="000939BB">
      <w:pPr>
        <w:pStyle w:val="LV1"/>
      </w:pPr>
      <w:bookmarkStart w:id="11" w:name="_Toc512513689"/>
      <w:r w:rsidRPr="00684C0E">
        <w:t>Application</w:t>
      </w:r>
      <w:bookmarkEnd w:id="11"/>
    </w:p>
    <w:p w:rsidR="007C7DEE" w:rsidRPr="007527C1" w:rsidRDefault="007C7DEE" w:rsidP="000939BB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0939BB">
      <w:pPr>
        <w:pStyle w:val="LV1"/>
      </w:pPr>
      <w:bookmarkStart w:id="12" w:name="_Ref410129949"/>
      <w:bookmarkStart w:id="13" w:name="_Toc512513690"/>
      <w:r w:rsidRPr="00684C0E">
        <w:t>Definitions</w:t>
      </w:r>
      <w:bookmarkEnd w:id="12"/>
      <w:bookmarkEnd w:id="13"/>
    </w:p>
    <w:p w:rsidR="00237471" w:rsidRPr="00D5620B" w:rsidRDefault="007142FB" w:rsidP="000939BB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0939BB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512513691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0939BB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51165C" w:rsidRPr="0051165C">
        <w:t>somatic symptom disorder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51165C" w:rsidRPr="0051165C">
        <w:t>somatic symptom disorder</w:t>
      </w:r>
      <w:r w:rsidRPr="00D5620B">
        <w:t>.</w:t>
      </w:r>
      <w:bookmarkEnd w:id="18"/>
    </w:p>
    <w:p w:rsidR="00E2236D" w:rsidRPr="00C670B0" w:rsidRDefault="00E2236D" w:rsidP="00E2236D">
      <w:pPr>
        <w:pStyle w:val="LVtext"/>
      </w:pPr>
      <w:bookmarkStart w:id="19" w:name="_Ref402529683"/>
      <w:r w:rsidRPr="00C670B0">
        <w:t xml:space="preserve">Meaning of </w:t>
      </w:r>
      <w:r w:rsidR="0051165C" w:rsidRPr="0051165C">
        <w:rPr>
          <w:b/>
        </w:rPr>
        <w:t>somatic symptom disorder</w:t>
      </w:r>
    </w:p>
    <w:p w:rsidR="00E2236D" w:rsidRDefault="00E2236D" w:rsidP="00185AD0">
      <w:pPr>
        <w:pStyle w:val="LV2"/>
      </w:pPr>
      <w:r w:rsidRPr="00237BAF">
        <w:t>For the purposes of this Statement of Principles,</w:t>
      </w:r>
      <w:r w:rsidRPr="002F77A1">
        <w:t xml:space="preserve"> </w:t>
      </w:r>
      <w:r w:rsidR="0051165C" w:rsidRPr="0051165C">
        <w:t>somatic symptom disorder</w:t>
      </w:r>
      <w:r w:rsidR="00820BEF">
        <w:t xml:space="preserve"> </w:t>
      </w:r>
      <w:r>
        <w:t>means a disorder of mental health characterised by one or more</w:t>
      </w:r>
      <w:r w:rsidR="00820BEF">
        <w:t xml:space="preserve"> </w:t>
      </w:r>
      <w:r>
        <w:t>somatic symptoms which has been diagnosed by a psychiatrist and</w:t>
      </w:r>
      <w:r w:rsidR="00820BEF">
        <w:t xml:space="preserve"> </w:t>
      </w:r>
      <w:r>
        <w:t xml:space="preserve">which meets the following criteria (derived from DSM-5-TR): </w:t>
      </w:r>
    </w:p>
    <w:p w:rsidR="00820BEF" w:rsidRDefault="00820BEF" w:rsidP="00820BEF">
      <w:pPr>
        <w:pStyle w:val="LV3"/>
        <w:numPr>
          <w:ilvl w:val="2"/>
          <w:numId w:val="22"/>
        </w:numPr>
      </w:pPr>
      <w:r>
        <w:t xml:space="preserve">The symptom or symptoms are distressing or result in significant disruption of daily life; and </w:t>
      </w:r>
    </w:p>
    <w:p w:rsidR="00820BEF" w:rsidRDefault="00820BEF" w:rsidP="00820BEF">
      <w:pPr>
        <w:pStyle w:val="LV3"/>
        <w:numPr>
          <w:ilvl w:val="2"/>
          <w:numId w:val="22"/>
        </w:numPr>
      </w:pPr>
      <w:r>
        <w:t xml:space="preserve">Excessive thoughts, feelings, or behaviours related to the somatic symptoms or associated health concerns as manifested by at least 1 of the following: </w:t>
      </w:r>
    </w:p>
    <w:p w:rsidR="00820BEF" w:rsidRDefault="00820BEF" w:rsidP="00820BEF">
      <w:pPr>
        <w:pStyle w:val="LV4"/>
        <w:numPr>
          <w:ilvl w:val="3"/>
          <w:numId w:val="4"/>
        </w:numPr>
      </w:pPr>
      <w:r>
        <w:t>Disproportionate and persistent thoughts about the seriousness of one's symptoms;</w:t>
      </w:r>
    </w:p>
    <w:p w:rsidR="00820BEF" w:rsidRDefault="00820BEF" w:rsidP="00820BEF">
      <w:pPr>
        <w:pStyle w:val="LV4"/>
        <w:numPr>
          <w:ilvl w:val="3"/>
          <w:numId w:val="4"/>
        </w:numPr>
      </w:pPr>
      <w:r>
        <w:t xml:space="preserve">Persistently high level of anxiety about health or symptoms; or </w:t>
      </w:r>
    </w:p>
    <w:p w:rsidR="00820BEF" w:rsidRDefault="00820BEF" w:rsidP="00820BEF">
      <w:pPr>
        <w:pStyle w:val="LV4"/>
        <w:numPr>
          <w:ilvl w:val="3"/>
          <w:numId w:val="4"/>
        </w:numPr>
      </w:pPr>
      <w:r>
        <w:t xml:space="preserve">Excessive time and energy devoted to these symptoms or health concerns; and </w:t>
      </w:r>
    </w:p>
    <w:p w:rsidR="00820BEF" w:rsidRDefault="00820BEF" w:rsidP="00820BEF">
      <w:pPr>
        <w:pStyle w:val="LV3"/>
        <w:numPr>
          <w:ilvl w:val="2"/>
          <w:numId w:val="22"/>
        </w:numPr>
      </w:pPr>
      <w:r w:rsidRPr="00362621">
        <w:t>Altho</w:t>
      </w:r>
      <w:r>
        <w:t xml:space="preserve">ugh any one somatic symptom may not be continuously present, the state of being symptomatic has persisted for at least 6 months. </w:t>
      </w:r>
    </w:p>
    <w:p w:rsidR="00820BEF" w:rsidRPr="008E76DC" w:rsidRDefault="00820BEF" w:rsidP="00820BEF">
      <w:pPr>
        <w:pStyle w:val="NOTE"/>
      </w:pPr>
      <w:r>
        <w:t xml:space="preserve">Note: </w:t>
      </w:r>
      <w:r w:rsidRPr="0070655A">
        <w:rPr>
          <w:b/>
          <w:i/>
        </w:rPr>
        <w:t>DSM-5-TR</w:t>
      </w:r>
      <w:r>
        <w:t xml:space="preserve"> is defined in the Schedule 1 – Dictionary.</w:t>
      </w:r>
    </w:p>
    <w:bookmarkEnd w:id="19"/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51165C" w:rsidRPr="0051165C">
        <w:rPr>
          <w:b/>
        </w:rPr>
        <w:t>somatic symptom disorder</w:t>
      </w:r>
    </w:p>
    <w:p w:rsidR="008F572A" w:rsidRPr="00237BAF" w:rsidRDefault="008F572A" w:rsidP="000939BB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51165C" w:rsidRPr="0051165C">
        <w:t>somatic symptom disorder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0E3985">
        <w:t>'</w:t>
      </w:r>
      <w:r w:rsidRPr="00D5620B">
        <w:t>s</w:t>
      </w:r>
      <w:r w:rsidR="002F77A1">
        <w:t xml:space="preserve"> </w:t>
      </w:r>
      <w:r w:rsidR="0051165C" w:rsidRPr="0051165C">
        <w:t>somatic symptom disorder</w:t>
      </w:r>
      <w:r w:rsidRPr="00D5620B">
        <w:t>.</w:t>
      </w:r>
    </w:p>
    <w:p w:rsidR="007C7DEE" w:rsidRPr="00046E67" w:rsidRDefault="00046E67" w:rsidP="000939BB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9044B">
        <w:t>–</w:t>
      </w:r>
      <w:r w:rsidR="00D32F71">
        <w:t xml:space="preserve"> </w:t>
      </w:r>
      <w:r w:rsidR="00885EAB" w:rsidRPr="00046E67">
        <w:t>Dictionary</w:t>
      </w:r>
      <w:r w:rsidR="0059044B">
        <w:t>.</w:t>
      </w:r>
    </w:p>
    <w:p w:rsidR="007C7DEE" w:rsidRPr="00A20CA1" w:rsidRDefault="007C7DEE" w:rsidP="000939BB">
      <w:pPr>
        <w:pStyle w:val="LV1"/>
      </w:pPr>
      <w:bookmarkStart w:id="20" w:name="_Toc512513692"/>
      <w:r w:rsidRPr="00A20CA1">
        <w:t>Basis for determining the factors</w:t>
      </w:r>
      <w:bookmarkEnd w:id="20"/>
    </w:p>
    <w:p w:rsidR="007C7DEE" w:rsidRPr="00237BAF" w:rsidRDefault="007C7DEE" w:rsidP="000939BB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51165C" w:rsidRPr="0051165C">
        <w:t>somatic symptom disorder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51165C" w:rsidRPr="0051165C">
        <w:t>somatic symptom disorder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0939BB" w:rsidRPr="00046E67" w:rsidRDefault="000939BB" w:rsidP="000939BB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0939BB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12513693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:rsidR="007C7DEE" w:rsidRPr="00AA6D8B" w:rsidRDefault="002716E4" w:rsidP="000939BB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51165C" w:rsidRPr="0051165C">
        <w:t>somatic symptom disorder</w:t>
      </w:r>
      <w:r w:rsidR="007A3989">
        <w:t xml:space="preserve"> </w:t>
      </w:r>
      <w:r w:rsidR="007C7DEE" w:rsidRPr="00AA6D8B">
        <w:t xml:space="preserve">or death from </w:t>
      </w:r>
      <w:r w:rsidR="0051165C" w:rsidRPr="0051165C">
        <w:t>somatic symptom disorder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0E3985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:rsidR="003E6CFC" w:rsidRDefault="003E6CFC" w:rsidP="003E6CFC">
      <w:pPr>
        <w:pStyle w:val="LV2"/>
      </w:pPr>
      <w:bookmarkStart w:id="26" w:name="_Ref402530260"/>
      <w:bookmarkStart w:id="27" w:name="_Ref409598844"/>
      <w:r>
        <w:t xml:space="preserve">experiencing severe childhood abuse before the clinical onset of somatic symptom disorder; </w:t>
      </w:r>
    </w:p>
    <w:p w:rsidR="003E6CFC" w:rsidRDefault="003E6CFC" w:rsidP="003E6CFC">
      <w:pPr>
        <w:pStyle w:val="NOTE"/>
      </w:pPr>
      <w:r>
        <w:t xml:space="preserve">Note: </w:t>
      </w:r>
      <w:r w:rsidRPr="003E6CFC">
        <w:rPr>
          <w:b/>
          <w:i/>
        </w:rPr>
        <w:t>severe childhood abuse</w:t>
      </w:r>
      <w:r>
        <w:t xml:space="preserve"> is defined in the Schedule 1 – Dictionary.</w:t>
      </w:r>
    </w:p>
    <w:p w:rsidR="007C7DEE" w:rsidRPr="008D1B8B" w:rsidRDefault="007C7DEE" w:rsidP="000939BB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6"/>
      <w:r w:rsidR="007A3989">
        <w:t xml:space="preserve"> </w:t>
      </w:r>
      <w:r w:rsidR="0051165C" w:rsidRPr="0051165C">
        <w:t>somatic symptom disorder</w:t>
      </w:r>
      <w:r w:rsidR="00D5620B" w:rsidRPr="008D1B8B">
        <w:t>.</w:t>
      </w:r>
      <w:bookmarkEnd w:id="27"/>
    </w:p>
    <w:p w:rsidR="000C21A3" w:rsidRPr="00684C0E" w:rsidRDefault="00D32F71" w:rsidP="000939BB">
      <w:pPr>
        <w:pStyle w:val="LV1"/>
      </w:pPr>
      <w:bookmarkStart w:id="28" w:name="_Toc512513694"/>
      <w:bookmarkStart w:id="29" w:name="_Ref402530057"/>
      <w:r>
        <w:t>Relationship to s</w:t>
      </w:r>
      <w:r w:rsidR="000C21A3" w:rsidRPr="00684C0E">
        <w:t>ervice</w:t>
      </w:r>
      <w:bookmarkEnd w:id="28"/>
    </w:p>
    <w:p w:rsidR="00F03C06" w:rsidRPr="00187DE1" w:rsidRDefault="00F03C06" w:rsidP="000939BB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29"/>
    <w:p w:rsidR="00CF2367" w:rsidRPr="00187DE1" w:rsidRDefault="00F03C06" w:rsidP="000939BB">
      <w:pPr>
        <w:pStyle w:val="LV2"/>
      </w:pPr>
      <w:r w:rsidRPr="00187DE1">
        <w:t>The factor</w:t>
      </w:r>
      <w:r w:rsidR="00BF0EC1">
        <w:t xml:space="preserve"> </w:t>
      </w:r>
      <w:r w:rsidR="00FF1D47">
        <w:t>s</w:t>
      </w:r>
      <w:r w:rsidRPr="00187DE1">
        <w:t xml:space="preserve">et out in </w:t>
      </w:r>
      <w:r w:rsidR="00BF0EC1">
        <w:t>subsection 9(2)</w:t>
      </w:r>
      <w:r w:rsidR="00FF1D47">
        <w:t xml:space="preserve"> </w:t>
      </w:r>
      <w:r w:rsidRPr="00187DE1">
        <w:t>appl</w:t>
      </w:r>
      <w:r w:rsidR="00BF0EC1">
        <w:t>ies</w:t>
      </w:r>
      <w:r w:rsidRPr="00187DE1">
        <w:t xml:space="preserve"> only to material contribution to, or aggravation of, </w:t>
      </w:r>
      <w:r w:rsidR="0051165C" w:rsidRPr="0051165C">
        <w:t>somatic symptom disorder</w:t>
      </w:r>
      <w:r w:rsidR="007A3989">
        <w:t xml:space="preserve"> </w:t>
      </w:r>
      <w:r w:rsidRPr="00187DE1">
        <w:t>where the person</w:t>
      </w:r>
      <w:r w:rsidR="000E3985">
        <w:t>'</w:t>
      </w:r>
      <w:r w:rsidRPr="00187DE1">
        <w:t xml:space="preserve">s </w:t>
      </w:r>
      <w:r w:rsidR="0051165C" w:rsidRPr="0051165C">
        <w:t>somatic symptom disorder</w:t>
      </w:r>
      <w:r w:rsidR="007A3989">
        <w:t xml:space="preserve"> </w:t>
      </w:r>
      <w:r w:rsidRPr="00187DE1">
        <w:t>was suffered or contracted before or during (but did not arise out of) the person</w:t>
      </w:r>
      <w:r w:rsidR="000E3985">
        <w:t>'</w:t>
      </w:r>
      <w:r w:rsidRPr="00187DE1">
        <w:t xml:space="preserve">s relevant service. </w:t>
      </w:r>
    </w:p>
    <w:p w:rsidR="00774897" w:rsidRPr="00301C54" w:rsidRDefault="00774897" w:rsidP="000939BB">
      <w:pPr>
        <w:pStyle w:val="LV1"/>
      </w:pPr>
      <w:bookmarkStart w:id="30" w:name="_Toc512513695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:rsidR="00F03C06" w:rsidRPr="00E64EE4" w:rsidRDefault="00F03C06" w:rsidP="000939BB">
      <w:pPr>
        <w:pStyle w:val="PlainIndent"/>
      </w:pPr>
      <w:r w:rsidRPr="00E64EE4">
        <w:t>In this Statement of Principles:</w:t>
      </w:r>
    </w:p>
    <w:p w:rsidR="00F03C06" w:rsidRPr="00E64EE4" w:rsidRDefault="00F03C06" w:rsidP="000939BB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0939BB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0939BB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0939BB">
      <w:pPr>
        <w:pStyle w:val="PlainIndent"/>
      </w:pPr>
    </w:p>
    <w:p w:rsidR="00081B7C" w:rsidRPr="00FA33FB" w:rsidRDefault="00081B7C" w:rsidP="000939BB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0939BB">
      <w:pPr>
        <w:pStyle w:val="PlainIndent"/>
      </w:pPr>
    </w:p>
    <w:p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12513696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4" w:name="_Toc405472918"/>
      <w:bookmarkStart w:id="35" w:name="_Toc512513697"/>
      <w:r w:rsidRPr="00D97BB3">
        <w:t>Definitions</w:t>
      </w:r>
      <w:bookmarkEnd w:id="34"/>
      <w:bookmarkEnd w:id="35"/>
    </w:p>
    <w:p w:rsidR="00702C42" w:rsidRPr="00516768" w:rsidRDefault="00702C42" w:rsidP="000939BB">
      <w:pPr>
        <w:pStyle w:val="SH2"/>
      </w:pPr>
      <w:r w:rsidRPr="00516768">
        <w:t>In this instrument:</w:t>
      </w:r>
    </w:p>
    <w:p w:rsidR="00995FC5" w:rsidRPr="007B52F6" w:rsidRDefault="00995FC5" w:rsidP="00995FC5">
      <w:pPr>
        <w:pStyle w:val="SH3"/>
      </w:pPr>
      <w:bookmarkStart w:id="36" w:name="_Ref402530810"/>
      <w:r w:rsidRPr="0070655A">
        <w:rPr>
          <w:b/>
          <w:i/>
        </w:rPr>
        <w:t>DSM-5-TR</w:t>
      </w:r>
      <w:r w:rsidRPr="0070655A">
        <w:t xml:space="preserve"> means the American Psychiatric Association: Diagnostic and Statistical Manual of Mental Disorders, Fifth Edition, Text Revision. Washington, DC, American Psychiatric Association, 2022.</w:t>
      </w:r>
      <w:r w:rsidRPr="007B52F6">
        <w:tab/>
      </w:r>
    </w:p>
    <w:p w:rsidR="00885EAB" w:rsidRPr="009C404D" w:rsidRDefault="00885EAB" w:rsidP="00CC6FF1">
      <w:pPr>
        <w:pStyle w:val="SH3"/>
      </w:pPr>
      <w:r w:rsidRPr="00CC6FF1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3F2E37">
        <w:rPr>
          <w:i/>
        </w:rPr>
        <w:t>Military Rehabilitation and Compensation Act 2004</w:t>
      </w:r>
      <w:r w:rsidRPr="009C404D">
        <w:t>.</w:t>
      </w:r>
    </w:p>
    <w:bookmarkEnd w:id="36"/>
    <w:p w:rsidR="00885EAB" w:rsidRPr="009C404D" w:rsidRDefault="00054930" w:rsidP="00CC6FF1">
      <w:pPr>
        <w:pStyle w:val="SH3"/>
      </w:pPr>
      <w:r w:rsidRPr="00E62F08">
        <w:rPr>
          <w:b/>
          <w:i/>
        </w:rPr>
        <w:t>r</w:t>
      </w:r>
      <w:r w:rsidR="00885EAB" w:rsidRPr="00E62F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7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274FF9" w:rsidRPr="00274FF9" w:rsidRDefault="00274FF9" w:rsidP="000939BB">
      <w:pPr>
        <w:pStyle w:val="ScheduleNote"/>
      </w:pPr>
      <w:r w:rsidRPr="00274FF9">
        <w:t xml:space="preserve">Note: </w:t>
      </w:r>
      <w:r w:rsidRPr="00274FF9">
        <w:rPr>
          <w:b/>
          <w:i/>
        </w:rPr>
        <w:t>MRCA</w:t>
      </w:r>
      <w:r w:rsidRPr="00274FF9">
        <w:t xml:space="preserve"> and </w:t>
      </w:r>
      <w:r w:rsidRPr="00274FF9">
        <w:rPr>
          <w:b/>
          <w:i/>
        </w:rPr>
        <w:t>VEA</w:t>
      </w:r>
      <w:r w:rsidRPr="00274FF9">
        <w:t xml:space="preserve"> are also defined in the Schedule 1 - Dictionary.</w:t>
      </w:r>
    </w:p>
    <w:p w:rsidR="003E6CFC" w:rsidRDefault="003E6CFC" w:rsidP="003E6CFC">
      <w:pPr>
        <w:pStyle w:val="SH3"/>
      </w:pPr>
      <w:r w:rsidRPr="003E6CFC">
        <w:rPr>
          <w:b/>
          <w:i/>
        </w:rPr>
        <w:t>severe childhood abuse</w:t>
      </w:r>
      <w:r>
        <w:t xml:space="preserve"> means:</w:t>
      </w:r>
    </w:p>
    <w:p w:rsidR="003E6CFC" w:rsidRDefault="003E6CFC" w:rsidP="003E6CFC">
      <w:pPr>
        <w:pStyle w:val="SH4"/>
      </w:pPr>
      <w:r>
        <w:t xml:space="preserve">serious physical, emotional, psychological or sexual harm whilst a child aged under 16 years; or </w:t>
      </w:r>
    </w:p>
    <w:p w:rsidR="003E6CFC" w:rsidRDefault="003E6CFC" w:rsidP="003E6CFC">
      <w:pPr>
        <w:pStyle w:val="SH4"/>
      </w:pPr>
      <w:r>
        <w:t xml:space="preserve">neglect involving a serious failure to provide the necessities for health, physical and emotional development, or wellbeing whilst a child aged under 16 years; </w:t>
      </w:r>
    </w:p>
    <w:p w:rsidR="003E6CFC" w:rsidRDefault="003E6CFC" w:rsidP="003E6CFC">
      <w:pPr>
        <w:pStyle w:val="SH3"/>
      </w:pPr>
      <w:proofErr w:type="gramStart"/>
      <w:r>
        <w:t>where</w:t>
      </w:r>
      <w:proofErr w:type="gramEnd"/>
      <w:r>
        <w:t xml:space="preserve"> such serious harm or neglect has been perpetrated by a parent, a care provider, an adult who works with or around that child, or any other adult in contact with that child.</w:t>
      </w:r>
    </w:p>
    <w:p w:rsidR="00885EAB" w:rsidRPr="00513D05" w:rsidRDefault="0051165C" w:rsidP="00CC6FF1">
      <w:pPr>
        <w:pStyle w:val="SH3"/>
      </w:pPr>
      <w:proofErr w:type="gramStart"/>
      <w:r w:rsidRPr="0051165C">
        <w:rPr>
          <w:b/>
          <w:i/>
        </w:rPr>
        <w:t>somatic</w:t>
      </w:r>
      <w:proofErr w:type="gramEnd"/>
      <w:r w:rsidRPr="0051165C">
        <w:rPr>
          <w:b/>
          <w:i/>
        </w:rPr>
        <w:t xml:space="preserve"> symptom disorder</w:t>
      </w:r>
      <w:r w:rsidR="00DF6D11" w:rsidRPr="00513D05">
        <w:t>—see subsection</w:t>
      </w:r>
      <w:r w:rsidR="009056AF">
        <w:t xml:space="preserve"> </w:t>
      </w:r>
      <w:r w:rsidR="007959B9">
        <w:t>7</w:t>
      </w:r>
      <w:r w:rsidR="009056AF">
        <w:t>(2)</w:t>
      </w:r>
      <w:r w:rsidR="00051B75">
        <w:t>.</w:t>
      </w:r>
    </w:p>
    <w:p w:rsidR="00885EAB" w:rsidRPr="009C404D" w:rsidRDefault="00054930" w:rsidP="00CC6FF1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CC6FF1">
      <w:pPr>
        <w:pStyle w:val="SH3"/>
      </w:pPr>
      <w:r w:rsidRPr="00CC6FF1">
        <w:rPr>
          <w:b/>
          <w:i/>
        </w:rPr>
        <w:t>VEA</w:t>
      </w:r>
      <w:r w:rsidRPr="0019084F">
        <w:t xml:space="preserve"> means the </w:t>
      </w:r>
      <w:r w:rsidRPr="003F2E37">
        <w:rPr>
          <w:i/>
        </w:rPr>
        <w:t>Veterans</w:t>
      </w:r>
      <w:r w:rsidR="004E59D1" w:rsidRPr="003F2E37">
        <w:rPr>
          <w:i/>
        </w:rPr>
        <w:t>'</w:t>
      </w:r>
      <w:r w:rsidRPr="003F2E37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B63" w:rsidRPr="00E33C1C" w:rsidRDefault="00394B63" w:rsidP="00394B6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394B6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94B63" w:rsidRPr="00C01863" w:rsidRDefault="00394B63" w:rsidP="00394B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94B63" w:rsidRDefault="00394B63" w:rsidP="00394B63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394B63" w:rsidRDefault="0051165C" w:rsidP="00394B63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51165C">
            <w:rPr>
              <w:i/>
              <w:sz w:val="18"/>
              <w:szCs w:val="18"/>
            </w:rPr>
            <w:t>Somatic Symptom Disorder</w:t>
          </w:r>
          <w:r w:rsidR="00394B63">
            <w:rPr>
              <w:i/>
              <w:sz w:val="18"/>
              <w:szCs w:val="18"/>
            </w:rPr>
            <w:t xml:space="preserve"> (Balance of Probabilities) </w:t>
          </w:r>
          <w:r w:rsidR="00394B63" w:rsidRPr="007C5CE0">
            <w:rPr>
              <w:i/>
              <w:sz w:val="18"/>
            </w:rPr>
            <w:t xml:space="preserve">(No. </w:t>
          </w:r>
          <w:r w:rsidRPr="0051165C">
            <w:rPr>
              <w:i/>
              <w:sz w:val="18"/>
              <w:szCs w:val="18"/>
            </w:rPr>
            <w:t>65</w:t>
          </w:r>
          <w:r w:rsidR="00394B63" w:rsidRPr="007C5CE0">
            <w:rPr>
              <w:i/>
              <w:sz w:val="18"/>
              <w:szCs w:val="18"/>
            </w:rPr>
            <w:t xml:space="preserve"> of </w:t>
          </w:r>
          <w:r w:rsidRPr="0051165C">
            <w:rPr>
              <w:i/>
              <w:sz w:val="18"/>
              <w:szCs w:val="18"/>
            </w:rPr>
            <w:t>2022</w:t>
          </w:r>
          <w:r w:rsidR="00394B63" w:rsidRPr="007C5CE0">
            <w:rPr>
              <w:i/>
              <w:sz w:val="18"/>
              <w:szCs w:val="18"/>
            </w:rPr>
            <w:t>)</w:t>
          </w:r>
        </w:p>
        <w:p w:rsidR="00394B63" w:rsidRPr="007C5CE0" w:rsidRDefault="00394B63" w:rsidP="00394B6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94B63" w:rsidRPr="00C01863" w:rsidRDefault="00394B63" w:rsidP="00394B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A1039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A1039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394B63" w:rsidRPr="00035BD7" w:rsidRDefault="00394B63" w:rsidP="00394B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B63" w:rsidRPr="00E33C1C" w:rsidRDefault="00394B63" w:rsidP="00394B6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394B6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94B63" w:rsidRPr="00C01863" w:rsidRDefault="00394B63" w:rsidP="00394B6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94B63" w:rsidRDefault="00394B63" w:rsidP="00394B63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394B63" w:rsidRDefault="0051165C" w:rsidP="00394B63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51165C">
            <w:rPr>
              <w:i/>
              <w:sz w:val="18"/>
              <w:szCs w:val="18"/>
            </w:rPr>
            <w:t>Somatic Symptom Disorder</w:t>
          </w:r>
          <w:r w:rsidR="00394B63">
            <w:rPr>
              <w:i/>
              <w:sz w:val="18"/>
              <w:szCs w:val="18"/>
            </w:rPr>
            <w:t xml:space="preserve"> (Balance of Probabilities) </w:t>
          </w:r>
          <w:r w:rsidR="00394B63" w:rsidRPr="007C5CE0">
            <w:rPr>
              <w:i/>
              <w:sz w:val="18"/>
            </w:rPr>
            <w:t xml:space="preserve">(No. </w:t>
          </w:r>
          <w:r w:rsidRPr="0051165C">
            <w:rPr>
              <w:i/>
              <w:sz w:val="18"/>
              <w:szCs w:val="18"/>
            </w:rPr>
            <w:t>65</w:t>
          </w:r>
          <w:r w:rsidR="00394B63" w:rsidRPr="007C5CE0">
            <w:rPr>
              <w:i/>
              <w:sz w:val="18"/>
              <w:szCs w:val="18"/>
            </w:rPr>
            <w:t xml:space="preserve"> of </w:t>
          </w:r>
          <w:r w:rsidRPr="0051165C">
            <w:rPr>
              <w:i/>
              <w:sz w:val="18"/>
              <w:szCs w:val="18"/>
            </w:rPr>
            <w:t>2022</w:t>
          </w:r>
          <w:r w:rsidR="00394B63" w:rsidRPr="007C5CE0">
            <w:rPr>
              <w:i/>
              <w:sz w:val="18"/>
              <w:szCs w:val="18"/>
            </w:rPr>
            <w:t>)</w:t>
          </w:r>
        </w:p>
        <w:p w:rsidR="00394B63" w:rsidRPr="007C5CE0" w:rsidRDefault="00394B63" w:rsidP="00394B6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94B63" w:rsidRPr="00C01863" w:rsidRDefault="00394B63" w:rsidP="00394B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2A1039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2A1039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:rsidR="00394B63" w:rsidRPr="00035BD7" w:rsidRDefault="00394B63" w:rsidP="00394B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418CA" w:rsidRDefault="00885EAB" w:rsidP="009418C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394B63" w:rsidRDefault="00885EAB" w:rsidP="00394B6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394B63" w:rsidRDefault="00885EAB" w:rsidP="00394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B63" w:rsidRPr="00815E88" w:rsidRDefault="00394B63" w:rsidP="00815E88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394B63" w:rsidRDefault="00885EAB" w:rsidP="00394B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B63" w:rsidRDefault="00394B63" w:rsidP="00394B63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394B63" w:rsidRDefault="00394B63" w:rsidP="00394B63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394B63" w:rsidRDefault="00885EAB" w:rsidP="00394B6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394B63" w:rsidRDefault="00885EAB" w:rsidP="00394B63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3482EEC6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D2D0D5E"/>
    <w:multiLevelType w:val="multilevel"/>
    <w:tmpl w:val="79BC99A4"/>
    <w:lvl w:ilvl="0">
      <w:start w:val="1"/>
      <w:numFmt w:val="decimal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upperLetter"/>
      <w:lvlText w:val="%3.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3" w15:restartNumberingAfterBreak="0">
    <w:nsid w:val="25FE3013"/>
    <w:multiLevelType w:val="hybridMultilevel"/>
    <w:tmpl w:val="10944F2E"/>
    <w:lvl w:ilvl="0" w:tplc="7ED65226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31CF0228"/>
    <w:multiLevelType w:val="multilevel"/>
    <w:tmpl w:val="7DB289B6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0"/>
  </w:num>
  <w:num w:numId="5">
    <w:abstractNumId w:val="15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2F22"/>
    <w:rsid w:val="00004470"/>
    <w:rsid w:val="000136AF"/>
    <w:rsid w:val="0001587D"/>
    <w:rsid w:val="0001698E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77DBF"/>
    <w:rsid w:val="00080915"/>
    <w:rsid w:val="00081B7C"/>
    <w:rsid w:val="00085567"/>
    <w:rsid w:val="0008674F"/>
    <w:rsid w:val="000939BB"/>
    <w:rsid w:val="00097FDF"/>
    <w:rsid w:val="000B1350"/>
    <w:rsid w:val="000B58FA"/>
    <w:rsid w:val="000C0425"/>
    <w:rsid w:val="000C21A3"/>
    <w:rsid w:val="000C5D77"/>
    <w:rsid w:val="000C664A"/>
    <w:rsid w:val="000C6D96"/>
    <w:rsid w:val="000D05EF"/>
    <w:rsid w:val="000D4D03"/>
    <w:rsid w:val="000E2261"/>
    <w:rsid w:val="000E3985"/>
    <w:rsid w:val="000E4183"/>
    <w:rsid w:val="000F21C1"/>
    <w:rsid w:val="000F76FA"/>
    <w:rsid w:val="00101F89"/>
    <w:rsid w:val="001058EA"/>
    <w:rsid w:val="0010745C"/>
    <w:rsid w:val="00132CEB"/>
    <w:rsid w:val="001345D4"/>
    <w:rsid w:val="00137FE9"/>
    <w:rsid w:val="00142B62"/>
    <w:rsid w:val="00147CEB"/>
    <w:rsid w:val="0015201F"/>
    <w:rsid w:val="00157B8B"/>
    <w:rsid w:val="00160E32"/>
    <w:rsid w:val="00161A8E"/>
    <w:rsid w:val="001648F7"/>
    <w:rsid w:val="00166C2F"/>
    <w:rsid w:val="00171AC2"/>
    <w:rsid w:val="001809D7"/>
    <w:rsid w:val="001833C8"/>
    <w:rsid w:val="00185AD0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51B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57530"/>
    <w:rsid w:val="002650E6"/>
    <w:rsid w:val="0026736C"/>
    <w:rsid w:val="002716E4"/>
    <w:rsid w:val="002717B2"/>
    <w:rsid w:val="00274FF9"/>
    <w:rsid w:val="002773D7"/>
    <w:rsid w:val="00281308"/>
    <w:rsid w:val="00281DF7"/>
    <w:rsid w:val="00284719"/>
    <w:rsid w:val="00297ECB"/>
    <w:rsid w:val="002A1039"/>
    <w:rsid w:val="002A1ECC"/>
    <w:rsid w:val="002A3436"/>
    <w:rsid w:val="002A7BCF"/>
    <w:rsid w:val="002B45FA"/>
    <w:rsid w:val="002B5188"/>
    <w:rsid w:val="002C7539"/>
    <w:rsid w:val="002D043A"/>
    <w:rsid w:val="002D142B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94B63"/>
    <w:rsid w:val="003A189F"/>
    <w:rsid w:val="003A2FFE"/>
    <w:rsid w:val="003A5C26"/>
    <w:rsid w:val="003B3E42"/>
    <w:rsid w:val="003C230C"/>
    <w:rsid w:val="003C4C02"/>
    <w:rsid w:val="003C6231"/>
    <w:rsid w:val="003D0BFE"/>
    <w:rsid w:val="003D5700"/>
    <w:rsid w:val="003E341B"/>
    <w:rsid w:val="003E6CFC"/>
    <w:rsid w:val="003F2E37"/>
    <w:rsid w:val="003F39C0"/>
    <w:rsid w:val="003F4535"/>
    <w:rsid w:val="00402930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165C"/>
    <w:rsid w:val="00513D05"/>
    <w:rsid w:val="00516768"/>
    <w:rsid w:val="00516B8D"/>
    <w:rsid w:val="005226B5"/>
    <w:rsid w:val="005268CF"/>
    <w:rsid w:val="0053697E"/>
    <w:rsid w:val="00537370"/>
    <w:rsid w:val="00537FBC"/>
    <w:rsid w:val="00545116"/>
    <w:rsid w:val="005574D1"/>
    <w:rsid w:val="00564877"/>
    <w:rsid w:val="00571FBB"/>
    <w:rsid w:val="005758CA"/>
    <w:rsid w:val="00575A90"/>
    <w:rsid w:val="00584811"/>
    <w:rsid w:val="00585784"/>
    <w:rsid w:val="0059044B"/>
    <w:rsid w:val="00593AA6"/>
    <w:rsid w:val="00594161"/>
    <w:rsid w:val="00594749"/>
    <w:rsid w:val="005A290E"/>
    <w:rsid w:val="005B05D3"/>
    <w:rsid w:val="005B0883"/>
    <w:rsid w:val="005B4067"/>
    <w:rsid w:val="005C2CFA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0A9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449C5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128BF"/>
    <w:rsid w:val="00815E88"/>
    <w:rsid w:val="00820BEF"/>
    <w:rsid w:val="00824498"/>
    <w:rsid w:val="008321ED"/>
    <w:rsid w:val="00832C32"/>
    <w:rsid w:val="0083517B"/>
    <w:rsid w:val="00836587"/>
    <w:rsid w:val="00842EA3"/>
    <w:rsid w:val="00850A63"/>
    <w:rsid w:val="0085384C"/>
    <w:rsid w:val="00854525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09D0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177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18CA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5FC5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812CA"/>
    <w:rsid w:val="00A931D7"/>
    <w:rsid w:val="00AA64D6"/>
    <w:rsid w:val="00AA6D8B"/>
    <w:rsid w:val="00AD2DC7"/>
    <w:rsid w:val="00AD5641"/>
    <w:rsid w:val="00AD7889"/>
    <w:rsid w:val="00AD7AC2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0EC1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6500"/>
    <w:rsid w:val="00CC6FF1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6253E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16EC1"/>
    <w:rsid w:val="00E2236D"/>
    <w:rsid w:val="00E3270E"/>
    <w:rsid w:val="00E338EF"/>
    <w:rsid w:val="00E35C4E"/>
    <w:rsid w:val="00E544BB"/>
    <w:rsid w:val="00E55F66"/>
    <w:rsid w:val="00E62F08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6A70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0939BB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0939BB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0939BB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820BE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CC6FF1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CC6FF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0939BB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0939BB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0939BB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0939BB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0939BB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0939BB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0939BB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0939BB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1024</Words>
  <Characters>5839</Characters>
  <Application>Microsoft Office Word</Application>
  <DocSecurity>0</DocSecurity>
  <PresentationFormat/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2022-06-15T02:26:00Z</dcterms:created>
  <dcterms:modified xsi:type="dcterms:W3CDTF">2022-06-27T23:27:00Z</dcterms:modified>
  <cp:category/>
  <cp:contentStatus/>
  <dc:language/>
  <cp:version/>
</cp:coreProperties>
</file>