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1A22AF" w:rsidP="000D4972">
      <w:pPr>
        <w:pStyle w:val="Plainheader"/>
      </w:pPr>
      <w:bookmarkStart w:id="0" w:name="SoP_Name_Title"/>
      <w:r>
        <w:t>ROTATOR CUFF SYNDROME</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912730">
        <w:t>110</w:t>
      </w:r>
      <w:bookmarkEnd w:id="1"/>
      <w:r w:rsidRPr="00024911">
        <w:t xml:space="preserve"> of</w:t>
      </w:r>
      <w:r w:rsidR="00085567">
        <w:t xml:space="preserve"> </w:t>
      </w:r>
      <w:bookmarkStart w:id="2" w:name="year"/>
      <w:r w:rsidR="001A22AF">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626B60">
        <w:t>21</w:t>
      </w:r>
      <w:r w:rsidR="00912730">
        <w:t xml:space="preserve"> October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26B6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26B60">
        <w:rPr>
          <w:noProof/>
        </w:rPr>
        <w:t>1</w:t>
      </w:r>
      <w:r w:rsidR="00626B60">
        <w:rPr>
          <w:rFonts w:asciiTheme="minorHAnsi" w:eastAsiaTheme="minorEastAsia" w:hAnsiTheme="minorHAnsi" w:cstheme="minorBidi"/>
          <w:noProof/>
          <w:kern w:val="0"/>
          <w:sz w:val="22"/>
          <w:szCs w:val="22"/>
        </w:rPr>
        <w:tab/>
      </w:r>
      <w:r w:rsidR="00626B60">
        <w:rPr>
          <w:noProof/>
        </w:rPr>
        <w:t>Name</w:t>
      </w:r>
      <w:r w:rsidR="00626B60">
        <w:rPr>
          <w:noProof/>
        </w:rPr>
        <w:tab/>
      </w:r>
      <w:r w:rsidR="00626B60">
        <w:rPr>
          <w:noProof/>
        </w:rPr>
        <w:fldChar w:fldCharType="begin"/>
      </w:r>
      <w:r w:rsidR="00626B60">
        <w:rPr>
          <w:noProof/>
        </w:rPr>
        <w:instrText xml:space="preserve"> PAGEREF _Toc116548238 \h </w:instrText>
      </w:r>
      <w:r w:rsidR="00626B60">
        <w:rPr>
          <w:noProof/>
        </w:rPr>
      </w:r>
      <w:r w:rsidR="00626B60">
        <w:rPr>
          <w:noProof/>
        </w:rPr>
        <w:fldChar w:fldCharType="separate"/>
      </w:r>
      <w:r w:rsidR="00626B60">
        <w:rPr>
          <w:noProof/>
        </w:rPr>
        <w:t>3</w:t>
      </w:r>
      <w:r w:rsidR="00626B60">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_Toc116548239 \h </w:instrText>
      </w:r>
      <w:r>
        <w:rPr>
          <w:noProof/>
        </w:rPr>
      </w:r>
      <w:r>
        <w:rPr>
          <w:noProof/>
        </w:rPr>
        <w:fldChar w:fldCharType="separate"/>
      </w:r>
      <w:r>
        <w:rPr>
          <w:noProof/>
        </w:rPr>
        <w:t>3</w:t>
      </w:r>
      <w:r>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_Toc116548240 \h </w:instrText>
      </w:r>
      <w:r>
        <w:rPr>
          <w:noProof/>
        </w:rPr>
      </w:r>
      <w:r>
        <w:rPr>
          <w:noProof/>
        </w:rPr>
        <w:fldChar w:fldCharType="separate"/>
      </w:r>
      <w:r>
        <w:rPr>
          <w:noProof/>
        </w:rPr>
        <w:t>3</w:t>
      </w:r>
      <w:r>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_Toc116548241 \h </w:instrText>
      </w:r>
      <w:r>
        <w:rPr>
          <w:noProof/>
        </w:rPr>
      </w:r>
      <w:r>
        <w:rPr>
          <w:noProof/>
        </w:rPr>
        <w:fldChar w:fldCharType="separate"/>
      </w:r>
      <w:r>
        <w:rPr>
          <w:noProof/>
        </w:rPr>
        <w:t>3</w:t>
      </w:r>
      <w:r>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_Toc116548242 \h </w:instrText>
      </w:r>
      <w:r>
        <w:rPr>
          <w:noProof/>
        </w:rPr>
      </w:r>
      <w:r>
        <w:rPr>
          <w:noProof/>
        </w:rPr>
        <w:fldChar w:fldCharType="separate"/>
      </w:r>
      <w:r>
        <w:rPr>
          <w:noProof/>
        </w:rPr>
        <w:t>3</w:t>
      </w:r>
      <w:r>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_Toc116548243 \h </w:instrText>
      </w:r>
      <w:r>
        <w:rPr>
          <w:noProof/>
        </w:rPr>
      </w:r>
      <w:r>
        <w:rPr>
          <w:noProof/>
        </w:rPr>
        <w:fldChar w:fldCharType="separate"/>
      </w:r>
      <w:r>
        <w:rPr>
          <w:noProof/>
        </w:rPr>
        <w:t>3</w:t>
      </w:r>
      <w:r>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_Toc116548244 \h </w:instrText>
      </w:r>
      <w:r>
        <w:rPr>
          <w:noProof/>
        </w:rPr>
      </w:r>
      <w:r>
        <w:rPr>
          <w:noProof/>
        </w:rPr>
        <w:fldChar w:fldCharType="separate"/>
      </w:r>
      <w:r>
        <w:rPr>
          <w:noProof/>
        </w:rPr>
        <w:t>3</w:t>
      </w:r>
      <w:r>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_Toc116548245 \h </w:instrText>
      </w:r>
      <w:r>
        <w:rPr>
          <w:noProof/>
        </w:rPr>
      </w:r>
      <w:r>
        <w:rPr>
          <w:noProof/>
        </w:rPr>
        <w:fldChar w:fldCharType="separate"/>
      </w:r>
      <w:r>
        <w:rPr>
          <w:noProof/>
        </w:rPr>
        <w:t>4</w:t>
      </w:r>
      <w:r>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_Toc116548246 \h </w:instrText>
      </w:r>
      <w:r>
        <w:rPr>
          <w:noProof/>
        </w:rPr>
      </w:r>
      <w:r>
        <w:rPr>
          <w:noProof/>
        </w:rPr>
        <w:fldChar w:fldCharType="separate"/>
      </w:r>
      <w:r>
        <w:rPr>
          <w:noProof/>
        </w:rPr>
        <w:t>4</w:t>
      </w:r>
      <w:r>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_Toc116548247 \h </w:instrText>
      </w:r>
      <w:r>
        <w:rPr>
          <w:noProof/>
        </w:rPr>
      </w:r>
      <w:r>
        <w:rPr>
          <w:noProof/>
        </w:rPr>
        <w:fldChar w:fldCharType="separate"/>
      </w:r>
      <w:r>
        <w:rPr>
          <w:noProof/>
        </w:rPr>
        <w:t>8</w:t>
      </w:r>
      <w:r>
        <w:rPr>
          <w:noProof/>
        </w:rPr>
        <w:fldChar w:fldCharType="end"/>
      </w:r>
    </w:p>
    <w:p w:rsidR="00626B60" w:rsidRDefault="00626B6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_Toc116548248 \h </w:instrText>
      </w:r>
      <w:r>
        <w:rPr>
          <w:noProof/>
        </w:rPr>
      </w:r>
      <w:r>
        <w:rPr>
          <w:noProof/>
        </w:rPr>
        <w:fldChar w:fldCharType="separate"/>
      </w:r>
      <w:r>
        <w:rPr>
          <w:noProof/>
        </w:rPr>
        <w:t>8</w:t>
      </w:r>
      <w:r>
        <w:rPr>
          <w:noProof/>
        </w:rPr>
        <w:fldChar w:fldCharType="end"/>
      </w:r>
    </w:p>
    <w:p w:rsidR="00626B60" w:rsidRDefault="00626B6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_Toc116548249 \h </w:instrText>
      </w:r>
      <w:r>
        <w:rPr>
          <w:noProof/>
        </w:rPr>
      </w:r>
      <w:r>
        <w:rPr>
          <w:noProof/>
        </w:rPr>
        <w:fldChar w:fldCharType="separate"/>
      </w:r>
      <w:r>
        <w:rPr>
          <w:noProof/>
        </w:rPr>
        <w:t>9</w:t>
      </w:r>
      <w:r>
        <w:rPr>
          <w:noProof/>
        </w:rPr>
        <w:fldChar w:fldCharType="end"/>
      </w:r>
    </w:p>
    <w:p w:rsidR="00626B60" w:rsidRDefault="002A3436" w:rsidP="00626B60">
      <w:pPr>
        <w:pStyle w:val="TOC1"/>
        <w:tabs>
          <w:tab w:val="left" w:pos="1134"/>
        </w:tabs>
        <w:rPr>
          <w:rFonts w:asciiTheme="minorHAnsi" w:eastAsiaTheme="minorEastAsia" w:hAnsiTheme="minorHAnsi" w:cstheme="minorBidi"/>
          <w:noProof/>
          <w:kern w:val="0"/>
          <w:sz w:val="22"/>
          <w:szCs w:val="22"/>
        </w:rPr>
      </w:pPr>
      <w:r>
        <w:rPr>
          <w:b/>
          <w:sz w:val="18"/>
        </w:rPr>
        <w:fldChar w:fldCharType="end"/>
      </w:r>
      <w:r w:rsidR="00626B60">
        <w:rPr>
          <w:noProof/>
        </w:rPr>
        <w:t>1</w:t>
      </w:r>
      <w:r w:rsidR="00626B60">
        <w:rPr>
          <w:rFonts w:asciiTheme="minorHAnsi" w:eastAsiaTheme="minorEastAsia" w:hAnsiTheme="minorHAnsi" w:cstheme="minorBidi"/>
          <w:noProof/>
          <w:kern w:val="0"/>
          <w:sz w:val="22"/>
          <w:szCs w:val="22"/>
        </w:rPr>
        <w:tab/>
      </w:r>
      <w:r w:rsidR="00626B60">
        <w:rPr>
          <w:noProof/>
        </w:rPr>
        <w:t>Definitions</w:t>
      </w:r>
      <w:r w:rsidR="00626B60">
        <w:rPr>
          <w:noProof/>
        </w:rPr>
        <w:tab/>
        <w:t>9</w:t>
      </w:r>
    </w:p>
    <w:p w:rsidR="003A2FFE" w:rsidRDefault="003A2FFE" w:rsidP="00715914"/>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116548238"/>
      <w:r>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A22AF">
        <w:rPr>
          <w:i/>
        </w:rPr>
        <w:t>rotator cuff syndrome</w:t>
      </w:r>
      <w:bookmarkEnd w:id="6"/>
      <w:r w:rsidR="00E55F66" w:rsidRPr="00F97A62">
        <w:t xml:space="preserve"> </w:t>
      </w:r>
      <w:r w:rsidR="00997416">
        <w:rPr>
          <w:i/>
        </w:rPr>
        <w:t xml:space="preserve">(Balance of Probabilities) </w:t>
      </w:r>
      <w:r w:rsidR="00E55F66" w:rsidRPr="00F97A62">
        <w:t xml:space="preserve">(No. </w:t>
      </w:r>
      <w:r w:rsidR="00912730">
        <w:t>110</w:t>
      </w:r>
      <w:r w:rsidR="00085567">
        <w:t xml:space="preserve"> </w:t>
      </w:r>
      <w:r w:rsidR="00E55F66" w:rsidRPr="00F97A62">
        <w:t>of</w:t>
      </w:r>
      <w:r w:rsidR="00085567">
        <w:t xml:space="preserve"> </w:t>
      </w:r>
      <w:r w:rsidR="00912730">
        <w:t>2022</w:t>
      </w:r>
      <w:r w:rsidR="00E55F66" w:rsidRPr="00F97A62">
        <w:t>)</w:t>
      </w:r>
      <w:r w:rsidRPr="00F97A62">
        <w:t>.</w:t>
      </w:r>
    </w:p>
    <w:p w:rsidR="00F67B67" w:rsidRPr="00684C0E" w:rsidRDefault="00F67B67" w:rsidP="00C96667">
      <w:pPr>
        <w:pStyle w:val="LV1"/>
      </w:pPr>
      <w:bookmarkStart w:id="7" w:name="_Toc116548239"/>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912730" w:rsidRPr="00912730">
        <w:t>2</w:t>
      </w:r>
      <w:r w:rsidR="00626B60">
        <w:t>1</w:t>
      </w:r>
      <w:r w:rsidR="00912730" w:rsidRPr="00912730">
        <w:t xml:space="preserve"> November 2022</w:t>
      </w:r>
      <w:r w:rsidR="00F67B67" w:rsidRPr="007527C1">
        <w:t>.</w:t>
      </w:r>
    </w:p>
    <w:p w:rsidR="00F67B67" w:rsidRPr="00684C0E" w:rsidRDefault="00F67B67" w:rsidP="00C96667">
      <w:pPr>
        <w:pStyle w:val="LV1"/>
      </w:pPr>
      <w:bookmarkStart w:id="8" w:name="_Toc116548240"/>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116548241"/>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912730" w:rsidRPr="00912730">
        <w:t>rotator cuff syndrome</w:t>
      </w:r>
      <w:r w:rsidR="001A22AF">
        <w:t xml:space="preserve"> No. </w:t>
      </w:r>
      <w:r w:rsidR="000F30D4">
        <w:t>101 of 2014</w:t>
      </w:r>
      <w:r>
        <w:t xml:space="preserve"> </w:t>
      </w:r>
      <w:r w:rsidRPr="00786DAE">
        <w:t>(Federal Re</w:t>
      </w:r>
      <w:r w:rsidR="000F30D4">
        <w:t>gister of Legislation No. F2014L01379</w:t>
      </w:r>
      <w:r w:rsidRPr="00786DAE">
        <w:t xml:space="preserve">) </w:t>
      </w:r>
      <w:r w:rsidR="000F30D4">
        <w:t>made under subsection</w:t>
      </w:r>
      <w:r w:rsidRPr="00DA3996">
        <w:t xml:space="preserve">s </w:t>
      </w:r>
      <w:proofErr w:type="gramStart"/>
      <w:r w:rsidRPr="00DA3996">
        <w:t>196B(</w:t>
      </w:r>
      <w:proofErr w:type="gramEnd"/>
      <w:r>
        <w:t>3</w:t>
      </w:r>
      <w:r w:rsidR="000F30D4">
        <w:t>) and</w:t>
      </w:r>
      <w:r w:rsidRPr="00DA3996">
        <w:t xml:space="preserve"> (8) of the VEA </w:t>
      </w:r>
      <w:r>
        <w:t>i</w:t>
      </w:r>
      <w:r w:rsidRPr="007527C1">
        <w:t>s</w:t>
      </w:r>
      <w:r>
        <w:t xml:space="preserve"> repealed.</w:t>
      </w:r>
    </w:p>
    <w:p w:rsidR="007C7DEE" w:rsidRPr="00684C0E" w:rsidRDefault="007C7DEE" w:rsidP="00C96667">
      <w:pPr>
        <w:pStyle w:val="LV1"/>
      </w:pPr>
      <w:bookmarkStart w:id="10" w:name="_Toc116548242"/>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116548243"/>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116548244"/>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912730" w:rsidRPr="00912730">
        <w:t>rotator cuff syndrome</w:t>
      </w:r>
      <w:r w:rsidR="00D5620B" w:rsidRPr="002F77A1">
        <w:t xml:space="preserve"> </w:t>
      </w:r>
      <w:r w:rsidRPr="002F77A1">
        <w:t>and death</w:t>
      </w:r>
      <w:r w:rsidRPr="00D5620B">
        <w:t xml:space="preserve"> from</w:t>
      </w:r>
      <w:r w:rsidR="002F77A1">
        <w:t xml:space="preserve"> </w:t>
      </w:r>
      <w:r w:rsidR="00912730" w:rsidRPr="00912730">
        <w:t>rotator cuff syndrome</w:t>
      </w:r>
      <w:r w:rsidRPr="00D5620B">
        <w:t>.</w:t>
      </w:r>
      <w:bookmarkEnd w:id="17"/>
    </w:p>
    <w:p w:rsidR="00215860" w:rsidRPr="007142FB" w:rsidRDefault="00215860" w:rsidP="0083517B">
      <w:pPr>
        <w:pStyle w:val="LVtext"/>
      </w:pPr>
      <w:r w:rsidRPr="007142FB">
        <w:t>Meaning of</w:t>
      </w:r>
      <w:r w:rsidR="00D60FC8" w:rsidRPr="007142FB">
        <w:t xml:space="preserve"> </w:t>
      </w:r>
      <w:r w:rsidR="00912730" w:rsidRPr="00912730">
        <w:rPr>
          <w:b/>
        </w:rPr>
        <w:t>rotator cuff syndrome</w:t>
      </w:r>
    </w:p>
    <w:p w:rsidR="000D4972" w:rsidRDefault="000D4972" w:rsidP="000D4972">
      <w:pPr>
        <w:pStyle w:val="LV2"/>
      </w:pPr>
      <w:bookmarkStart w:id="18" w:name="_Ref409598124"/>
      <w:bookmarkStart w:id="19" w:name="_Ref402529683"/>
      <w:r w:rsidRPr="00237BAF">
        <w:t>For the purposes of this Statement of Principles,</w:t>
      </w:r>
      <w:r w:rsidRPr="002F77A1">
        <w:t xml:space="preserve"> </w:t>
      </w:r>
      <w:r w:rsidR="00912730" w:rsidRPr="00912730">
        <w:t>rotator cuff syndrome</w:t>
      </w:r>
      <w:r w:rsidRPr="00237BAF">
        <w:t>:</w:t>
      </w:r>
      <w:bookmarkEnd w:id="18"/>
    </w:p>
    <w:p w:rsidR="000F30D4" w:rsidRDefault="000F30D4" w:rsidP="000F30D4">
      <w:pPr>
        <w:pStyle w:val="LV3"/>
      </w:pPr>
      <w:r>
        <w:t xml:space="preserve">means a clinically symptomatic inflammatory or degenerative disorder of the rotator cuff of the shoulder joint or the long head of biceps and their associated bursae; and </w:t>
      </w:r>
    </w:p>
    <w:p w:rsidR="000F30D4" w:rsidRDefault="000F30D4" w:rsidP="00F5492E">
      <w:pPr>
        <w:pStyle w:val="LV3"/>
      </w:pPr>
      <w:r>
        <w:t xml:space="preserve">includes: </w:t>
      </w:r>
    </w:p>
    <w:p w:rsidR="000F30D4" w:rsidRDefault="000F30D4" w:rsidP="000F30D4">
      <w:pPr>
        <w:pStyle w:val="LV4"/>
      </w:pPr>
      <w:r>
        <w:t>calcifying tendonitis of the shoulder;</w:t>
      </w:r>
    </w:p>
    <w:p w:rsidR="000F30D4" w:rsidRDefault="000F30D4" w:rsidP="000F30D4">
      <w:pPr>
        <w:pStyle w:val="LV4"/>
      </w:pPr>
      <w:r>
        <w:t xml:space="preserve">rotator cuff tear or rupture; </w:t>
      </w:r>
    </w:p>
    <w:p w:rsidR="000F30D4" w:rsidRDefault="000F30D4" w:rsidP="000F30D4">
      <w:pPr>
        <w:pStyle w:val="LV4"/>
      </w:pPr>
      <w:r>
        <w:t>rotator cuff impingement syndrome;</w:t>
      </w:r>
    </w:p>
    <w:p w:rsidR="000F30D4" w:rsidRDefault="000F30D4" w:rsidP="000F30D4">
      <w:pPr>
        <w:pStyle w:val="LV4"/>
      </w:pPr>
      <w:r>
        <w:t>rotator cuff tendinopathy or tendonitis;</w:t>
      </w:r>
    </w:p>
    <w:p w:rsidR="000F30D4" w:rsidRDefault="000F30D4" w:rsidP="000F30D4">
      <w:pPr>
        <w:pStyle w:val="LV4"/>
      </w:pPr>
      <w:r>
        <w:t>subacromial impingement syndrome;</w:t>
      </w:r>
    </w:p>
    <w:p w:rsidR="000F30D4" w:rsidRDefault="000F30D4" w:rsidP="000F30D4">
      <w:pPr>
        <w:pStyle w:val="LV4"/>
      </w:pPr>
      <w:r>
        <w:t xml:space="preserve">supraspinatus syndrome; or </w:t>
      </w:r>
    </w:p>
    <w:p w:rsidR="000F30D4" w:rsidRDefault="000F30D4" w:rsidP="000F30D4">
      <w:pPr>
        <w:pStyle w:val="LV4"/>
      </w:pPr>
      <w:r>
        <w:t xml:space="preserve">tendonitis of the long head of the biceps; and </w:t>
      </w:r>
    </w:p>
    <w:p w:rsidR="000F30D4" w:rsidRDefault="000F30D4" w:rsidP="000F30D4">
      <w:pPr>
        <w:pStyle w:val="LV3"/>
      </w:pPr>
      <w:proofErr w:type="gramStart"/>
      <w:r>
        <w:t>excludes</w:t>
      </w:r>
      <w:proofErr w:type="gramEnd"/>
      <w:r>
        <w:t xml:space="preserve"> adhesive capsulitis of the shoulder. </w:t>
      </w:r>
    </w:p>
    <w:p w:rsidR="000F30D4" w:rsidRDefault="000F30D4" w:rsidP="00735CCC">
      <w:pPr>
        <w:pStyle w:val="Note1"/>
        <w:ind w:left="2575" w:hanging="590"/>
      </w:pPr>
      <w:r>
        <w:t xml:space="preserve">Note 1: The rotator cuff is the musculotendinous cuff of the shoulder joint comprising supraspinatus, infraspinatus, </w:t>
      </w:r>
      <w:proofErr w:type="gramStart"/>
      <w:r>
        <w:t>subscapularis</w:t>
      </w:r>
      <w:proofErr w:type="gramEnd"/>
      <w:r>
        <w:t xml:space="preserve"> and teres minor muscles. Associated bursae include the subacromial or subdeltoid bursae. </w:t>
      </w:r>
    </w:p>
    <w:p w:rsidR="000F30D4" w:rsidRDefault="000F30D4" w:rsidP="00735CCC">
      <w:pPr>
        <w:pStyle w:val="Note1"/>
        <w:ind w:left="2575" w:hanging="590"/>
      </w:pPr>
      <w:r>
        <w:t>Note 2: Rotator cuff syndrome is characterised by persistent pain and tenderness in the shoulder that usually worsens when the arm is abducted into an overhead position.</w:t>
      </w:r>
      <w:r w:rsidRPr="008E76DC">
        <w:t xml:space="preserve"> </w:t>
      </w:r>
    </w:p>
    <w:bookmarkEnd w:id="19"/>
    <w:p w:rsidR="008F572A" w:rsidRPr="00237BAF" w:rsidRDefault="000D4972" w:rsidP="000F30D4">
      <w:pPr>
        <w:pStyle w:val="LV2"/>
      </w:pPr>
      <w:r w:rsidRPr="00237BAF">
        <w:t xml:space="preserve">While </w:t>
      </w:r>
      <w:r w:rsidR="00912730" w:rsidRPr="00912730">
        <w:t>rotator cuff syndrome</w:t>
      </w:r>
      <w:r>
        <w:t xml:space="preserve"> </w:t>
      </w:r>
      <w:r w:rsidRPr="00237BAF">
        <w:t>attracts ICD</w:t>
      </w:r>
      <w:r w:rsidRPr="00237BAF">
        <w:noBreakHyphen/>
        <w:t>10</w:t>
      </w:r>
      <w:r w:rsidRPr="00237BAF">
        <w:noBreakHyphen/>
        <w:t xml:space="preserve">AM </w:t>
      </w:r>
      <w:r w:rsidR="000F30D4">
        <w:t>codes;</w:t>
      </w:r>
      <w:r w:rsidR="000F30D4" w:rsidRPr="000F30D4">
        <w:t xml:space="preserve"> M75.</w:t>
      </w:r>
      <w:r w:rsidR="000F30D4">
        <w:t>1, M75.2, M75.3, M74.4 or M74.5</w:t>
      </w:r>
      <w:r w:rsidRPr="00EB2BC4">
        <w:t>,</w:t>
      </w:r>
      <w:r w:rsidRPr="00237BAF">
        <w:t xml:space="preserve"> in applying this Statement of Principles the </w:t>
      </w:r>
      <w:r w:rsidRPr="00D5620B">
        <w:t xml:space="preserve">meaning of </w:t>
      </w:r>
      <w:r w:rsidR="00912730" w:rsidRPr="00912730">
        <w:t>rotator cuff syndrome</w:t>
      </w:r>
      <w:r>
        <w:t xml:space="preserve"> </w:t>
      </w:r>
      <w:r w:rsidRPr="00D5620B">
        <w:t>is that</w:t>
      </w:r>
      <w:r w:rsidRPr="00237BAF">
        <w:t xml:space="preserve"> given in subsection (2).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912730" w:rsidRPr="00912730">
        <w:rPr>
          <w:b/>
        </w:rPr>
        <w:t>rotator cuff syndrome</w:t>
      </w:r>
    </w:p>
    <w:p w:rsidR="008F572A" w:rsidRPr="00237BAF" w:rsidRDefault="008F572A" w:rsidP="00DF65CF">
      <w:pPr>
        <w:pStyle w:val="LV2"/>
      </w:pPr>
      <w:r w:rsidRPr="00237BAF">
        <w:t xml:space="preserve">For the purposes of this Statement of </w:t>
      </w:r>
      <w:r w:rsidR="00D5620B">
        <w:t xml:space="preserve">Principles, </w:t>
      </w:r>
      <w:r w:rsidR="00912730" w:rsidRPr="00912730">
        <w:t>rotator cuff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912730" w:rsidRPr="00912730">
        <w:t>rotator cuff syndrome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116548245"/>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912730" w:rsidRPr="00912730">
        <w:t>rotator cuff syndrome</w:t>
      </w:r>
      <w:r w:rsidR="007A3989">
        <w:t xml:space="preserve"> </w:t>
      </w:r>
      <w:r w:rsidRPr="00D5620B">
        <w:t>and death from</w:t>
      </w:r>
      <w:r w:rsidR="007A3989">
        <w:t xml:space="preserve"> </w:t>
      </w:r>
      <w:r w:rsidR="00912730" w:rsidRPr="00912730">
        <w:t>rotator cuff syndrome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116548246"/>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912730" w:rsidRPr="00912730">
        <w:t>rotator cuff syndrome</w:t>
      </w:r>
      <w:r w:rsidR="007A3989">
        <w:t xml:space="preserve"> </w:t>
      </w:r>
      <w:r w:rsidR="007C7DEE" w:rsidRPr="00AA6D8B">
        <w:t xml:space="preserve">or death from </w:t>
      </w:r>
      <w:r w:rsidR="00912730" w:rsidRPr="00912730">
        <w:t>rotator cuff syndrome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0F30D4" w:rsidRPr="000F30D4" w:rsidRDefault="000F30D4" w:rsidP="000F30D4">
      <w:pPr>
        <w:pStyle w:val="LV2"/>
        <w:numPr>
          <w:ilvl w:val="1"/>
          <w:numId w:val="4"/>
        </w:numPr>
      </w:pPr>
      <w:bookmarkStart w:id="26" w:name="_Ref402530260"/>
      <w:bookmarkStart w:id="27" w:name="_Ref409598844"/>
      <w:r w:rsidRPr="000F30D4">
        <w:t>having an injury to the affected shoulder within the 3</w:t>
      </w:r>
      <w:r>
        <w:t>0 days</w:t>
      </w:r>
      <w:r w:rsidRPr="000F30D4">
        <w:t xml:space="preserve"> before the clinical onset of rotator cuff syndrome;</w:t>
      </w:r>
    </w:p>
    <w:p w:rsidR="000F30D4" w:rsidRPr="000F30D4" w:rsidRDefault="000F30D4" w:rsidP="00735CCC">
      <w:pPr>
        <w:spacing w:before="122" w:line="240" w:lineRule="auto"/>
        <w:ind w:left="2064" w:hanging="590"/>
        <w:rPr>
          <w:rFonts w:eastAsia="Times New Roman"/>
          <w:sz w:val="18"/>
          <w:lang w:eastAsia="en-AU"/>
        </w:rPr>
      </w:pPr>
      <w:r w:rsidRPr="000F30D4">
        <w:rPr>
          <w:rFonts w:eastAsia="Times New Roman"/>
          <w:sz w:val="18"/>
          <w:lang w:eastAsia="en-AU"/>
        </w:rPr>
        <w:t>Note 1: Examples of activities or circumstances that can cause an injury to the affected shoulder include a fall, a violent pull or sudden traction injury, sports injury, a blow or direct trauma to the shoulder, lifting weights, and improperly administered vaccination to the shoulder.</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2: </w:t>
      </w:r>
      <w:r w:rsidRPr="000F30D4">
        <w:rPr>
          <w:rFonts w:eastAsia="Times New Roman"/>
          <w:b/>
          <w:i/>
          <w:sz w:val="18"/>
          <w:lang w:eastAsia="en-AU"/>
        </w:rPr>
        <w:t>injury to the affected shoulder</w:t>
      </w:r>
      <w:r w:rsidRPr="000F30D4">
        <w:rPr>
          <w:rFonts w:eastAsia="Times New Roman"/>
          <w:sz w:val="18"/>
          <w:lang w:eastAsia="en-AU"/>
        </w:rPr>
        <w:t xml:space="preserve"> is defined in the Schedule 1 </w:t>
      </w:r>
      <w:r w:rsidR="00B25144">
        <w:rPr>
          <w:rFonts w:eastAsia="Times New Roman"/>
          <w:sz w:val="18"/>
          <w:lang w:eastAsia="en-AU"/>
        </w:rPr>
        <w:t>–</w:t>
      </w:r>
      <w:r w:rsidRPr="000F30D4">
        <w:rPr>
          <w:rFonts w:eastAsia="Times New Roman"/>
          <w:sz w:val="18"/>
          <w:lang w:eastAsia="en-AU"/>
        </w:rPr>
        <w:t xml:space="preserve"> Dictionary</w:t>
      </w:r>
      <w:r w:rsidR="00B25144">
        <w:rPr>
          <w:rFonts w:eastAsia="Times New Roman"/>
          <w:sz w:val="18"/>
          <w:lang w:eastAsia="en-AU"/>
        </w:rPr>
        <w:t>.</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undergoing a surgical procedure involving the affected shoulder joint before the clinical onset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performing any combination of: </w:t>
      </w:r>
    </w:p>
    <w:p w:rsidR="000F30D4" w:rsidRPr="000F30D4" w:rsidRDefault="000F30D4" w:rsidP="000F30D4">
      <w:pPr>
        <w:numPr>
          <w:ilvl w:val="2"/>
          <w:numId w:val="4"/>
        </w:numPr>
        <w:spacing w:before="180" w:line="240" w:lineRule="auto"/>
        <w:contextualSpacing/>
        <w:rPr>
          <w:rFonts w:eastAsia="Times New Roman"/>
          <w:sz w:val="24"/>
          <w:szCs w:val="24"/>
          <w:lang w:eastAsia="en-AU"/>
        </w:rPr>
      </w:pPr>
      <w:r w:rsidRPr="000F30D4">
        <w:rPr>
          <w:rFonts w:eastAsia="Times New Roman"/>
          <w:sz w:val="24"/>
          <w:szCs w:val="24"/>
          <w:lang w:eastAsia="en-AU"/>
        </w:rPr>
        <w:t xml:space="preserve">repetitive or sustained activities of the affected shoulder when the shoulder on the affected side is abducted or flexed by at least 60 degrees; or </w:t>
      </w:r>
    </w:p>
    <w:p w:rsidR="000F30D4" w:rsidRPr="000F30D4" w:rsidRDefault="000F30D4" w:rsidP="000F30D4">
      <w:pPr>
        <w:numPr>
          <w:ilvl w:val="2"/>
          <w:numId w:val="4"/>
        </w:numPr>
        <w:spacing w:before="180" w:line="240" w:lineRule="auto"/>
        <w:contextualSpacing/>
        <w:rPr>
          <w:rFonts w:eastAsia="Times New Roman"/>
          <w:sz w:val="24"/>
          <w:szCs w:val="24"/>
          <w:lang w:eastAsia="en-AU"/>
        </w:rPr>
      </w:pPr>
      <w:r w:rsidRPr="000F30D4">
        <w:rPr>
          <w:rFonts w:eastAsia="Times New Roman"/>
          <w:sz w:val="24"/>
          <w:szCs w:val="24"/>
          <w:lang w:eastAsia="en-AU"/>
        </w:rPr>
        <w:t>forceful activities with the affected upper limb;</w:t>
      </w:r>
    </w:p>
    <w:p w:rsidR="000F30D4" w:rsidRPr="000F30D4" w:rsidRDefault="00F57179" w:rsidP="000F30D4">
      <w:pPr>
        <w:spacing w:before="180" w:line="240" w:lineRule="auto"/>
        <w:ind w:left="1418"/>
        <w:rPr>
          <w:rFonts w:eastAsia="Times New Roman"/>
          <w:sz w:val="24"/>
          <w:szCs w:val="24"/>
          <w:lang w:eastAsia="en-AU"/>
        </w:rPr>
      </w:pPr>
      <w:r>
        <w:rPr>
          <w:rFonts w:eastAsia="Times New Roman"/>
          <w:sz w:val="24"/>
          <w:szCs w:val="24"/>
          <w:lang w:eastAsia="en-AU"/>
        </w:rPr>
        <w:t>for at least 160 hours within a period of 21</w:t>
      </w:r>
      <w:r w:rsidR="000F30D4" w:rsidRPr="000F30D4">
        <w:rPr>
          <w:rFonts w:eastAsia="Times New Roman"/>
          <w:sz w:val="24"/>
          <w:szCs w:val="24"/>
          <w:lang w:eastAsia="en-AU"/>
        </w:rPr>
        <w:t>0 consecutive days before the clinical onset of rotator cuff syndrome, and where the repetitive or sustained or forceful activities have not ceased more than 30 days before the clinical onset of rotator cuff syndrome;</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forceful activities</w:t>
      </w:r>
      <w:r w:rsidRPr="000F30D4">
        <w:rPr>
          <w:rFonts w:eastAsia="Times New Roman"/>
          <w:sz w:val="18"/>
          <w:lang w:eastAsia="en-AU"/>
        </w:rPr>
        <w:t xml:space="preserve"> are defined in the Schedule 1 - Dictionary.</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performing repetitive or sustained activities of the affected shoulder when the shoulder on the affected side is abducted or flexed by at least 60 degrees</w:t>
      </w:r>
      <w:r w:rsidR="00F57179">
        <w:rPr>
          <w:rFonts w:eastAsia="Times New Roman"/>
          <w:sz w:val="24"/>
          <w:szCs w:val="24"/>
          <w:lang w:eastAsia="en-AU"/>
        </w:rPr>
        <w:t xml:space="preserve"> for at least 4</w:t>
      </w:r>
      <w:r w:rsidRPr="000F30D4">
        <w:rPr>
          <w:rFonts w:eastAsia="Times New Roman"/>
          <w:sz w:val="24"/>
          <w:szCs w:val="24"/>
          <w:lang w:eastAsia="en-AU"/>
        </w:rPr>
        <w:t>,000 hours within the 10 years before the clinical onset of rotator cuff syndrome;</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Sports that require overhead activities (for example, tennis, swimming, and volleyball) often involve abduction or flexion of the shoulder by at least 60 degrees. </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lifting or carrying loads of at least 20 kilograms using the upper limb of the affected</w:t>
      </w:r>
      <w:r w:rsidR="00F57179">
        <w:rPr>
          <w:rFonts w:eastAsia="Times New Roman"/>
          <w:sz w:val="24"/>
          <w:szCs w:val="24"/>
          <w:lang w:eastAsia="en-AU"/>
        </w:rPr>
        <w:t xml:space="preserve"> side for at least 4</w:t>
      </w:r>
      <w:r w:rsidRPr="000F30D4">
        <w:rPr>
          <w:rFonts w:eastAsia="Times New Roman"/>
          <w:sz w:val="24"/>
          <w:szCs w:val="24"/>
          <w:lang w:eastAsia="en-AU"/>
        </w:rPr>
        <w:t>00 hours within the 10 years before the clinical onset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dialysis-related amyloidosis before the clinical onset of rotator cuff syndrome;</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dialysis-related amyloidosis</w:t>
      </w:r>
      <w:r w:rsidRPr="000F30D4">
        <w:rPr>
          <w:rFonts w:eastAsia="Times New Roman"/>
          <w:sz w:val="18"/>
          <w:lang w:eastAsia="en-AU"/>
        </w:rPr>
        <w:t xml:space="preserve"> is defined in the Schedule 1 - Dictionary.</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regularly using the upper limbs for weight-bearing for a continuous period of at least the 1 year before the clinical onset of rotator cuff syndrome; </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Note: Examples of circumstances in which the upper limbs may regularly be used for weight-bearing include transfers from a wheelchair to a chair or bed, and the use of crutches or other walking aids.</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having anatomical narrowing of the subacromial space on the affected side at the time of the clinical onset of rotator cuff syndrome; </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anatomical narrowing of the subacromial space</w:t>
      </w:r>
      <w:r w:rsidRPr="000F30D4">
        <w:rPr>
          <w:rFonts w:eastAsia="Times New Roman"/>
          <w:sz w:val="18"/>
          <w:lang w:eastAsia="en-AU"/>
        </w:rPr>
        <w:t xml:space="preserve"> is defined in the Schedule 1 - Dictionary.</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joint instability of the affected shoulder, or dislocation or subluxation of the affected shoulder joint before the clinical onset of rotator cuff syndrome;</w:t>
      </w:r>
    </w:p>
    <w:p w:rsidR="000F30D4" w:rsidRPr="000F30D4" w:rsidRDefault="000F30D4" w:rsidP="00735CCC">
      <w:pPr>
        <w:pStyle w:val="LV2"/>
      </w:pPr>
      <w:r w:rsidRPr="000F30D4">
        <w:t>having an infection of the subacromial bursa</w:t>
      </w:r>
      <w:r w:rsidR="0011751D">
        <w:t xml:space="preserve"> or subdeltoid bursa</w:t>
      </w:r>
      <w:r w:rsidRPr="000F30D4">
        <w:t xml:space="preserve"> of the affected shoulder at the time of the clinical onset of rotator cuff syndrome;</w:t>
      </w:r>
    </w:p>
    <w:p w:rsidR="000F30D4" w:rsidRPr="000F30D4" w:rsidRDefault="00C27489" w:rsidP="000F30D4">
      <w:pPr>
        <w:numPr>
          <w:ilvl w:val="1"/>
          <w:numId w:val="4"/>
        </w:numPr>
        <w:spacing w:before="180" w:line="240" w:lineRule="auto"/>
        <w:rPr>
          <w:rFonts w:eastAsia="Times New Roman"/>
          <w:sz w:val="24"/>
          <w:szCs w:val="24"/>
          <w:lang w:eastAsia="en-AU"/>
        </w:rPr>
      </w:pPr>
      <w:r>
        <w:rPr>
          <w:rFonts w:eastAsia="Times New Roman"/>
          <w:sz w:val="24"/>
          <w:szCs w:val="24"/>
          <w:lang w:eastAsia="en-AU"/>
        </w:rPr>
        <w:t xml:space="preserve">  </w:t>
      </w:r>
      <w:r w:rsidR="000F30D4" w:rsidRPr="000F30D4">
        <w:rPr>
          <w:rFonts w:eastAsia="Times New Roman"/>
          <w:sz w:val="24"/>
          <w:szCs w:val="24"/>
          <w:lang w:eastAsia="en-AU"/>
        </w:rPr>
        <w:t>having an autoimmune disease from the specified list of autoimmune diseases, involving the shoulder joint or associated bursae of the affected side, before the clinical onset  of rotator cuff syndrome;</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specified list of autoimmune diseases</w:t>
      </w:r>
      <w:r w:rsidRPr="000F30D4">
        <w:rPr>
          <w:rFonts w:eastAsia="Times New Roman"/>
          <w:sz w:val="18"/>
          <w:lang w:eastAsia="en-AU"/>
        </w:rPr>
        <w:t xml:space="preserve"> is defined in the Schedule 1 - Dictionary.</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gout involving the affected shoulder at the time of the clinical onset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diabetes mellitus before the clinical onset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having dyslipidaemia before the clinical onset of rotator cuff syndrome; </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dyslipidaemia</w:t>
      </w:r>
      <w:r w:rsidRPr="000F30D4">
        <w:rPr>
          <w:rFonts w:eastAsia="Times New Roman"/>
          <w:sz w:val="18"/>
          <w:lang w:eastAsia="en-AU"/>
        </w:rPr>
        <w:t xml:space="preserve"> is defined in the Schedule 1 – Dictionary</w:t>
      </w:r>
      <w:r w:rsidR="00B25144">
        <w:rPr>
          <w:rFonts w:eastAsia="Times New Roman"/>
          <w:sz w:val="18"/>
          <w:lang w:eastAsia="en-AU"/>
        </w:rPr>
        <w:t>.</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taking a glucocorticoid drug as specified before the clinical onset of rotator cuff syndrome; </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taking a glucocorticoid drug as specified</w:t>
      </w:r>
      <w:r w:rsidRPr="000F30D4">
        <w:rPr>
          <w:rFonts w:eastAsia="Times New Roman"/>
          <w:sz w:val="18"/>
          <w:lang w:eastAsia="en-AU"/>
        </w:rPr>
        <w:t xml:space="preserve"> is defined in the Schedule 1 – Dictionary</w:t>
      </w:r>
      <w:r w:rsidR="00B25144">
        <w:rPr>
          <w:rFonts w:eastAsia="Times New Roman"/>
          <w:sz w:val="18"/>
          <w:lang w:eastAsia="en-AU"/>
        </w:rPr>
        <w:t>.</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taking a fluoroquinolone antibiotic within the 60 days before the clinical onset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an injury to the affected shoulder within the 3</w:t>
      </w:r>
      <w:r>
        <w:rPr>
          <w:rFonts w:eastAsia="Times New Roman"/>
          <w:sz w:val="24"/>
          <w:szCs w:val="24"/>
          <w:lang w:eastAsia="en-AU"/>
        </w:rPr>
        <w:t>0 day</w:t>
      </w:r>
      <w:r w:rsidRPr="000F30D4">
        <w:rPr>
          <w:rFonts w:eastAsia="Times New Roman"/>
          <w:sz w:val="24"/>
          <w:szCs w:val="24"/>
          <w:lang w:eastAsia="en-AU"/>
        </w:rPr>
        <w:t>s before the clinical worsening of rotator cuff syndrome;</w:t>
      </w:r>
    </w:p>
    <w:p w:rsidR="000F30D4" w:rsidRPr="000F30D4" w:rsidRDefault="000F30D4" w:rsidP="00735CCC">
      <w:pPr>
        <w:spacing w:before="122" w:line="240" w:lineRule="auto"/>
        <w:ind w:left="2064" w:hanging="590"/>
        <w:rPr>
          <w:rFonts w:eastAsia="Times New Roman"/>
          <w:sz w:val="18"/>
          <w:lang w:eastAsia="en-AU"/>
        </w:rPr>
      </w:pPr>
      <w:r w:rsidRPr="000F30D4">
        <w:rPr>
          <w:rFonts w:eastAsia="Times New Roman"/>
          <w:sz w:val="18"/>
          <w:lang w:eastAsia="en-AU"/>
        </w:rPr>
        <w:t>Note 1: Examples of activities or circumstances that can cause an injury to the affected shoulder include a fall, a violent pull or sudden traction injury, sports injury, a blow or direct trauma to the shoulder, lifting weights, and improperly administered vaccination to the shoulder.</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2: </w:t>
      </w:r>
      <w:r w:rsidRPr="000F30D4">
        <w:rPr>
          <w:rFonts w:eastAsia="Times New Roman"/>
          <w:b/>
          <w:i/>
          <w:sz w:val="18"/>
          <w:lang w:eastAsia="en-AU"/>
        </w:rPr>
        <w:t>injury to the affected shoulder</w:t>
      </w:r>
      <w:r w:rsidRPr="000F30D4">
        <w:rPr>
          <w:rFonts w:eastAsia="Times New Roman"/>
          <w:sz w:val="18"/>
          <w:lang w:eastAsia="en-AU"/>
        </w:rPr>
        <w:t xml:space="preserve"> is defined in the Schedule 1 </w:t>
      </w:r>
      <w:r w:rsidR="00B25144">
        <w:rPr>
          <w:rFonts w:eastAsia="Times New Roman"/>
          <w:sz w:val="18"/>
          <w:lang w:eastAsia="en-AU"/>
        </w:rPr>
        <w:t>–</w:t>
      </w:r>
      <w:r w:rsidRPr="000F30D4">
        <w:rPr>
          <w:rFonts w:eastAsia="Times New Roman"/>
          <w:sz w:val="18"/>
          <w:lang w:eastAsia="en-AU"/>
        </w:rPr>
        <w:t xml:space="preserve"> Dictionary</w:t>
      </w:r>
      <w:r w:rsidR="00B25144">
        <w:rPr>
          <w:rFonts w:eastAsia="Times New Roman"/>
          <w:sz w:val="18"/>
          <w:lang w:eastAsia="en-AU"/>
        </w:rPr>
        <w:t>.</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undergoing a surgical procedure involving the affected shoulder joint before the clinical worsening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performing any combination of: </w:t>
      </w:r>
    </w:p>
    <w:p w:rsidR="000F30D4" w:rsidRPr="000F30D4" w:rsidRDefault="000F30D4" w:rsidP="000F30D4">
      <w:pPr>
        <w:numPr>
          <w:ilvl w:val="2"/>
          <w:numId w:val="4"/>
        </w:numPr>
        <w:spacing w:before="180" w:line="240" w:lineRule="auto"/>
        <w:contextualSpacing/>
        <w:rPr>
          <w:rFonts w:eastAsia="Times New Roman"/>
          <w:sz w:val="24"/>
          <w:szCs w:val="24"/>
          <w:lang w:eastAsia="en-AU"/>
        </w:rPr>
      </w:pPr>
      <w:r w:rsidRPr="000F30D4">
        <w:rPr>
          <w:rFonts w:eastAsia="Times New Roman"/>
          <w:sz w:val="24"/>
          <w:szCs w:val="24"/>
          <w:lang w:eastAsia="en-AU"/>
        </w:rPr>
        <w:t xml:space="preserve">repetitive or sustained activities of the affected shoulder when the shoulder on the affected side is abducted or flexed by at least 60 degrees; or </w:t>
      </w:r>
    </w:p>
    <w:p w:rsidR="000F30D4" w:rsidRPr="000F30D4" w:rsidRDefault="000F30D4" w:rsidP="000F30D4">
      <w:pPr>
        <w:numPr>
          <w:ilvl w:val="2"/>
          <w:numId w:val="4"/>
        </w:numPr>
        <w:spacing w:before="180" w:line="240" w:lineRule="auto"/>
        <w:contextualSpacing/>
        <w:rPr>
          <w:rFonts w:eastAsia="Times New Roman"/>
          <w:sz w:val="24"/>
          <w:szCs w:val="24"/>
          <w:lang w:eastAsia="en-AU"/>
        </w:rPr>
      </w:pPr>
      <w:r w:rsidRPr="000F30D4">
        <w:rPr>
          <w:rFonts w:eastAsia="Times New Roman"/>
          <w:sz w:val="24"/>
          <w:szCs w:val="24"/>
          <w:lang w:eastAsia="en-AU"/>
        </w:rPr>
        <w:t>forceful activities with the affected upper limb;</w:t>
      </w:r>
    </w:p>
    <w:p w:rsidR="000F30D4" w:rsidRPr="000F30D4" w:rsidRDefault="00F57179" w:rsidP="000F30D4">
      <w:pPr>
        <w:spacing w:before="180" w:line="240" w:lineRule="auto"/>
        <w:ind w:left="1418"/>
        <w:rPr>
          <w:rFonts w:eastAsia="Times New Roman"/>
          <w:sz w:val="24"/>
          <w:szCs w:val="24"/>
          <w:lang w:eastAsia="en-AU"/>
        </w:rPr>
      </w:pPr>
      <w:proofErr w:type="gramStart"/>
      <w:r>
        <w:rPr>
          <w:rFonts w:eastAsia="Times New Roman"/>
          <w:sz w:val="24"/>
          <w:szCs w:val="24"/>
          <w:lang w:eastAsia="en-AU"/>
        </w:rPr>
        <w:t>for</w:t>
      </w:r>
      <w:proofErr w:type="gramEnd"/>
      <w:r>
        <w:rPr>
          <w:rFonts w:eastAsia="Times New Roman"/>
          <w:sz w:val="24"/>
          <w:szCs w:val="24"/>
          <w:lang w:eastAsia="en-AU"/>
        </w:rPr>
        <w:t xml:space="preserve"> at least 160 hours within a period of 210</w:t>
      </w:r>
      <w:r w:rsidR="000F30D4" w:rsidRPr="000F30D4">
        <w:rPr>
          <w:rFonts w:eastAsia="Times New Roman"/>
          <w:sz w:val="24"/>
          <w:szCs w:val="24"/>
          <w:lang w:eastAsia="en-AU"/>
        </w:rPr>
        <w:t xml:space="preserve"> consecutive days before the clinical worsening of rotator cuff syndrome, and where the repetitive or sustained or forceful activities have not ceased more than 30 days before the clinical worsening of rotator cuff syndrome;</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forceful activities</w:t>
      </w:r>
      <w:r w:rsidRPr="000F30D4">
        <w:rPr>
          <w:rFonts w:eastAsia="Times New Roman"/>
          <w:sz w:val="18"/>
          <w:lang w:eastAsia="en-AU"/>
        </w:rPr>
        <w:t xml:space="preserve"> are defined in the Schedule 1 - Dictionary.</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performing repetitive or sustained activities of the affected shoulder when the shoulder on the affected side is abducted or flexed by at</w:t>
      </w:r>
      <w:r w:rsidR="008608F9">
        <w:rPr>
          <w:rFonts w:eastAsia="Times New Roman"/>
          <w:sz w:val="24"/>
          <w:szCs w:val="24"/>
          <w:lang w:eastAsia="en-AU"/>
        </w:rPr>
        <w:t xml:space="preserve"> least 60 degrees for at least 4</w:t>
      </w:r>
      <w:r w:rsidRPr="000F30D4">
        <w:rPr>
          <w:rFonts w:eastAsia="Times New Roman"/>
          <w:sz w:val="24"/>
          <w:szCs w:val="24"/>
          <w:lang w:eastAsia="en-AU"/>
        </w:rPr>
        <w:t>,000 hours within the 10 years before the clinical worsening of rotator cuff syndrome;</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Sports that require overhead activities (for example, tennis, swimming, and volleyball) often involve abduction or flexion of the shoulder by at least 60 degrees. </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lifting or carrying loads of at least 20 kilograms using the upper limb of </w:t>
      </w:r>
      <w:r w:rsidR="008608F9">
        <w:rPr>
          <w:rFonts w:eastAsia="Times New Roman"/>
          <w:sz w:val="24"/>
          <w:szCs w:val="24"/>
          <w:lang w:eastAsia="en-AU"/>
        </w:rPr>
        <w:t>the affected side for at least 4</w:t>
      </w:r>
      <w:r w:rsidRPr="000F30D4">
        <w:rPr>
          <w:rFonts w:eastAsia="Times New Roman"/>
          <w:sz w:val="24"/>
          <w:szCs w:val="24"/>
          <w:lang w:eastAsia="en-AU"/>
        </w:rPr>
        <w:t>00 hours within the 10 years before the clinical worsening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dialysis-related amyloidosis before the clinical worsening of rotator cuff syndrome;</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dialysis-related amyloidosis</w:t>
      </w:r>
      <w:r w:rsidRPr="000F30D4">
        <w:rPr>
          <w:rFonts w:eastAsia="Times New Roman"/>
          <w:sz w:val="18"/>
          <w:lang w:eastAsia="en-AU"/>
        </w:rPr>
        <w:t xml:space="preserve"> is defined in the Schedule 1 - Dictionary.</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regularly using the upper limbs for weight-bearing for a continuous period of at least the 1 year before the clinical worsening of rotator cuff syndrome; </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Note: Examples of circumstances in which the upper limbs may regularly be used for weight-bearing include transfers from a wheelchair to a chair or bed, and the use of crutches or other walking aids.</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having anatomical narrowing of the subacromial space on the affected side at the time of the clinical worsening of rotator cuff syndrome; </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anatomical narrowing of the subacromial space</w:t>
      </w:r>
      <w:r w:rsidRPr="000F30D4">
        <w:rPr>
          <w:rFonts w:eastAsia="Times New Roman"/>
          <w:sz w:val="18"/>
          <w:lang w:eastAsia="en-AU"/>
        </w:rPr>
        <w:t xml:space="preserve"> is defined in the Schedule 1 - Dictionary.</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joint instability of the affected shoulder, or dislocation or subluxation of the affected shoulder joint before the clinical worsening of rotator cuff syndrome;</w:t>
      </w:r>
    </w:p>
    <w:p w:rsidR="000F30D4" w:rsidRPr="000F30D4" w:rsidRDefault="000F30D4" w:rsidP="00735CCC">
      <w:pPr>
        <w:pStyle w:val="LV2"/>
      </w:pPr>
      <w:r w:rsidRPr="000F30D4">
        <w:t>having an infection of the subacromial bursa</w:t>
      </w:r>
      <w:r w:rsidR="0011751D">
        <w:t xml:space="preserve"> or subdeltoid bursa</w:t>
      </w:r>
      <w:r w:rsidRPr="000F30D4">
        <w:t xml:space="preserve"> of the affected shoulder at the time of the clinical worsening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an autoimmune disease from the specified list of autoimmune diseases, involving the shoulder joint or associated bursae of the affected side, before the clinical worsening of rotator cuff syndrome;</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specified list of autoimmune diseases</w:t>
      </w:r>
      <w:r w:rsidRPr="000F30D4">
        <w:rPr>
          <w:rFonts w:eastAsia="Times New Roman"/>
          <w:sz w:val="18"/>
          <w:lang w:eastAsia="en-AU"/>
        </w:rPr>
        <w:t xml:space="preserve"> is defined in the Schedule 1 - Dictionary.</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gout involving the affected shoulder at the time of the clinical worsening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having diabetes mellitus before the clinical worsening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having dyslipidaemia before the clinical worsening of rotator cuff syndrome; </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dyslipidaemia</w:t>
      </w:r>
      <w:r w:rsidRPr="000F30D4">
        <w:rPr>
          <w:rFonts w:eastAsia="Times New Roman"/>
          <w:sz w:val="18"/>
          <w:lang w:eastAsia="en-AU"/>
        </w:rPr>
        <w:t xml:space="preserve"> is defined in the Schedule 1 – Dictionary</w:t>
      </w:r>
      <w:r w:rsidR="00B25144">
        <w:rPr>
          <w:rFonts w:eastAsia="Times New Roman"/>
          <w:sz w:val="18"/>
          <w:lang w:eastAsia="en-AU"/>
        </w:rPr>
        <w:t>.</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 xml:space="preserve">taking a glucocorticoid drug as specified before the clinical worsening of rotator cuff syndrome; </w:t>
      </w:r>
    </w:p>
    <w:p w:rsidR="000F30D4" w:rsidRPr="000F30D4" w:rsidRDefault="000F30D4" w:rsidP="000F30D4">
      <w:pPr>
        <w:spacing w:before="122" w:line="240" w:lineRule="auto"/>
        <w:ind w:left="1928" w:hanging="454"/>
        <w:rPr>
          <w:rFonts w:eastAsia="Times New Roman"/>
          <w:sz w:val="18"/>
          <w:lang w:eastAsia="en-AU"/>
        </w:rPr>
      </w:pPr>
      <w:r w:rsidRPr="000F30D4">
        <w:rPr>
          <w:rFonts w:eastAsia="Times New Roman"/>
          <w:sz w:val="18"/>
          <w:lang w:eastAsia="en-AU"/>
        </w:rPr>
        <w:t xml:space="preserve">Note: </w:t>
      </w:r>
      <w:r w:rsidRPr="000F30D4">
        <w:rPr>
          <w:rFonts w:eastAsia="Times New Roman"/>
          <w:b/>
          <w:i/>
          <w:sz w:val="18"/>
          <w:lang w:eastAsia="en-AU"/>
        </w:rPr>
        <w:t>taking a glucocorticoid drug as specified</w:t>
      </w:r>
      <w:r w:rsidRPr="000F30D4">
        <w:rPr>
          <w:rFonts w:eastAsia="Times New Roman"/>
          <w:sz w:val="18"/>
          <w:lang w:eastAsia="en-AU"/>
        </w:rPr>
        <w:t xml:space="preserve"> is defined in the Schedule 1 – Dictionary</w:t>
      </w:r>
      <w:r w:rsidR="00B25144">
        <w:rPr>
          <w:rFonts w:eastAsia="Times New Roman"/>
          <w:sz w:val="18"/>
          <w:lang w:eastAsia="en-AU"/>
        </w:rPr>
        <w:t>.</w:t>
      </w:r>
    </w:p>
    <w:p w:rsidR="000F30D4" w:rsidRPr="000F30D4" w:rsidRDefault="000F30D4" w:rsidP="000F30D4">
      <w:pPr>
        <w:numPr>
          <w:ilvl w:val="1"/>
          <w:numId w:val="4"/>
        </w:numPr>
        <w:spacing w:before="180" w:line="240" w:lineRule="auto"/>
        <w:rPr>
          <w:rFonts w:eastAsia="Times New Roman"/>
          <w:sz w:val="24"/>
          <w:szCs w:val="24"/>
          <w:lang w:eastAsia="en-AU"/>
        </w:rPr>
      </w:pPr>
      <w:r w:rsidRPr="000F30D4">
        <w:rPr>
          <w:rFonts w:eastAsia="Times New Roman"/>
          <w:sz w:val="24"/>
          <w:szCs w:val="24"/>
          <w:lang w:eastAsia="en-AU"/>
        </w:rPr>
        <w:t>taking a fluoroquinolone antibiotic within the 60 days before the clinical worsening of rotator cuff syndrome;</w:t>
      </w:r>
    </w:p>
    <w:p w:rsidR="000F30D4" w:rsidRPr="000F30D4" w:rsidRDefault="000F30D4" w:rsidP="000F30D4">
      <w:pPr>
        <w:numPr>
          <w:ilvl w:val="1"/>
          <w:numId w:val="4"/>
        </w:numPr>
        <w:spacing w:before="180" w:line="240" w:lineRule="auto"/>
        <w:rPr>
          <w:rFonts w:eastAsia="Times New Roman"/>
          <w:sz w:val="24"/>
          <w:szCs w:val="24"/>
          <w:lang w:eastAsia="en-AU"/>
        </w:rPr>
      </w:pPr>
      <w:proofErr w:type="gramStart"/>
      <w:r w:rsidRPr="000F30D4">
        <w:rPr>
          <w:rFonts w:eastAsia="Times New Roman"/>
          <w:sz w:val="24"/>
          <w:szCs w:val="24"/>
          <w:lang w:eastAsia="en-AU"/>
        </w:rPr>
        <w:t>inability</w:t>
      </w:r>
      <w:proofErr w:type="gramEnd"/>
      <w:r w:rsidRPr="000F30D4">
        <w:rPr>
          <w:rFonts w:eastAsia="Times New Roman"/>
          <w:sz w:val="24"/>
          <w:szCs w:val="24"/>
          <w:lang w:eastAsia="en-AU"/>
        </w:rPr>
        <w:t xml:space="preserve"> to obtain appropriate clinical management for </w:t>
      </w:r>
      <w:r w:rsidR="00912730" w:rsidRPr="00912730">
        <w:rPr>
          <w:rFonts w:eastAsia="Times New Roman"/>
          <w:sz w:val="24"/>
          <w:szCs w:val="24"/>
          <w:lang w:eastAsia="en-AU"/>
        </w:rPr>
        <w:t>rotator cuff syndrome</w:t>
      </w:r>
      <w:r w:rsidRPr="000F30D4">
        <w:rPr>
          <w:rFonts w:eastAsia="Times New Roman"/>
          <w:sz w:val="24"/>
          <w:szCs w:val="24"/>
          <w:lang w:eastAsia="en-AU"/>
        </w:rPr>
        <w:t>.</w:t>
      </w:r>
    </w:p>
    <w:p w:rsidR="000C21A3" w:rsidRPr="00684C0E" w:rsidRDefault="00D32F71" w:rsidP="00C96667">
      <w:pPr>
        <w:pStyle w:val="LV1"/>
      </w:pPr>
      <w:bookmarkStart w:id="28" w:name="_Toc116548247"/>
      <w:bookmarkStart w:id="29" w:name="_Ref402530057"/>
      <w:bookmarkEnd w:id="26"/>
      <w:bookmarkEnd w:id="27"/>
      <w:r>
        <w:t>Relationship to s</w:t>
      </w:r>
      <w:r w:rsidR="000C21A3" w:rsidRPr="00684C0E">
        <w:t>ervice</w:t>
      </w:r>
      <w:bookmarkEnd w:id="28"/>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5B488E">
        <w:t>17</w:t>
      </w:r>
      <w:r w:rsidR="00FF1D47">
        <w:t>)</w:t>
      </w:r>
      <w:r w:rsidR="00181048">
        <w:t xml:space="preserve"> </w:t>
      </w:r>
      <w:r w:rsidR="005B488E">
        <w:t>to 9(33</w:t>
      </w:r>
      <w:r w:rsidR="00C56EAD">
        <w:t xml:space="preserve">) </w:t>
      </w:r>
      <w:r w:rsidRPr="00187DE1">
        <w:t>appl</w:t>
      </w:r>
      <w:r w:rsidR="00FF1D47">
        <w:t>y</w:t>
      </w:r>
      <w:r w:rsidRPr="00187DE1">
        <w:t xml:space="preserve"> only to material contribution to, or aggravation of, </w:t>
      </w:r>
      <w:r w:rsidR="00912730" w:rsidRPr="00912730">
        <w:t>rotator cuff syndrome</w:t>
      </w:r>
      <w:r w:rsidR="007A3989">
        <w:t xml:space="preserve"> </w:t>
      </w:r>
      <w:r w:rsidRPr="00187DE1">
        <w:t>where the person</w:t>
      </w:r>
      <w:r w:rsidR="008721B5">
        <w:t>'</w:t>
      </w:r>
      <w:r w:rsidRPr="00187DE1">
        <w:t xml:space="preserve">s </w:t>
      </w:r>
      <w:r w:rsidR="00912730" w:rsidRPr="00912730">
        <w:t>rotator cuff syndrome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116548248"/>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11654824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626B60" w:rsidRDefault="00626B60">
      <w:pPr>
        <w:pStyle w:val="SH1"/>
      </w:pPr>
      <w:bookmarkStart w:id="34" w:name="_Toc405472918"/>
      <w:bookmarkStart w:id="35" w:name="_Toc114657509"/>
      <w:bookmarkStart w:id="36" w:name="_Ref402530810"/>
      <w:r w:rsidRPr="00D97BB3">
        <w:t>Definitions</w:t>
      </w:r>
      <w:bookmarkEnd w:id="34"/>
      <w:bookmarkEnd w:id="35"/>
    </w:p>
    <w:p w:rsidR="0011751D" w:rsidRPr="0011751D" w:rsidRDefault="0011751D" w:rsidP="00626B60">
      <w:pPr>
        <w:pStyle w:val="SH3"/>
        <w:numPr>
          <w:ilvl w:val="0"/>
          <w:numId w:val="0"/>
        </w:numPr>
        <w:ind w:left="851" w:hanging="425"/>
      </w:pPr>
      <w:r>
        <w:t>In this instrument:</w:t>
      </w:r>
    </w:p>
    <w:p w:rsidR="00A9629E" w:rsidRDefault="00A9629E" w:rsidP="00A9629E">
      <w:pPr>
        <w:pStyle w:val="SH3"/>
        <w:ind w:left="851"/>
      </w:pPr>
      <w:proofErr w:type="gramStart"/>
      <w:r w:rsidRPr="00864FA6">
        <w:rPr>
          <w:b/>
          <w:i/>
        </w:rPr>
        <w:t>anatomical</w:t>
      </w:r>
      <w:proofErr w:type="gramEnd"/>
      <w:r w:rsidRPr="00864FA6">
        <w:rPr>
          <w:b/>
          <w:i/>
        </w:rPr>
        <w:t xml:space="preserve"> narrowing of the subacromial space</w:t>
      </w:r>
      <w:r>
        <w:t xml:space="preserve"> means an acquired reduction in the space between the </w:t>
      </w:r>
      <w:proofErr w:type="spellStart"/>
      <w:r>
        <w:t>coraco</w:t>
      </w:r>
      <w:proofErr w:type="spellEnd"/>
      <w:r>
        <w:t xml:space="preserve">-acromial arch and the upper end of the humerus. </w:t>
      </w:r>
    </w:p>
    <w:p w:rsidR="00A9629E" w:rsidRDefault="00A9629E" w:rsidP="00735CCC">
      <w:pPr>
        <w:pStyle w:val="ScheduleNote"/>
        <w:spacing w:after="120"/>
      </w:pPr>
      <w:r>
        <w:t>Note: Examples of causes of acquired anatomical narrowing of the subacromial space include:</w:t>
      </w:r>
    </w:p>
    <w:p w:rsidR="00A9629E" w:rsidRPr="005E082D" w:rsidRDefault="00A9629E" w:rsidP="00735CCC">
      <w:pPr>
        <w:pStyle w:val="ScheduleNote"/>
        <w:numPr>
          <w:ilvl w:val="0"/>
          <w:numId w:val="26"/>
        </w:numPr>
        <w:spacing w:before="0"/>
        <w:ind w:left="1661" w:hanging="357"/>
      </w:pPr>
      <w:r w:rsidRPr="005E082D">
        <w:t xml:space="preserve">malunited fractures of the acromion, clavicle or greater tuberosity; </w:t>
      </w:r>
    </w:p>
    <w:p w:rsidR="00A9629E" w:rsidRPr="005E082D" w:rsidRDefault="00A9629E" w:rsidP="00735CCC">
      <w:pPr>
        <w:pStyle w:val="ScheduleNote"/>
        <w:numPr>
          <w:ilvl w:val="0"/>
          <w:numId w:val="26"/>
        </w:numPr>
        <w:spacing w:before="0"/>
        <w:ind w:left="1661" w:hanging="357"/>
      </w:pPr>
      <w:r w:rsidRPr="005E082D">
        <w:t xml:space="preserve">osteophytes or tumours projecting into the subacromial space; and </w:t>
      </w:r>
    </w:p>
    <w:p w:rsidR="00A9629E" w:rsidRPr="005E082D" w:rsidRDefault="00A9629E" w:rsidP="00735CCC">
      <w:pPr>
        <w:pStyle w:val="ScheduleNote"/>
        <w:numPr>
          <w:ilvl w:val="0"/>
          <w:numId w:val="26"/>
        </w:numPr>
        <w:spacing w:before="0"/>
        <w:ind w:left="1661" w:hanging="357"/>
      </w:pPr>
      <w:proofErr w:type="gramStart"/>
      <w:r w:rsidRPr="005E082D">
        <w:t>sutures</w:t>
      </w:r>
      <w:proofErr w:type="gramEnd"/>
      <w:r w:rsidRPr="005E082D">
        <w:t>, pins or wires from previous surgery.</w:t>
      </w:r>
    </w:p>
    <w:p w:rsidR="00A9629E" w:rsidRPr="00546F32" w:rsidRDefault="00A9629E" w:rsidP="00A9629E">
      <w:pPr>
        <w:pStyle w:val="SH3"/>
        <w:ind w:left="851"/>
      </w:pPr>
      <w:proofErr w:type="gramStart"/>
      <w:r w:rsidRPr="00546F32">
        <w:rPr>
          <w:b/>
          <w:i/>
        </w:rPr>
        <w:t>dialysis-related</w:t>
      </w:r>
      <w:proofErr w:type="gramEnd"/>
      <w:r w:rsidRPr="00546F32">
        <w:rPr>
          <w:b/>
          <w:i/>
        </w:rPr>
        <w:t xml:space="preserve"> amyloidosis</w:t>
      </w:r>
      <w:r w:rsidRPr="00546F32">
        <w:t xml:space="preserve"> means beta2-microglobulin amyloidosis secondary to long-term haemodialysis or continuous</w:t>
      </w:r>
      <w:r>
        <w:t xml:space="preserve"> ambulatory peritoneal dialysis</w:t>
      </w:r>
      <w:r w:rsidR="00134640">
        <w:t>.</w:t>
      </w:r>
    </w:p>
    <w:p w:rsidR="00A9629E" w:rsidRDefault="00A9629E" w:rsidP="00A9629E">
      <w:pPr>
        <w:pStyle w:val="SH3"/>
        <w:ind w:left="851"/>
      </w:pPr>
      <w:r w:rsidRPr="000E3201">
        <w:rPr>
          <w:b/>
          <w:i/>
        </w:rPr>
        <w:t>dyslipidaemia</w:t>
      </w:r>
      <w:r>
        <w:t xml:space="preserve"> means persistently abnormal blood lipid levels, diagnosed by a medical practitioner and evidenced by: </w:t>
      </w:r>
    </w:p>
    <w:p w:rsidR="00A9629E" w:rsidRDefault="00A9629E" w:rsidP="00A9629E">
      <w:pPr>
        <w:pStyle w:val="SH4"/>
      </w:pPr>
      <w:r>
        <w:t xml:space="preserve">a serum high density lipoprotein cholesterol level less than 1.0 mmol/L; or </w:t>
      </w:r>
    </w:p>
    <w:p w:rsidR="00A9629E" w:rsidRDefault="00A9629E" w:rsidP="00A9629E">
      <w:pPr>
        <w:pStyle w:val="SH4"/>
      </w:pPr>
      <w:r>
        <w:t xml:space="preserve">a serum low density lipoprotein cholesterol level greater than 4.0 mmol/L; or </w:t>
      </w:r>
    </w:p>
    <w:p w:rsidR="00A9629E" w:rsidRDefault="00A9629E" w:rsidP="00A9629E">
      <w:pPr>
        <w:pStyle w:val="SH4"/>
      </w:pPr>
      <w:r>
        <w:t xml:space="preserve">a serum triglyceride level greater than or equal to 2.0 mmol/L; or </w:t>
      </w:r>
    </w:p>
    <w:p w:rsidR="00A9629E" w:rsidRDefault="00A9629E" w:rsidP="00A9629E">
      <w:pPr>
        <w:pStyle w:val="SH4"/>
      </w:pPr>
      <w:r>
        <w:t xml:space="preserve">total serum cholesterol level greater than 5.5 mmol/L; or </w:t>
      </w:r>
    </w:p>
    <w:p w:rsidR="00A9629E" w:rsidRPr="000E3201" w:rsidRDefault="00A9629E" w:rsidP="00A9629E">
      <w:pPr>
        <w:pStyle w:val="SH4"/>
      </w:pPr>
      <w:proofErr w:type="gramStart"/>
      <w:r>
        <w:t>the</w:t>
      </w:r>
      <w:proofErr w:type="gramEnd"/>
      <w:r>
        <w:t xml:space="preserve"> regular administration of drug therapy to normalise blood lipid levels</w:t>
      </w:r>
      <w:r w:rsidR="00B25144">
        <w:t>.</w:t>
      </w:r>
    </w:p>
    <w:p w:rsidR="00A9629E" w:rsidRDefault="00A9629E" w:rsidP="00A9629E">
      <w:pPr>
        <w:pStyle w:val="SH3"/>
        <w:ind w:left="851"/>
      </w:pPr>
      <w:r w:rsidRPr="00B91A9A">
        <w:rPr>
          <w:b/>
          <w:i/>
        </w:rPr>
        <w:t>forceful activities</w:t>
      </w:r>
      <w:r>
        <w:t xml:space="preserve"> means tasks requiring the generation of force by the hand or arm</w:t>
      </w:r>
      <w:r w:rsidR="00B25144">
        <w:t>:</w:t>
      </w:r>
    </w:p>
    <w:p w:rsidR="00A9629E" w:rsidRDefault="00A9629E" w:rsidP="00A9629E">
      <w:pPr>
        <w:pStyle w:val="SH4"/>
      </w:pPr>
      <w:r>
        <w:t xml:space="preserve">equivalent to lifting or carrying loads of more than 3 kilograms; or </w:t>
      </w:r>
    </w:p>
    <w:p w:rsidR="00A9629E" w:rsidRDefault="00A9629E" w:rsidP="00A9629E">
      <w:pPr>
        <w:pStyle w:val="SH4"/>
      </w:pPr>
      <w:proofErr w:type="gramStart"/>
      <w:r>
        <w:t>involving</w:t>
      </w:r>
      <w:proofErr w:type="gramEnd"/>
      <w:r>
        <w:t xml:space="preserve"> lifting or carrying an object greater than 1 kilogram in excess of 10 times per hour.</w:t>
      </w:r>
    </w:p>
    <w:p w:rsidR="0011751D" w:rsidRDefault="0011751D" w:rsidP="00735CCC">
      <w:pPr>
        <w:pStyle w:val="ScheduleNote"/>
        <w:ind w:left="1441" w:hanging="590"/>
      </w:pPr>
      <w:r>
        <w:t xml:space="preserve">Note 1: Use of crutches or other walking aids and hand propulsion of wheelchairs are included among the types of forceful activities that require generation of force by the hand or arm. </w:t>
      </w:r>
    </w:p>
    <w:p w:rsidR="0011751D" w:rsidRPr="00B91A9A" w:rsidRDefault="0011751D" w:rsidP="00735CCC">
      <w:pPr>
        <w:pStyle w:val="ScheduleNote"/>
        <w:ind w:left="1441" w:hanging="590"/>
      </w:pPr>
      <w:r>
        <w:t xml:space="preserve">Note 2: Sports that require overhead activities (for example, tennis, swimming, </w:t>
      </w:r>
      <w:proofErr w:type="gramStart"/>
      <w:r>
        <w:t>and  volleyball</w:t>
      </w:r>
      <w:proofErr w:type="gramEnd"/>
      <w:r>
        <w:t>) often involve abduction or flexion of the shoulder by at least 60 degrees.</w:t>
      </w:r>
    </w:p>
    <w:p w:rsidR="00C56EAD" w:rsidRDefault="00C56EAD" w:rsidP="00C56EAD">
      <w:pPr>
        <w:pStyle w:val="SH3"/>
        <w:ind w:left="851"/>
      </w:pPr>
      <w:r w:rsidRPr="00744704">
        <w:rPr>
          <w:b/>
          <w:i/>
        </w:rPr>
        <w:tab/>
      </w:r>
      <w:proofErr w:type="gramStart"/>
      <w:r w:rsidRPr="00744704">
        <w:rPr>
          <w:b/>
          <w:i/>
        </w:rPr>
        <w:t>injury</w:t>
      </w:r>
      <w:proofErr w:type="gramEnd"/>
      <w:r w:rsidRPr="00744704">
        <w:rPr>
          <w:b/>
          <w:i/>
        </w:rPr>
        <w:t xml:space="preserve"> to the affected shoulder</w:t>
      </w:r>
      <w:r>
        <w:t xml:space="preserve"> means an injury to the shoulder region that causes the development, within the 24 hours of the injury being sustained, of pain, tenderness, and altered mobility or range of movement of the shoulder joint. In the case of sustained unconsciousness or the masking of pain by analgesic medication, these symptoms and signs must appear on return to consciousness or the withdrawal of the analgesic medication. These symptoms and signs must last for a continuous period of at least </w:t>
      </w:r>
      <w:r w:rsidR="00B25144">
        <w:t>7</w:t>
      </w:r>
      <w:r>
        <w:t xml:space="preserve">days following their onset, save for where medical intervention for the injury to that shoulder has occurred and that medical intervention involves either: </w:t>
      </w:r>
    </w:p>
    <w:p w:rsidR="00C56EAD" w:rsidRDefault="00C56EAD" w:rsidP="00C56EAD">
      <w:pPr>
        <w:pStyle w:val="SH4"/>
      </w:pPr>
      <w:r>
        <w:t xml:space="preserve">immobilisation of the shoulder by splinting, or similar external agent; </w:t>
      </w:r>
    </w:p>
    <w:p w:rsidR="00C56EAD" w:rsidRDefault="00C56EAD" w:rsidP="00C56EAD">
      <w:pPr>
        <w:pStyle w:val="SH4"/>
      </w:pPr>
      <w:r>
        <w:t>injection of corticosteroids or local anaesthetics into that shoulder; or</w:t>
      </w:r>
    </w:p>
    <w:p w:rsidR="00C56EAD" w:rsidRDefault="00C56EAD" w:rsidP="00C56EAD">
      <w:pPr>
        <w:pStyle w:val="SH4"/>
      </w:pPr>
      <w:proofErr w:type="gramStart"/>
      <w:r>
        <w:t>surgery</w:t>
      </w:r>
      <w:proofErr w:type="gramEnd"/>
      <w:r>
        <w:t xml:space="preserve"> to that shoulder.</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0D4972" w:rsidRPr="00513D05" w:rsidRDefault="00912730" w:rsidP="000D4972">
      <w:pPr>
        <w:pStyle w:val="SH3"/>
        <w:ind w:left="851"/>
      </w:pPr>
      <w:proofErr w:type="gramStart"/>
      <w:r w:rsidRPr="00912730">
        <w:rPr>
          <w:b/>
          <w:i/>
        </w:rPr>
        <w:t>rotator</w:t>
      </w:r>
      <w:proofErr w:type="gramEnd"/>
      <w:r w:rsidRPr="00912730">
        <w:rPr>
          <w:b/>
          <w:i/>
        </w:rPr>
        <w:t xml:space="preserve"> cuff syndrome</w:t>
      </w:r>
      <w:r w:rsidR="000D4972" w:rsidRPr="00513D05">
        <w:t>—see subsection</w:t>
      </w:r>
      <w:r w:rsidR="000D4972">
        <w:t xml:space="preserve"> 7(2).</w:t>
      </w:r>
    </w:p>
    <w:p w:rsidR="00A9629E" w:rsidRDefault="00A9629E" w:rsidP="00A9629E">
      <w:pPr>
        <w:pStyle w:val="SH3"/>
        <w:ind w:left="851"/>
      </w:pPr>
      <w:r w:rsidRPr="00BF32B0">
        <w:rPr>
          <w:b/>
          <w:i/>
        </w:rPr>
        <w:t>specified list of autoimmune diseases</w:t>
      </w:r>
      <w:r>
        <w:t xml:space="preserve"> means:</w:t>
      </w:r>
    </w:p>
    <w:p w:rsidR="00A9629E" w:rsidRDefault="00A9629E" w:rsidP="00A9629E">
      <w:pPr>
        <w:pStyle w:val="SH4"/>
      </w:pPr>
      <w:r>
        <w:t>dermatomyositis;</w:t>
      </w:r>
    </w:p>
    <w:p w:rsidR="00A9629E" w:rsidRDefault="00A9629E" w:rsidP="00A9629E">
      <w:pPr>
        <w:pStyle w:val="SH4"/>
      </w:pPr>
      <w:r>
        <w:t xml:space="preserve">polymyalgia rheumatica; </w:t>
      </w:r>
    </w:p>
    <w:p w:rsidR="00A9629E" w:rsidRDefault="00A9629E" w:rsidP="00A9629E">
      <w:pPr>
        <w:pStyle w:val="SH4"/>
      </w:pPr>
      <w:r>
        <w:t xml:space="preserve">polymyositis; </w:t>
      </w:r>
    </w:p>
    <w:p w:rsidR="00A9629E" w:rsidRDefault="00A9629E" w:rsidP="00A9629E">
      <w:pPr>
        <w:pStyle w:val="SH4"/>
      </w:pPr>
      <w:r>
        <w:t>rheumatoid arthritis;</w:t>
      </w:r>
    </w:p>
    <w:p w:rsidR="00A9629E" w:rsidRDefault="00A9629E" w:rsidP="00A9629E">
      <w:pPr>
        <w:pStyle w:val="SH4"/>
      </w:pPr>
      <w:r>
        <w:t xml:space="preserve">sicca syndrome; </w:t>
      </w:r>
      <w:bookmarkStart w:id="38" w:name="_GoBack"/>
      <w:bookmarkEnd w:id="38"/>
    </w:p>
    <w:p w:rsidR="00A9629E" w:rsidRDefault="00A9629E" w:rsidP="00A9629E">
      <w:pPr>
        <w:pStyle w:val="SH4"/>
      </w:pPr>
      <w:r>
        <w:t>Sjogren syndrome;</w:t>
      </w:r>
    </w:p>
    <w:p w:rsidR="00A9629E" w:rsidRDefault="00A9629E" w:rsidP="00A9629E">
      <w:pPr>
        <w:pStyle w:val="SH4"/>
      </w:pPr>
      <w:r>
        <w:t xml:space="preserve">systemic lupus erythematosus; or </w:t>
      </w:r>
    </w:p>
    <w:p w:rsidR="00A9629E" w:rsidRDefault="00A9629E" w:rsidP="00A9629E">
      <w:pPr>
        <w:pStyle w:val="SH4"/>
      </w:pPr>
      <w:proofErr w:type="gramStart"/>
      <w:r>
        <w:t>systemic</w:t>
      </w:r>
      <w:proofErr w:type="gramEnd"/>
      <w:r>
        <w:t xml:space="preserve"> sclerosis (scleroderma).  </w:t>
      </w:r>
    </w:p>
    <w:p w:rsidR="00A9629E" w:rsidRDefault="00A9629E" w:rsidP="00A9629E">
      <w:pPr>
        <w:pStyle w:val="SH3"/>
        <w:ind w:left="851"/>
      </w:pPr>
      <w:r w:rsidRPr="004F0A47">
        <w:rPr>
          <w:b/>
          <w:i/>
        </w:rPr>
        <w:t>taking a glucocorticoid drug as specified</w:t>
      </w:r>
      <w:r w:rsidRPr="003A09A8">
        <w:t xml:space="preserve"> means:</w:t>
      </w:r>
    </w:p>
    <w:p w:rsidR="00A9629E" w:rsidRDefault="00A9629E" w:rsidP="00A9629E">
      <w:pPr>
        <w:pStyle w:val="SH4"/>
      </w:pPr>
      <w:r>
        <w:t>taking prednisolone, in the combinations of mode of administration, dose, duration of treatment and proximity to the clinical onset or worsening of rotator cuff syndrome, as specified in Table 1 below; or</w:t>
      </w:r>
    </w:p>
    <w:p w:rsidR="00A9629E" w:rsidRDefault="0011751D" w:rsidP="00A9629E">
      <w:pPr>
        <w:pStyle w:val="SH4"/>
      </w:pPr>
      <w:proofErr w:type="gramStart"/>
      <w:r>
        <w:t>taking</w:t>
      </w:r>
      <w:proofErr w:type="gramEnd"/>
      <w:r w:rsidR="00A9629E">
        <w:t xml:space="preserve"> a glucocorticoid drug other than prednisolone</w:t>
      </w:r>
      <w:r>
        <w:t>, as specified in Table 1, and</w:t>
      </w:r>
      <w:r w:rsidR="00A9629E">
        <w:t xml:space="preserve"> in doses having an efficacy equivalent to prednisolone, that being calculated for the drugs listed in accordance with Table 2 below.</w:t>
      </w:r>
    </w:p>
    <w:p w:rsidR="00A9629E" w:rsidRPr="00016C61" w:rsidRDefault="00A9629E" w:rsidP="00A9629E">
      <w:pPr>
        <w:pStyle w:val="LV2"/>
        <w:numPr>
          <w:ilvl w:val="0"/>
          <w:numId w:val="0"/>
        </w:numPr>
        <w:ind w:left="1418"/>
      </w:pPr>
      <w:r w:rsidRPr="00016C61">
        <w:t>Table 1</w:t>
      </w:r>
    </w:p>
    <w:tbl>
      <w:tblPr>
        <w:tblW w:w="4736" w:type="pct"/>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1329"/>
        <w:gridCol w:w="1606"/>
        <w:gridCol w:w="1955"/>
        <w:gridCol w:w="1505"/>
      </w:tblGrid>
      <w:tr w:rsidR="00A9629E" w:rsidRPr="00284922" w:rsidTr="00735CCC">
        <w:tc>
          <w:tcPr>
            <w:tcW w:w="900"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b/>
                <w:sz w:val="24"/>
              </w:rPr>
            </w:pPr>
            <w:r w:rsidRPr="00735CCC">
              <w:rPr>
                <w:b/>
                <w:sz w:val="24"/>
              </w:rPr>
              <w:t xml:space="preserve">Drug </w:t>
            </w:r>
          </w:p>
        </w:tc>
        <w:tc>
          <w:tcPr>
            <w:tcW w:w="854"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b/>
                <w:sz w:val="24"/>
              </w:rPr>
            </w:pPr>
            <w:r w:rsidRPr="00735CCC">
              <w:rPr>
                <w:b/>
                <w:sz w:val="24"/>
              </w:rPr>
              <w:t>Mode</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b/>
                <w:sz w:val="24"/>
              </w:rPr>
            </w:pPr>
            <w:r w:rsidRPr="00735CCC">
              <w:rPr>
                <w:b/>
                <w:sz w:val="24"/>
              </w:rPr>
              <w:t>Dose</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b/>
                <w:sz w:val="24"/>
              </w:rPr>
            </w:pPr>
            <w:r w:rsidRPr="00735CCC">
              <w:rPr>
                <w:b/>
                <w:sz w:val="24"/>
              </w:rPr>
              <w:t>Minimum duration of treatment</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b/>
                <w:sz w:val="24"/>
              </w:rPr>
            </w:pPr>
            <w:r w:rsidRPr="00735CCC">
              <w:rPr>
                <w:b/>
                <w:sz w:val="24"/>
              </w:rPr>
              <w:t>Proximity to clinical onset or worsening</w:t>
            </w:r>
          </w:p>
        </w:tc>
      </w:tr>
      <w:tr w:rsidR="00A9629E" w:rsidRPr="00284922" w:rsidTr="00735CCC">
        <w:trPr>
          <w:trHeight w:val="430"/>
        </w:trPr>
        <w:tc>
          <w:tcPr>
            <w:tcW w:w="90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 xml:space="preserve">Prednisolone </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IV, IM, O</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 0.5 grams over 6 months</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6 months</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within the 3 years</w:t>
            </w:r>
          </w:p>
        </w:tc>
      </w:tr>
      <w:tr w:rsidR="00A9629E" w:rsidRPr="00284922" w:rsidTr="00735CCC">
        <w:trPr>
          <w:trHeight w:val="430"/>
        </w:trPr>
        <w:tc>
          <w:tcPr>
            <w:tcW w:w="9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629E" w:rsidRPr="00735CCC" w:rsidRDefault="00A9629E" w:rsidP="003C6567">
            <w:pPr>
              <w:rPr>
                <w:sz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629E" w:rsidRPr="00735CCC" w:rsidRDefault="00A9629E" w:rsidP="003C6567">
            <w:pPr>
              <w:rPr>
                <w:sz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 3 grams</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NS</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within the 5 years</w:t>
            </w:r>
          </w:p>
        </w:tc>
      </w:tr>
      <w:tr w:rsidR="00A9629E" w:rsidRPr="00284922" w:rsidTr="00735CCC">
        <w:trPr>
          <w:trHeight w:val="430"/>
        </w:trPr>
        <w:tc>
          <w:tcPr>
            <w:tcW w:w="9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629E" w:rsidRPr="00735CCC" w:rsidRDefault="00A9629E" w:rsidP="003C6567">
            <w:pPr>
              <w:rPr>
                <w:sz w:val="24"/>
              </w:rPr>
            </w:pPr>
          </w:p>
        </w:tc>
        <w:tc>
          <w:tcPr>
            <w:tcW w:w="8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629E" w:rsidRPr="00735CCC" w:rsidRDefault="00A9629E" w:rsidP="003C6567">
            <w:pPr>
              <w:rPr>
                <w:sz w:val="24"/>
              </w:rPr>
            </w:pP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 10 grams</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NS</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NS</w:t>
            </w:r>
          </w:p>
        </w:tc>
      </w:tr>
      <w:tr w:rsidR="00A9629E" w:rsidRPr="00284922" w:rsidTr="00735CCC">
        <w:trPr>
          <w:trHeight w:val="430"/>
        </w:trPr>
        <w:tc>
          <w:tcPr>
            <w:tcW w:w="9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9629E" w:rsidRPr="00735CCC" w:rsidRDefault="00A9629E" w:rsidP="003C6567">
            <w:pPr>
              <w:rPr>
                <w:sz w:val="24"/>
              </w:rPr>
            </w:pPr>
          </w:p>
        </w:tc>
        <w:tc>
          <w:tcPr>
            <w:tcW w:w="854"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Injection in tendon</w:t>
            </w:r>
          </w:p>
          <w:p w:rsidR="00A9629E" w:rsidRPr="00735CCC" w:rsidRDefault="00A9629E" w:rsidP="003C6567">
            <w:pPr>
              <w:rPr>
                <w:sz w:val="24"/>
              </w:rPr>
            </w:pPr>
            <w:r w:rsidRPr="00735CCC">
              <w:rPr>
                <w:sz w:val="24"/>
              </w:rPr>
              <w:t>region</w:t>
            </w:r>
          </w:p>
        </w:tc>
        <w:tc>
          <w:tcPr>
            <w:tcW w:w="1030"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 1 injection</w:t>
            </w:r>
          </w:p>
        </w:tc>
        <w:tc>
          <w:tcPr>
            <w:tcW w:w="1251"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NS</w:t>
            </w:r>
          </w:p>
        </w:tc>
        <w:tc>
          <w:tcPr>
            <w:tcW w:w="965" w:type="pct"/>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rPr>
                <w:sz w:val="24"/>
              </w:rPr>
            </w:pPr>
            <w:r w:rsidRPr="00735CCC">
              <w:rPr>
                <w:sz w:val="24"/>
              </w:rPr>
              <w:t>within the 2 weeks</w:t>
            </w:r>
          </w:p>
        </w:tc>
      </w:tr>
    </w:tbl>
    <w:p w:rsidR="00A9629E" w:rsidRDefault="00A9629E" w:rsidP="00A9629E">
      <w:pPr>
        <w:pStyle w:val="LV5"/>
        <w:numPr>
          <w:ilvl w:val="0"/>
          <w:numId w:val="0"/>
        </w:numPr>
        <w:ind w:left="3175" w:hanging="567"/>
      </w:pPr>
      <w:r w:rsidRPr="00016C61">
        <w:t xml:space="preserve">Abbreviations: IV = intravenous; IM = intramuscular; </w:t>
      </w:r>
    </w:p>
    <w:p w:rsidR="00A9629E" w:rsidRPr="00016C61" w:rsidRDefault="00A9629E" w:rsidP="00A9629E">
      <w:pPr>
        <w:pStyle w:val="LV5"/>
        <w:numPr>
          <w:ilvl w:val="0"/>
          <w:numId w:val="0"/>
        </w:numPr>
        <w:ind w:left="3175" w:hanging="567"/>
      </w:pPr>
      <w:r w:rsidRPr="00016C61">
        <w:t xml:space="preserve">O = oral; NS = not specified. </w:t>
      </w:r>
    </w:p>
    <w:p w:rsidR="00A9629E" w:rsidRPr="00302BF6" w:rsidRDefault="00A9629E" w:rsidP="00735CCC">
      <w:pPr>
        <w:pStyle w:val="LV2"/>
        <w:keepNext/>
        <w:numPr>
          <w:ilvl w:val="0"/>
          <w:numId w:val="0"/>
        </w:numPr>
        <w:ind w:left="1418"/>
      </w:pPr>
      <w:r w:rsidRPr="00302BF6">
        <w:t>Table 2</w:t>
      </w:r>
    </w:p>
    <w:tbl>
      <w:tblPr>
        <w:tblW w:w="6512" w:type="dxa"/>
        <w:tblInd w:w="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60"/>
      </w:tblGrid>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735CCC">
            <w:pPr>
              <w:keepNext/>
              <w:ind w:left="175"/>
              <w:rPr>
                <w:b/>
                <w:sz w:val="24"/>
              </w:rPr>
            </w:pPr>
            <w:r w:rsidRPr="00735CCC">
              <w:rPr>
                <w:b/>
                <w:sz w:val="24"/>
              </w:rPr>
              <w:t>Glucocorticoid drug</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735CCC">
            <w:pPr>
              <w:keepNext/>
              <w:spacing w:after="60"/>
              <w:ind w:left="-164"/>
              <w:jc w:val="center"/>
              <w:rPr>
                <w:b/>
                <w:sz w:val="24"/>
              </w:rPr>
            </w:pPr>
            <w:r w:rsidRPr="00735CCC">
              <w:rPr>
                <w:b/>
                <w:sz w:val="24"/>
              </w:rPr>
              <w:t>Dose efficacy equivalence to prednisolone</w:t>
            </w:r>
          </w:p>
        </w:tc>
      </w:tr>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629E" w:rsidRPr="00735CCC" w:rsidRDefault="00A9629E" w:rsidP="00735CCC">
            <w:pPr>
              <w:keepNext/>
              <w:ind w:left="175"/>
              <w:rPr>
                <w:sz w:val="24"/>
              </w:rPr>
            </w:pPr>
            <w:r w:rsidRPr="00735CCC">
              <w:rPr>
                <w:sz w:val="24"/>
              </w:rPr>
              <w:t>cortisone</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735CCC">
            <w:pPr>
              <w:keepNext/>
              <w:ind w:left="-163"/>
              <w:jc w:val="center"/>
              <w:rPr>
                <w:sz w:val="24"/>
              </w:rPr>
            </w:pPr>
            <w:r w:rsidRPr="00735CCC">
              <w:rPr>
                <w:sz w:val="24"/>
              </w:rPr>
              <w:t>5</w:t>
            </w:r>
          </w:p>
        </w:tc>
      </w:tr>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629E" w:rsidRPr="00735CCC" w:rsidRDefault="00A9629E" w:rsidP="003C6567">
            <w:pPr>
              <w:ind w:left="175"/>
              <w:rPr>
                <w:sz w:val="24"/>
              </w:rPr>
            </w:pPr>
            <w:r w:rsidRPr="00735CCC">
              <w:rPr>
                <w:sz w:val="24"/>
              </w:rPr>
              <w:t>hydrocortisone</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9629E" w:rsidRPr="00735CCC" w:rsidRDefault="00A9629E" w:rsidP="003C6567">
            <w:pPr>
              <w:ind w:left="-163"/>
              <w:jc w:val="center"/>
              <w:rPr>
                <w:sz w:val="24"/>
              </w:rPr>
            </w:pPr>
            <w:r w:rsidRPr="00735CCC">
              <w:rPr>
                <w:sz w:val="24"/>
              </w:rPr>
              <w:t>4</w:t>
            </w:r>
          </w:p>
        </w:tc>
      </w:tr>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A9629E" w:rsidRPr="00735CCC" w:rsidRDefault="00A9629E" w:rsidP="003C6567">
            <w:pPr>
              <w:ind w:left="175"/>
              <w:rPr>
                <w:sz w:val="24"/>
              </w:rPr>
            </w:pPr>
            <w:r w:rsidRPr="00735CCC">
              <w:rPr>
                <w:sz w:val="24"/>
              </w:rPr>
              <w:t>prednisolone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9629E" w:rsidRPr="00735CCC" w:rsidRDefault="00A9629E" w:rsidP="003C6567">
            <w:pPr>
              <w:ind w:left="-163"/>
              <w:jc w:val="center"/>
              <w:rPr>
                <w:sz w:val="24"/>
              </w:rPr>
            </w:pPr>
            <w:r w:rsidRPr="00735CCC">
              <w:rPr>
                <w:sz w:val="24"/>
              </w:rPr>
              <w:t>1</w:t>
            </w:r>
          </w:p>
        </w:tc>
      </w:tr>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A9629E" w:rsidRPr="00735CCC" w:rsidRDefault="00A9629E" w:rsidP="003C6567">
            <w:pPr>
              <w:ind w:left="175"/>
              <w:rPr>
                <w:sz w:val="24"/>
              </w:rPr>
            </w:pPr>
            <w:r w:rsidRPr="00735CCC">
              <w:rPr>
                <w:sz w:val="24"/>
              </w:rPr>
              <w:t>prednisone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9629E" w:rsidRPr="00735CCC" w:rsidRDefault="00A9629E" w:rsidP="003C6567">
            <w:pPr>
              <w:ind w:left="-163"/>
              <w:jc w:val="center"/>
              <w:rPr>
                <w:sz w:val="24"/>
              </w:rPr>
            </w:pPr>
            <w:r w:rsidRPr="00735CCC">
              <w:rPr>
                <w:sz w:val="24"/>
              </w:rPr>
              <w:t>1</w:t>
            </w:r>
          </w:p>
        </w:tc>
      </w:tr>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A9629E" w:rsidRPr="00735CCC" w:rsidRDefault="00A9629E" w:rsidP="003C6567">
            <w:pPr>
              <w:ind w:left="175"/>
              <w:rPr>
                <w:sz w:val="24"/>
              </w:rPr>
            </w:pPr>
            <w:r w:rsidRPr="00735CCC">
              <w:rPr>
                <w:sz w:val="24"/>
              </w:rPr>
              <w:t>methylprednisolone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9629E" w:rsidRPr="00735CCC" w:rsidRDefault="00A9629E" w:rsidP="003C6567">
            <w:pPr>
              <w:ind w:left="-163"/>
              <w:jc w:val="center"/>
              <w:rPr>
                <w:sz w:val="24"/>
              </w:rPr>
            </w:pPr>
            <w:r w:rsidRPr="00735CCC">
              <w:rPr>
                <w:sz w:val="24"/>
              </w:rPr>
              <w:t>0.8</w:t>
            </w:r>
          </w:p>
        </w:tc>
      </w:tr>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A9629E" w:rsidRPr="00735CCC" w:rsidRDefault="00A9629E" w:rsidP="003C6567">
            <w:pPr>
              <w:ind w:left="175"/>
              <w:rPr>
                <w:sz w:val="24"/>
              </w:rPr>
            </w:pPr>
            <w:r w:rsidRPr="00735CCC">
              <w:rPr>
                <w:sz w:val="24"/>
              </w:rPr>
              <w:t>triamcinolone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9629E" w:rsidRPr="00735CCC" w:rsidRDefault="00A9629E" w:rsidP="003C6567">
            <w:pPr>
              <w:ind w:left="-163"/>
              <w:jc w:val="center"/>
              <w:rPr>
                <w:sz w:val="24"/>
              </w:rPr>
            </w:pPr>
            <w:r w:rsidRPr="00735CCC">
              <w:rPr>
                <w:sz w:val="24"/>
              </w:rPr>
              <w:t>0.8</w:t>
            </w:r>
          </w:p>
        </w:tc>
      </w:tr>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A9629E" w:rsidRPr="00735CCC" w:rsidRDefault="00A9629E" w:rsidP="003C6567">
            <w:pPr>
              <w:ind w:left="175"/>
              <w:rPr>
                <w:sz w:val="24"/>
              </w:rPr>
            </w:pPr>
            <w:r w:rsidRPr="00735CCC">
              <w:rPr>
                <w:sz w:val="24"/>
              </w:rPr>
              <w:t>paramethasone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9629E" w:rsidRPr="00735CCC" w:rsidRDefault="00A9629E" w:rsidP="003C6567">
            <w:pPr>
              <w:ind w:left="-163"/>
              <w:jc w:val="center"/>
              <w:rPr>
                <w:sz w:val="24"/>
              </w:rPr>
            </w:pPr>
            <w:r w:rsidRPr="00735CCC">
              <w:rPr>
                <w:sz w:val="24"/>
              </w:rPr>
              <w:t>0.4</w:t>
            </w:r>
          </w:p>
        </w:tc>
      </w:tr>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A9629E" w:rsidRPr="00735CCC" w:rsidRDefault="00A9629E" w:rsidP="003C6567">
            <w:pPr>
              <w:ind w:left="175"/>
              <w:rPr>
                <w:sz w:val="24"/>
              </w:rPr>
            </w:pPr>
            <w:r w:rsidRPr="00735CCC">
              <w:rPr>
                <w:sz w:val="24"/>
              </w:rPr>
              <w:t>dexamethasone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9629E" w:rsidRPr="00735CCC" w:rsidRDefault="00A9629E" w:rsidP="003C6567">
            <w:pPr>
              <w:ind w:left="-163"/>
              <w:jc w:val="center"/>
              <w:rPr>
                <w:sz w:val="24"/>
              </w:rPr>
            </w:pPr>
            <w:r w:rsidRPr="00735CCC">
              <w:rPr>
                <w:sz w:val="24"/>
              </w:rPr>
              <w:t>0.15</w:t>
            </w:r>
          </w:p>
        </w:tc>
      </w:tr>
      <w:tr w:rsidR="00A9629E" w:rsidRPr="0090467D" w:rsidTr="00735CCC">
        <w:tc>
          <w:tcPr>
            <w:tcW w:w="3252" w:type="dxa"/>
            <w:tcBorders>
              <w:top w:val="single" w:sz="4" w:space="0" w:color="auto"/>
              <w:left w:val="single" w:sz="4" w:space="0" w:color="auto"/>
              <w:bottom w:val="single" w:sz="4" w:space="0" w:color="auto"/>
              <w:right w:val="single" w:sz="4" w:space="0" w:color="auto"/>
            </w:tcBorders>
            <w:shd w:val="clear" w:color="auto" w:fill="auto"/>
            <w:vAlign w:val="bottom"/>
          </w:tcPr>
          <w:p w:rsidR="00A9629E" w:rsidRPr="00735CCC" w:rsidRDefault="00A9629E" w:rsidP="003C6567">
            <w:pPr>
              <w:ind w:left="175"/>
              <w:rPr>
                <w:sz w:val="24"/>
              </w:rPr>
            </w:pPr>
            <w:r w:rsidRPr="00735CCC">
              <w:rPr>
                <w:sz w:val="24"/>
              </w:rPr>
              <w:t>betamethasone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9629E" w:rsidRPr="00735CCC" w:rsidRDefault="00A9629E" w:rsidP="003C6567">
            <w:pPr>
              <w:ind w:left="-163"/>
              <w:jc w:val="center"/>
              <w:rPr>
                <w:sz w:val="24"/>
              </w:rPr>
            </w:pPr>
            <w:r w:rsidRPr="00735CCC">
              <w:rPr>
                <w:sz w:val="24"/>
              </w:rPr>
              <w:t>0.12</w:t>
            </w:r>
          </w:p>
        </w:tc>
      </w:tr>
    </w:tbl>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rsidTr="00735CCC">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912730" w:rsidP="00681215">
          <w:pPr>
            <w:spacing w:line="0" w:lineRule="atLeast"/>
            <w:jc w:val="center"/>
            <w:rPr>
              <w:i/>
              <w:sz w:val="18"/>
              <w:szCs w:val="18"/>
            </w:rPr>
          </w:pPr>
          <w:r w:rsidRPr="00912730">
            <w:rPr>
              <w:bCs/>
              <w:i/>
              <w:sz w:val="18"/>
              <w:szCs w:val="18"/>
              <w:lang w:val="en-US"/>
            </w:rPr>
            <w:t>Rotator Cuff</w:t>
          </w:r>
          <w:r w:rsidRPr="00912730">
            <w:rPr>
              <w:i/>
              <w:sz w:val="18"/>
              <w:szCs w:val="18"/>
            </w:rPr>
            <w:t xml:space="preserve"> Syndrome</w:t>
          </w:r>
          <w:r w:rsidR="00681215">
            <w:rPr>
              <w:i/>
              <w:sz w:val="18"/>
              <w:szCs w:val="18"/>
            </w:rPr>
            <w:t xml:space="preserve"> (Balance of Probabilities) </w:t>
          </w:r>
          <w:r w:rsidR="00681215" w:rsidRPr="007C5CE0">
            <w:rPr>
              <w:i/>
              <w:sz w:val="18"/>
            </w:rPr>
            <w:t xml:space="preserve">(No. </w:t>
          </w:r>
          <w:r w:rsidRPr="00912730">
            <w:rPr>
              <w:i/>
              <w:sz w:val="18"/>
              <w:szCs w:val="18"/>
            </w:rPr>
            <w:t>110</w:t>
          </w:r>
          <w:r w:rsidR="00681215" w:rsidRPr="007C5CE0">
            <w:rPr>
              <w:i/>
              <w:sz w:val="18"/>
              <w:szCs w:val="18"/>
            </w:rPr>
            <w:t xml:space="preserve"> of </w:t>
          </w:r>
          <w:r w:rsidRPr="00912730">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35CCC">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35CCC">
            <w:rPr>
              <w:i/>
              <w:noProof/>
              <w:sz w:val="18"/>
            </w:rPr>
            <w:t>11</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681215" w:rsidRPr="00C01863" w:rsidTr="00735CCC">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912730" w:rsidP="00681215">
          <w:pPr>
            <w:spacing w:line="0" w:lineRule="atLeast"/>
            <w:jc w:val="center"/>
            <w:rPr>
              <w:i/>
              <w:sz w:val="18"/>
              <w:szCs w:val="18"/>
            </w:rPr>
          </w:pPr>
          <w:r w:rsidRPr="00912730">
            <w:rPr>
              <w:bCs/>
              <w:i/>
              <w:sz w:val="18"/>
              <w:szCs w:val="18"/>
              <w:lang w:val="en-US"/>
            </w:rPr>
            <w:t>Rotator Cuff</w:t>
          </w:r>
          <w:r w:rsidRPr="00912730">
            <w:rPr>
              <w:i/>
              <w:sz w:val="18"/>
              <w:szCs w:val="18"/>
            </w:rPr>
            <w:t xml:space="preserve"> Syndrome</w:t>
          </w:r>
          <w:r w:rsidR="00681215">
            <w:rPr>
              <w:i/>
              <w:sz w:val="18"/>
              <w:szCs w:val="18"/>
            </w:rPr>
            <w:t xml:space="preserve"> (Balance of Probabilities) </w:t>
          </w:r>
          <w:r w:rsidR="00681215" w:rsidRPr="007C5CE0">
            <w:rPr>
              <w:i/>
              <w:sz w:val="18"/>
            </w:rPr>
            <w:t xml:space="preserve">(No. </w:t>
          </w:r>
          <w:r w:rsidRPr="00912730">
            <w:rPr>
              <w:i/>
              <w:sz w:val="18"/>
              <w:szCs w:val="18"/>
            </w:rPr>
            <w:t>110</w:t>
          </w:r>
          <w:r w:rsidR="00681215" w:rsidRPr="007C5CE0">
            <w:rPr>
              <w:i/>
              <w:sz w:val="18"/>
              <w:szCs w:val="18"/>
            </w:rPr>
            <w:t xml:space="preserve"> of </w:t>
          </w:r>
          <w:r w:rsidRPr="00912730">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35CC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35CCC">
            <w:rPr>
              <w:i/>
              <w:noProof/>
              <w:sz w:val="18"/>
            </w:rPr>
            <w:t>11</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B765B47"/>
    <w:multiLevelType w:val="hybridMultilevel"/>
    <w:tmpl w:val="E7C2C162"/>
    <w:lvl w:ilvl="0" w:tplc="DBF03226">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3"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1298C6F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E82C1B"/>
    <w:multiLevelType w:val="hybridMultilevel"/>
    <w:tmpl w:val="80607E30"/>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7"/>
  </w:num>
  <w:num w:numId="24">
    <w:abstractNumId w:val="15"/>
  </w:num>
  <w:num w:numId="25">
    <w:abstractNumId w:val="19"/>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30D4"/>
    <w:rsid w:val="000F76FA"/>
    <w:rsid w:val="000F7717"/>
    <w:rsid w:val="00101F89"/>
    <w:rsid w:val="001058EA"/>
    <w:rsid w:val="0010745C"/>
    <w:rsid w:val="0011751D"/>
    <w:rsid w:val="00130420"/>
    <w:rsid w:val="00132CEB"/>
    <w:rsid w:val="00134640"/>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A22AF"/>
    <w:rsid w:val="001B0F26"/>
    <w:rsid w:val="001C2AD2"/>
    <w:rsid w:val="001C61C5"/>
    <w:rsid w:val="001C69C4"/>
    <w:rsid w:val="001C77EE"/>
    <w:rsid w:val="001D0896"/>
    <w:rsid w:val="001D2262"/>
    <w:rsid w:val="001D37EF"/>
    <w:rsid w:val="001D407A"/>
    <w:rsid w:val="001D67F6"/>
    <w:rsid w:val="001E296E"/>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2552A"/>
    <w:rsid w:val="00431E9B"/>
    <w:rsid w:val="00436129"/>
    <w:rsid w:val="004379E3"/>
    <w:rsid w:val="0044015E"/>
    <w:rsid w:val="0044291A"/>
    <w:rsid w:val="00444ABD"/>
    <w:rsid w:val="00456CE5"/>
    <w:rsid w:val="0046351C"/>
    <w:rsid w:val="0046482B"/>
    <w:rsid w:val="00467661"/>
    <w:rsid w:val="004705B7"/>
    <w:rsid w:val="00472DBE"/>
    <w:rsid w:val="00474A19"/>
    <w:rsid w:val="004834A1"/>
    <w:rsid w:val="004840A6"/>
    <w:rsid w:val="004916B9"/>
    <w:rsid w:val="00493386"/>
    <w:rsid w:val="00496F97"/>
    <w:rsid w:val="004A0583"/>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B488E"/>
    <w:rsid w:val="005C3F41"/>
    <w:rsid w:val="005D2D09"/>
    <w:rsid w:val="005D6DCF"/>
    <w:rsid w:val="005E082D"/>
    <w:rsid w:val="005E6900"/>
    <w:rsid w:val="005E7FC2"/>
    <w:rsid w:val="00600219"/>
    <w:rsid w:val="006013B7"/>
    <w:rsid w:val="00603D01"/>
    <w:rsid w:val="00603DC4"/>
    <w:rsid w:val="00615B89"/>
    <w:rsid w:val="00616FF5"/>
    <w:rsid w:val="00617C4E"/>
    <w:rsid w:val="00620076"/>
    <w:rsid w:val="00626B60"/>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35CCC"/>
    <w:rsid w:val="00741718"/>
    <w:rsid w:val="007440B7"/>
    <w:rsid w:val="007500C8"/>
    <w:rsid w:val="00750EDA"/>
    <w:rsid w:val="007527C1"/>
    <w:rsid w:val="007534B2"/>
    <w:rsid w:val="00756272"/>
    <w:rsid w:val="00757544"/>
    <w:rsid w:val="007615E2"/>
    <w:rsid w:val="00763D94"/>
    <w:rsid w:val="00764D43"/>
    <w:rsid w:val="0076681A"/>
    <w:rsid w:val="007677CF"/>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043"/>
    <w:rsid w:val="007C2253"/>
    <w:rsid w:val="007C3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08F9"/>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730"/>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9629E"/>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25144"/>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6F9E"/>
    <w:rsid w:val="00C25E7F"/>
    <w:rsid w:val="00C2746F"/>
    <w:rsid w:val="00C27489"/>
    <w:rsid w:val="00C324A0"/>
    <w:rsid w:val="00C3300F"/>
    <w:rsid w:val="00C349C5"/>
    <w:rsid w:val="00C42BF8"/>
    <w:rsid w:val="00C50043"/>
    <w:rsid w:val="00C56EAD"/>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480A"/>
    <w:rsid w:val="00CD7B88"/>
    <w:rsid w:val="00CE051D"/>
    <w:rsid w:val="00CE1335"/>
    <w:rsid w:val="00CE493D"/>
    <w:rsid w:val="00CF07FA"/>
    <w:rsid w:val="00CF0BB2"/>
    <w:rsid w:val="00CF10C2"/>
    <w:rsid w:val="00CF2367"/>
    <w:rsid w:val="00CF3EE8"/>
    <w:rsid w:val="00D050E6"/>
    <w:rsid w:val="00D06A31"/>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04AD"/>
    <w:rsid w:val="00E544BB"/>
    <w:rsid w:val="00E55790"/>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B7D8D"/>
    <w:rsid w:val="00EC7405"/>
    <w:rsid w:val="00ED2BB6"/>
    <w:rsid w:val="00ED34E1"/>
    <w:rsid w:val="00ED3B8D"/>
    <w:rsid w:val="00ED46FF"/>
    <w:rsid w:val="00ED4913"/>
    <w:rsid w:val="00EF2E3A"/>
    <w:rsid w:val="00F03C06"/>
    <w:rsid w:val="00F072A7"/>
    <w:rsid w:val="00F078DC"/>
    <w:rsid w:val="00F32BA8"/>
    <w:rsid w:val="00F349F1"/>
    <w:rsid w:val="00F4350D"/>
    <w:rsid w:val="00F52487"/>
    <w:rsid w:val="00F52BA4"/>
    <w:rsid w:val="00F5492E"/>
    <w:rsid w:val="00F567F7"/>
    <w:rsid w:val="00F57179"/>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2F2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626B60"/>
    <w:pPr>
      <w:numPr>
        <w:numId w:val="5"/>
      </w:numPr>
      <w:spacing w:before="200" w:line="280" w:lineRule="atLeast"/>
      <w:ind w:hanging="481"/>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2683</Words>
  <Characters>15294</Characters>
  <Application>Microsoft Office Word</Application>
  <DocSecurity>0</DocSecurity>
  <PresentationFormat/>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2022-09-13T03:18:00Z</dcterms:created>
  <dcterms:modified xsi:type="dcterms:W3CDTF">2022-10-19T03:32:00Z</dcterms:modified>
  <cp:category/>
  <cp:contentStatus/>
  <dc:language/>
  <cp:version/>
</cp:coreProperties>
</file>