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D4089F" w:rsidRDefault="00BB5E67" w:rsidP="00D4089F">
      <w:pPr>
        <w:pStyle w:val="Plainheader"/>
      </w:pPr>
      <w:r>
        <w:t xml:space="preserve">GUILLAIN-BARRE </w:t>
      </w:r>
      <w:proofErr w:type="gramStart"/>
      <w:r>
        <w:t>SYNDROME</w:t>
      </w:r>
      <w:proofErr w:type="gramEnd"/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bookmarkStart w:id="0" w:name="BP"/>
      <w:r w:rsidR="006431DC">
        <w:t>7</w:t>
      </w:r>
      <w:r w:rsidR="00AE586B">
        <w:t>5</w:t>
      </w:r>
      <w:bookmarkEnd w:id="0"/>
      <w:r w:rsidRPr="00024911">
        <w:t xml:space="preserve"> of</w:t>
      </w:r>
      <w:r w:rsidR="00BB5E67">
        <w:t xml:space="preserve"> 2022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AE586B">
        <w:t>24 June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bookmarkStart w:id="1" w:name="_GoBack"/>
            <w:bookmarkEnd w:id="1"/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 xml:space="preserve">Professor </w:t>
            </w:r>
            <w:r w:rsidR="00AF2C3E" w:rsidRPr="00AF2C3E">
              <w:t>Terence Campbell AM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6431DC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 w:rsidR="006431DC"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 w:rsidR="006431DC"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 w:rsidR="006431DC"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517781245"/>
      <w:r>
        <w:lastRenderedPageBreak/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FB6523">
        <w:rPr>
          <w:i/>
        </w:rPr>
        <w:t>Guillain-Barre syndrome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AE586B">
        <w:t>75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B6523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517781246"/>
      <w:r w:rsidRPr="00684C0E">
        <w:t>Commencement</w:t>
      </w:r>
      <w:bookmarkEnd w:id="5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AE586B" w:rsidRPr="00AE586B">
        <w:t>25 July 2022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517781247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517781248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0A3994" w:rsidRPr="000A3994">
        <w:t xml:space="preserve">Statement of Principles concerning </w:t>
      </w:r>
      <w:r w:rsidR="00FB6523">
        <w:rPr>
          <w:i/>
        </w:rPr>
        <w:t>Guillain-Barre syndrome</w:t>
      </w:r>
      <w:r w:rsidR="000A3994" w:rsidRPr="00A85FA9">
        <w:rPr>
          <w:i/>
        </w:rPr>
        <w:t xml:space="preserve"> (Balance of Probabilities)</w:t>
      </w:r>
      <w:r w:rsidR="00FB6523">
        <w:t xml:space="preserve"> (</w:t>
      </w:r>
      <w:r w:rsidR="000A3994" w:rsidRPr="000A3994">
        <w:t xml:space="preserve">No. </w:t>
      </w:r>
      <w:r w:rsidR="00FB6523">
        <w:t>24 of 2018</w:t>
      </w:r>
      <w:r w:rsidR="000A3994" w:rsidRPr="000A3994">
        <w:t xml:space="preserve">) </w:t>
      </w:r>
      <w:r w:rsidR="00A93686">
        <w:t xml:space="preserve">(Federal </w:t>
      </w:r>
      <w:r w:rsidR="00FB6523">
        <w:t>Register of Legislation No. F2018L00187</w:t>
      </w:r>
      <w:r w:rsidR="00A93686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6E04A4">
        <w:tc>
          <w:tcPr>
            <w:tcW w:w="1559" w:type="dxa"/>
          </w:tcPr>
          <w:p w:rsidR="001D3EA4" w:rsidRPr="00B33F5C" w:rsidRDefault="00BB5E67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9(5</w:t>
            </w:r>
            <w:r w:rsidR="001D3EA4">
              <w:rPr>
                <w:i/>
              </w:rPr>
              <w:t>)</w:t>
            </w:r>
          </w:p>
        </w:tc>
        <w:tc>
          <w:tcPr>
            <w:tcW w:w="5756" w:type="dxa"/>
          </w:tcPr>
          <w:p w:rsidR="001D3EA4" w:rsidRPr="00E910AC" w:rsidRDefault="001D3EA4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E910AC">
              <w:rPr>
                <w:i/>
                <w:sz w:val="24"/>
                <w:szCs w:val="24"/>
              </w:rPr>
              <w:t xml:space="preserve">Replace </w:t>
            </w:r>
            <w:r>
              <w:rPr>
                <w:i/>
                <w:sz w:val="24"/>
                <w:szCs w:val="24"/>
              </w:rPr>
              <w:t xml:space="preserve">the </w:t>
            </w:r>
            <w:r w:rsidRPr="00E910AC">
              <w:rPr>
                <w:i/>
                <w:sz w:val="24"/>
                <w:szCs w:val="24"/>
              </w:rPr>
              <w:t>existing factor in subsection 9(</w:t>
            </w:r>
            <w:r w:rsidR="00BB5E67">
              <w:rPr>
                <w:i/>
                <w:sz w:val="24"/>
                <w:szCs w:val="24"/>
              </w:rPr>
              <w:t>5</w:t>
            </w:r>
            <w:r w:rsidRPr="00E910AC">
              <w:rPr>
                <w:i/>
                <w:sz w:val="24"/>
                <w:szCs w:val="24"/>
              </w:rPr>
              <w:t>) with the following</w:t>
            </w:r>
            <w:r w:rsidRPr="00896189">
              <w:rPr>
                <w:sz w:val="24"/>
                <w:szCs w:val="24"/>
              </w:rPr>
              <w:t>:</w:t>
            </w:r>
          </w:p>
          <w:p w:rsidR="00BB5E67" w:rsidRPr="00BB5E67" w:rsidRDefault="00BB5E67" w:rsidP="00BB5E67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  <w:r w:rsidRPr="00BB5E67">
              <w:rPr>
                <w:rFonts w:cs="Arial"/>
                <w:sz w:val="24"/>
                <w:szCs w:val="24"/>
              </w:rPr>
              <w:t xml:space="preserve">receiving a vaccine from the specified list of vaccines within the two months before the clinical onset of Guillain-Barre syndrome; </w:t>
            </w:r>
          </w:p>
          <w:p w:rsidR="00BB5E67" w:rsidRPr="00BB5E67" w:rsidRDefault="00BB5E67" w:rsidP="00BB5E67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18"/>
                <w:szCs w:val="18"/>
              </w:rPr>
            </w:pPr>
            <w:r w:rsidRPr="00BB5E67">
              <w:rPr>
                <w:rFonts w:cs="Arial"/>
                <w:sz w:val="18"/>
                <w:szCs w:val="18"/>
              </w:rPr>
              <w:t xml:space="preserve">Note: </w:t>
            </w:r>
            <w:r w:rsidRPr="00BB5E67">
              <w:rPr>
                <w:rFonts w:cs="Arial"/>
                <w:b/>
                <w:i/>
                <w:sz w:val="18"/>
                <w:szCs w:val="18"/>
              </w:rPr>
              <w:t>specified list of vaccines</w:t>
            </w:r>
            <w:r w:rsidRPr="00BB5E67">
              <w:rPr>
                <w:rFonts w:cs="Arial"/>
                <w:sz w:val="18"/>
                <w:szCs w:val="18"/>
              </w:rPr>
              <w:t xml:space="preserve"> is defined in the Schedule 1 – Dictionary.</w:t>
            </w:r>
          </w:p>
          <w:p w:rsidR="001D3EA4" w:rsidRDefault="001D3EA4" w:rsidP="001D3E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</w:rPr>
            </w:pPr>
          </w:p>
        </w:tc>
      </w:tr>
      <w:tr w:rsidR="00420AD3" w:rsidTr="006E04A4">
        <w:tc>
          <w:tcPr>
            <w:tcW w:w="1559" w:type="dxa"/>
          </w:tcPr>
          <w:p w:rsidR="00420AD3" w:rsidRDefault="00B33F5C" w:rsidP="00736C55">
            <w:pPr>
              <w:pStyle w:val="Plain"/>
              <w:spacing w:before="60" w:after="60" w:line="240" w:lineRule="atLeast"/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6B4A90" w:rsidRPr="00DD7543" w:rsidRDefault="006B4A90" w:rsidP="006B4A90">
            <w:pPr>
              <w:pStyle w:val="Plain"/>
              <w:spacing w:before="60" w:after="60" w:line="240" w:lineRule="atLeast"/>
            </w:pPr>
            <w:r w:rsidRPr="001D3EA4">
              <w:rPr>
                <w:i/>
              </w:rPr>
              <w:t>Insert the following definition of "</w:t>
            </w:r>
            <w:r w:rsidR="00BB5E67">
              <w:rPr>
                <w:i/>
              </w:rPr>
              <w:t>specified list of vaccines</w:t>
            </w:r>
            <w:r w:rsidRPr="001D3EA4">
              <w:rPr>
                <w:i/>
              </w:rPr>
              <w:t>" in alphabetical order</w:t>
            </w:r>
            <w:r w:rsidRPr="00DD7543">
              <w:t>:</w:t>
            </w:r>
          </w:p>
          <w:p w:rsidR="00BB5E67" w:rsidRDefault="00BB5E67" w:rsidP="00BB5E67">
            <w:pPr>
              <w:pStyle w:val="Plain"/>
              <w:spacing w:before="60" w:after="60" w:line="240" w:lineRule="atLeast"/>
            </w:pPr>
            <w:r w:rsidRPr="00BB5E67">
              <w:rPr>
                <w:b/>
                <w:i/>
              </w:rPr>
              <w:t>specified list of vaccines</w:t>
            </w:r>
            <w:r w:rsidR="00FB6523">
              <w:t xml:space="preserve"> means:</w:t>
            </w:r>
          </w:p>
          <w:p w:rsidR="00BB5E67" w:rsidRDefault="00BB5E67" w:rsidP="00F60B21">
            <w:pPr>
              <w:pStyle w:val="Plain"/>
              <w:ind w:left="605" w:hanging="605"/>
            </w:pPr>
            <w:r>
              <w:t>(a)</w:t>
            </w:r>
            <w:r>
              <w:tab/>
              <w:t>adenovirus vector coronavirus 2019 (COVID-19) vaccine;</w:t>
            </w:r>
          </w:p>
          <w:p w:rsidR="00BB5E67" w:rsidRDefault="00BB5E67" w:rsidP="00F60B21">
            <w:pPr>
              <w:pStyle w:val="Plain"/>
            </w:pPr>
            <w:r>
              <w:t>(b)</w:t>
            </w:r>
            <w:r>
              <w:tab/>
              <w:t>influenza vaccine; or</w:t>
            </w:r>
          </w:p>
          <w:p w:rsidR="00BB5E67" w:rsidRDefault="00BB5E67" w:rsidP="00F60B21">
            <w:pPr>
              <w:pStyle w:val="Plain"/>
            </w:pPr>
            <w:r>
              <w:t>(c)</w:t>
            </w:r>
            <w:r>
              <w:tab/>
            </w:r>
            <w:proofErr w:type="gramStart"/>
            <w:r>
              <w:t>nerve</w:t>
            </w:r>
            <w:proofErr w:type="gramEnd"/>
            <w:r>
              <w:t xml:space="preserve"> tissue derived rabies vaccine.</w:t>
            </w:r>
          </w:p>
          <w:p w:rsidR="00BB5E67" w:rsidRPr="00BB5E67" w:rsidRDefault="00BB5E67" w:rsidP="00BB5E67">
            <w:pPr>
              <w:pStyle w:val="Plain"/>
              <w:spacing w:before="60" w:after="60" w:line="240" w:lineRule="atLeast"/>
              <w:rPr>
                <w:sz w:val="18"/>
                <w:szCs w:val="18"/>
              </w:rPr>
            </w:pPr>
            <w:r w:rsidRPr="00BB5E67">
              <w:rPr>
                <w:sz w:val="18"/>
                <w:szCs w:val="18"/>
              </w:rPr>
              <w:t>Note: Examples of adenovirus vector COVID-19 vaccines include:</w:t>
            </w:r>
          </w:p>
          <w:p w:rsidR="00BB5E67" w:rsidRPr="00F60B21" w:rsidRDefault="00BB5E67" w:rsidP="00F60B21">
            <w:pPr>
              <w:pStyle w:val="LV4"/>
              <w:numPr>
                <w:ilvl w:val="3"/>
                <w:numId w:val="22"/>
              </w:numPr>
              <w:spacing w:before="120"/>
              <w:ind w:left="890" w:hanging="425"/>
              <w:rPr>
                <w:sz w:val="18"/>
                <w:szCs w:val="18"/>
              </w:rPr>
            </w:pPr>
            <w:r w:rsidRPr="00F60B21">
              <w:rPr>
                <w:sz w:val="18"/>
                <w:szCs w:val="18"/>
              </w:rPr>
              <w:t>Ad26.COV2.S (Janssen COVID-19 Vaccine);</w:t>
            </w:r>
          </w:p>
          <w:p w:rsidR="00BB5E67" w:rsidRPr="00F60B21" w:rsidRDefault="00BB5E67" w:rsidP="00F60B21">
            <w:pPr>
              <w:pStyle w:val="LV4"/>
              <w:numPr>
                <w:ilvl w:val="3"/>
                <w:numId w:val="22"/>
              </w:numPr>
              <w:ind w:left="888" w:hanging="425"/>
              <w:rPr>
                <w:sz w:val="18"/>
                <w:szCs w:val="18"/>
              </w:rPr>
            </w:pPr>
            <w:r w:rsidRPr="00F60B21">
              <w:rPr>
                <w:sz w:val="18"/>
                <w:szCs w:val="18"/>
              </w:rPr>
              <w:t>ChAdOx1 nCoV-19 (</w:t>
            </w:r>
            <w:proofErr w:type="spellStart"/>
            <w:r w:rsidRPr="00F60B21">
              <w:rPr>
                <w:sz w:val="18"/>
                <w:szCs w:val="18"/>
              </w:rPr>
              <w:t>Vax</w:t>
            </w:r>
            <w:r w:rsidR="00404880">
              <w:rPr>
                <w:sz w:val="18"/>
                <w:szCs w:val="18"/>
              </w:rPr>
              <w:t>z</w:t>
            </w:r>
            <w:r w:rsidRPr="00F60B21">
              <w:rPr>
                <w:sz w:val="18"/>
                <w:szCs w:val="18"/>
              </w:rPr>
              <w:t>evria</w:t>
            </w:r>
            <w:proofErr w:type="spellEnd"/>
            <w:r w:rsidRPr="00F60B21">
              <w:rPr>
                <w:sz w:val="18"/>
                <w:szCs w:val="18"/>
              </w:rPr>
              <w:t>, Oxford/Astra-Zeneca);</w:t>
            </w:r>
          </w:p>
          <w:p w:rsidR="00BB5E67" w:rsidRPr="00F60B21" w:rsidRDefault="00BB5E67" w:rsidP="00F60B21">
            <w:pPr>
              <w:pStyle w:val="LV4"/>
              <w:numPr>
                <w:ilvl w:val="3"/>
                <w:numId w:val="22"/>
              </w:numPr>
              <w:ind w:left="888" w:hanging="425"/>
              <w:rPr>
                <w:sz w:val="18"/>
                <w:szCs w:val="18"/>
              </w:rPr>
            </w:pPr>
            <w:r w:rsidRPr="00F60B21">
              <w:rPr>
                <w:sz w:val="18"/>
                <w:szCs w:val="18"/>
              </w:rPr>
              <w:t>Gam-COVID-Vac (Sputnik V, Sputnik Light); and</w:t>
            </w:r>
          </w:p>
          <w:p w:rsidR="00BB5E67" w:rsidRPr="00F60B21" w:rsidRDefault="00BB5E67" w:rsidP="00F60B21">
            <w:pPr>
              <w:pStyle w:val="LV4"/>
              <w:numPr>
                <w:ilvl w:val="3"/>
                <w:numId w:val="22"/>
              </w:numPr>
              <w:ind w:left="888" w:hanging="425"/>
              <w:rPr>
                <w:sz w:val="18"/>
                <w:szCs w:val="18"/>
              </w:rPr>
            </w:pPr>
            <w:r w:rsidRPr="00F60B21">
              <w:rPr>
                <w:sz w:val="18"/>
                <w:szCs w:val="18"/>
              </w:rPr>
              <w:t>AD5-nCOV (</w:t>
            </w:r>
            <w:proofErr w:type="spellStart"/>
            <w:r w:rsidRPr="00F60B21">
              <w:rPr>
                <w:sz w:val="18"/>
                <w:szCs w:val="18"/>
              </w:rPr>
              <w:t>Convidecia</w:t>
            </w:r>
            <w:proofErr w:type="spellEnd"/>
            <w:r w:rsidRPr="00F60B21">
              <w:rPr>
                <w:sz w:val="18"/>
                <w:szCs w:val="18"/>
              </w:rPr>
              <w:t>).</w:t>
            </w:r>
          </w:p>
          <w:p w:rsidR="002664A2" w:rsidRPr="00B33F5C" w:rsidRDefault="002664A2" w:rsidP="001D3EA4">
            <w:pPr>
              <w:pStyle w:val="Plain"/>
              <w:spacing w:before="60" w:after="60" w:line="240" w:lineRule="atLeast"/>
              <w:rPr>
                <w:i/>
              </w:rPr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4A26BE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Guillain-Barre S</w:t>
          </w:r>
          <w:r w:rsidR="00BB5E67">
            <w:rPr>
              <w:i/>
              <w:sz w:val="18"/>
              <w:szCs w:val="18"/>
            </w:rPr>
            <w:t xml:space="preserve">yndrome </w:t>
          </w:r>
          <w:r w:rsidR="00D87D43">
            <w:rPr>
              <w:i/>
              <w:sz w:val="18"/>
              <w:szCs w:val="18"/>
            </w:rPr>
            <w:t xml:space="preserve">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AE586B">
            <w:rPr>
              <w:i/>
              <w:sz w:val="18"/>
              <w:szCs w:val="18"/>
            </w:rPr>
            <w:t>75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 w:rsidR="00BB5E67">
            <w:rPr>
              <w:i/>
              <w:sz w:val="18"/>
              <w:szCs w:val="18"/>
            </w:rPr>
            <w:t>2022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B5B96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B5B96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BB5E67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Guillain-Barre </w:t>
          </w:r>
          <w:r w:rsidR="004A26BE">
            <w:rPr>
              <w:i/>
              <w:sz w:val="18"/>
              <w:szCs w:val="18"/>
            </w:rPr>
            <w:t>S</w:t>
          </w:r>
          <w:r>
            <w:rPr>
              <w:i/>
              <w:sz w:val="18"/>
              <w:szCs w:val="18"/>
            </w:rPr>
            <w:t>yndrome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AE586B">
            <w:rPr>
              <w:i/>
              <w:sz w:val="18"/>
            </w:rPr>
            <w:t>(No.75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B5B96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B5B96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0C1A743F"/>
    <w:multiLevelType w:val="hybridMultilevel"/>
    <w:tmpl w:val="AB94F4A6"/>
    <w:lvl w:ilvl="0" w:tplc="8588394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8A92C9F"/>
    <w:multiLevelType w:val="hybridMultilevel"/>
    <w:tmpl w:val="B234FCDC"/>
    <w:lvl w:ilvl="0" w:tplc="8588394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21227898">
      <w:start w:val="1"/>
      <w:numFmt w:val="lowerLetter"/>
      <w:lvlText w:val="(%4)"/>
      <w:lvlJc w:val="left"/>
      <w:pPr>
        <w:ind w:left="2880" w:hanging="360"/>
      </w:pPr>
      <w:rPr>
        <w:rFonts w:ascii="Times New Roman" w:hAnsi="Times New Roman" w:hint="default"/>
        <w:sz w:val="18"/>
        <w:szCs w:val="18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3A81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04880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134A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26BE"/>
    <w:rsid w:val="004A4764"/>
    <w:rsid w:val="004A5E4B"/>
    <w:rsid w:val="004B5B96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431DC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087D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7F78A4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9E65CF"/>
    <w:rsid w:val="00A06E7A"/>
    <w:rsid w:val="00A079CB"/>
    <w:rsid w:val="00A07CDC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586B"/>
    <w:rsid w:val="00AE67D2"/>
    <w:rsid w:val="00AF021B"/>
    <w:rsid w:val="00AF06CF"/>
    <w:rsid w:val="00AF2C3E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5E67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696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4B44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0B21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6523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1795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2022-06-15T02:57:00Z</dcterms:created>
  <dcterms:modified xsi:type="dcterms:W3CDTF">2022-06-27T23:18:00Z</dcterms:modified>
  <cp:category/>
  <cp:contentStatus/>
  <dc:language/>
  <cp:version/>
</cp:coreProperties>
</file>