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9D6AC1" w:rsidP="006647B7">
      <w:pPr>
        <w:pStyle w:val="Plainheader"/>
      </w:pPr>
      <w:proofErr w:type="gramStart"/>
      <w:r>
        <w:t>CONJUNCTIVITIS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0D582A">
        <w:t>90</w:t>
      </w:r>
      <w:r w:rsidRPr="00024911">
        <w:t xml:space="preserve"> of</w:t>
      </w:r>
      <w:r w:rsidR="00085567">
        <w:t xml:space="preserve"> </w:t>
      </w:r>
      <w:r w:rsidR="009D6AC1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3C5B1D">
        <w:t>23</w:t>
      </w:r>
      <w:r w:rsidR="005E0C81">
        <w:t xml:space="preserve"> August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1" w:name="_Toc517781227"/>
      <w:r>
        <w:lastRenderedPageBreak/>
        <w:t>Name</w:t>
      </w:r>
      <w:bookmarkEnd w:id="1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227C0D">
        <w:rPr>
          <w:i/>
        </w:rPr>
        <w:t>conjunctivitis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D582A">
        <w:t>90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27C0D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3" w:name="_Toc517781228"/>
      <w:r w:rsidRPr="00684C0E">
        <w:t>Commencement</w:t>
      </w:r>
      <w:bookmarkEnd w:id="3"/>
    </w:p>
    <w:p w:rsidR="00F67B67" w:rsidRPr="005E0C8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E0C81" w:rsidRPr="005E0C81">
        <w:t>19 September 2022.</w:t>
      </w:r>
    </w:p>
    <w:p w:rsidR="00F67B67" w:rsidRPr="00684C0E" w:rsidRDefault="00F67B67" w:rsidP="0069220C">
      <w:pPr>
        <w:pStyle w:val="LV1"/>
      </w:pPr>
      <w:bookmarkStart w:id="4" w:name="_Toc517781229"/>
      <w:r w:rsidRPr="00684C0E">
        <w:t>Authority</w:t>
      </w:r>
      <w:bookmarkEnd w:id="4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5" w:name="_Toc417979035"/>
      <w:bookmarkStart w:id="6" w:name="_Toc517781230"/>
      <w:bookmarkStart w:id="7" w:name="_Ref409687573"/>
      <w:bookmarkStart w:id="8" w:name="_Ref409687579"/>
      <w:bookmarkStart w:id="9" w:name="_Ref409687725"/>
      <w:r>
        <w:t>Amendment</w:t>
      </w:r>
      <w:bookmarkEnd w:id="5"/>
      <w:bookmarkEnd w:id="6"/>
    </w:p>
    <w:p w:rsidR="00420AD3" w:rsidRDefault="00420AD3" w:rsidP="00CC2B3F">
      <w:pPr>
        <w:pStyle w:val="PlainIndent"/>
      </w:pPr>
      <w:bookmarkStart w:id="10" w:name="_Ref403053584"/>
      <w:bookmarkEnd w:id="7"/>
      <w:bookmarkEnd w:id="8"/>
      <w:bookmarkEnd w:id="9"/>
      <w:r>
        <w:t>The</w:t>
      </w:r>
      <w:r w:rsidRPr="00D5620B">
        <w:t xml:space="preserve"> </w:t>
      </w:r>
      <w:bookmarkEnd w:id="10"/>
      <w:r w:rsidR="007A72EF">
        <w:t xml:space="preserve">Statement of Principles concerning </w:t>
      </w:r>
      <w:bookmarkStart w:id="11" w:name="SoP_Name"/>
      <w:r w:rsidR="00227C0D">
        <w:rPr>
          <w:i/>
        </w:rPr>
        <w:t>conjunctivitis</w:t>
      </w:r>
      <w:bookmarkEnd w:id="11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227C0D">
        <w:t>76 of 2020</w:t>
      </w:r>
      <w:r w:rsidR="007A72EF">
        <w:t xml:space="preserve">) </w:t>
      </w:r>
      <w:r w:rsidR="00B25E8D">
        <w:t xml:space="preserve">(Federal </w:t>
      </w:r>
      <w:r w:rsidR="00227C0D">
        <w:t>R</w:t>
      </w:r>
      <w:r w:rsidR="00FE15FD">
        <w:t>egister of Legislation No. F2020</w:t>
      </w:r>
      <w:bookmarkStart w:id="12" w:name="_GoBack"/>
      <w:bookmarkEnd w:id="12"/>
      <w:r w:rsidR="00227C0D">
        <w:t>L01395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5F0132">
        <w:tc>
          <w:tcPr>
            <w:tcW w:w="1559" w:type="dxa"/>
          </w:tcPr>
          <w:p w:rsidR="001D3EA4" w:rsidRPr="00B33F5C" w:rsidRDefault="009D6AC1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9(5A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9D6AC1" w:rsidRDefault="009D6AC1" w:rsidP="009D6AC1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Insert the following factor as subsection 9(5A)</w:t>
            </w:r>
            <w:r w:rsidRPr="001D3EA4">
              <w:t>:</w:t>
            </w:r>
          </w:p>
          <w:p w:rsidR="009D6AC1" w:rsidRDefault="009D6AC1" w:rsidP="009D6AC1">
            <w:pPr>
              <w:pStyle w:val="Plain"/>
              <w:tabs>
                <w:tab w:val="left" w:pos="1944"/>
              </w:tabs>
              <w:spacing w:line="240" w:lineRule="atLeast"/>
            </w:pPr>
            <w:r>
              <w:t>having a sensitising exposure to an allergen before the clinical onset of conjunctivitis;</w:t>
            </w:r>
          </w:p>
          <w:p w:rsidR="009D6AC1" w:rsidRDefault="009D6AC1" w:rsidP="009D6AC1">
            <w:pPr>
              <w:pStyle w:val="NOTEScheduleonly"/>
            </w:pPr>
            <w:r>
              <w:t xml:space="preserve">Note: </w:t>
            </w:r>
            <w:r w:rsidRPr="00443AA9">
              <w:rPr>
                <w:b/>
                <w:i/>
              </w:rPr>
              <w:t>sensitising exposure to an allergen</w:t>
            </w:r>
            <w:r>
              <w:t xml:space="preserve"> is defined in the Schedule 1 – Dictionary.</w:t>
            </w:r>
          </w:p>
          <w:p w:rsidR="001D3EA4" w:rsidRDefault="001D3EA4" w:rsidP="009D6A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420AD3" w:rsidTr="005F0132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9D6AC1" w:rsidRDefault="009D6AC1" w:rsidP="009D6AC1">
            <w:pPr>
              <w:pStyle w:val="Plain"/>
              <w:spacing w:before="60" w:after="60" w:line="240" w:lineRule="atLeast"/>
              <w:rPr>
                <w:i/>
              </w:rPr>
            </w:pPr>
            <w:r w:rsidRPr="00443AA9">
              <w:rPr>
                <w:i/>
              </w:rPr>
              <w:t>Insert the following definition of "</w:t>
            </w:r>
            <w:r>
              <w:rPr>
                <w:i/>
              </w:rPr>
              <w:t xml:space="preserve">sensitising exposure to an </w:t>
            </w:r>
            <w:r w:rsidRPr="00443AA9">
              <w:rPr>
                <w:i/>
              </w:rPr>
              <w:t>allergen" in alphabetical order:</w:t>
            </w:r>
          </w:p>
          <w:p w:rsidR="009D6AC1" w:rsidRDefault="009D6AC1" w:rsidP="009D6AC1">
            <w:pPr>
              <w:pStyle w:val="Plain"/>
              <w:spacing w:before="60" w:after="60" w:line="240" w:lineRule="atLeast"/>
            </w:pPr>
            <w:proofErr w:type="gramStart"/>
            <w:r w:rsidRPr="00443AA9">
              <w:rPr>
                <w:b/>
                <w:i/>
              </w:rPr>
              <w:t>sensitising</w:t>
            </w:r>
            <w:proofErr w:type="gramEnd"/>
            <w:r w:rsidRPr="00443AA9">
              <w:rPr>
                <w:b/>
                <w:i/>
              </w:rPr>
              <w:t xml:space="preserve"> exposure to an allergen</w:t>
            </w:r>
            <w:r>
              <w:t xml:space="preserve"> means an exposure to an allergen without the occurrence of symptoms, where the clinical onse</w:t>
            </w:r>
            <w:r w:rsidR="00CC5F12">
              <w:t>t of conjunctivitis</w:t>
            </w:r>
            <w:r>
              <w:t xml:space="preserve"> occurs within the two weeks of a subsequent exposure to the same allergen. </w:t>
            </w:r>
          </w:p>
          <w:p w:rsidR="009D6AC1" w:rsidRDefault="009D6AC1" w:rsidP="009D6AC1">
            <w:pPr>
              <w:pStyle w:val="NOTEScheduleonly"/>
            </w:pPr>
            <w:r>
              <w:t>Note: The initial sensitising exposure to an allergen may be either systemic or cutaneous and may have occurred months to years before the re-exposure that has re</w:t>
            </w:r>
            <w:r w:rsidR="00CC5F12">
              <w:t>sulted in the conjunctivitis</w:t>
            </w:r>
            <w:r>
              <w:t>.</w:t>
            </w:r>
          </w:p>
          <w:p w:rsidR="002664A2" w:rsidRPr="00B33F5C" w:rsidRDefault="002664A2" w:rsidP="009D6AC1">
            <w:pPr>
              <w:pStyle w:val="Plain"/>
              <w:spacing w:before="60" w:after="60" w:line="240" w:lineRule="atLeast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9D6AC1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Conjunctivitis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0D582A">
            <w:rPr>
              <w:i/>
              <w:sz w:val="18"/>
              <w:szCs w:val="18"/>
            </w:rPr>
            <w:t>90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227C0D"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E15FD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E15FD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9D6AC1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Conjunctivitis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0D582A">
            <w:rPr>
              <w:i/>
              <w:sz w:val="18"/>
              <w:szCs w:val="18"/>
            </w:rPr>
            <w:t>90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E15F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E15FD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582A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12F9E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A1EEB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27C0D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5B1D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027E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0C81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860A1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290D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AC1"/>
    <w:rsid w:val="009D6BB0"/>
    <w:rsid w:val="009E35B7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368F4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7F31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5F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15FD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BCF7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2022-08-05T04:37:00Z</dcterms:created>
  <dcterms:modified xsi:type="dcterms:W3CDTF">2022-08-26T00:01:00Z</dcterms:modified>
  <cp:category/>
  <cp:contentStatus/>
  <dc:language/>
  <cp:version/>
</cp:coreProperties>
</file>