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272C8" w:rsidP="006647B7">
      <w:pPr>
        <w:pStyle w:val="Plainheader"/>
      </w:pPr>
      <w:bookmarkStart w:id="0" w:name="SoP_Name_Title"/>
      <w:r>
        <w:t xml:space="preserve">GRAVES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E6188A">
        <w:t>7</w:t>
      </w:r>
      <w:bookmarkEnd w:id="1"/>
      <w:r w:rsidRPr="00024911">
        <w:t xml:space="preserve"> of</w:t>
      </w:r>
      <w:r w:rsidR="00085567">
        <w:t xml:space="preserve"> </w:t>
      </w:r>
      <w:bookmarkStart w:id="2" w:name="year"/>
      <w:r w:rsidR="00A272C8">
        <w:t>202</w:t>
      </w:r>
      <w:r w:rsidR="00E64342">
        <w:t>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E6188A">
        <w:rPr>
          <w:b w:val="0"/>
        </w:rPr>
        <w:t>24 December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A272C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6434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64342">
        <w:rPr>
          <w:noProof/>
        </w:rPr>
        <w:t>1</w:t>
      </w:r>
      <w:r w:rsidR="00E64342">
        <w:rPr>
          <w:rFonts w:asciiTheme="minorHAnsi" w:eastAsiaTheme="minorEastAsia" w:hAnsiTheme="minorHAnsi" w:cstheme="minorBidi"/>
          <w:noProof/>
          <w:kern w:val="0"/>
          <w:sz w:val="22"/>
          <w:szCs w:val="22"/>
        </w:rPr>
        <w:tab/>
      </w:r>
      <w:r w:rsidR="00E64342">
        <w:rPr>
          <w:noProof/>
        </w:rPr>
        <w:t>Name</w:t>
      </w:r>
      <w:r w:rsidR="00E64342">
        <w:rPr>
          <w:noProof/>
        </w:rPr>
        <w:tab/>
      </w:r>
      <w:r w:rsidR="00E64342">
        <w:rPr>
          <w:noProof/>
        </w:rPr>
        <w:fldChar w:fldCharType="begin"/>
      </w:r>
      <w:r w:rsidR="00E64342">
        <w:rPr>
          <w:noProof/>
        </w:rPr>
        <w:instrText xml:space="preserve"> PAGEREF _Toc87443585 \h </w:instrText>
      </w:r>
      <w:r w:rsidR="00E64342">
        <w:rPr>
          <w:noProof/>
        </w:rPr>
      </w:r>
      <w:r w:rsidR="00E64342">
        <w:rPr>
          <w:noProof/>
        </w:rPr>
        <w:fldChar w:fldCharType="separate"/>
      </w:r>
      <w:r w:rsidR="00E6188A">
        <w:rPr>
          <w:noProof/>
        </w:rPr>
        <w:t>3</w:t>
      </w:r>
      <w:r w:rsidR="00E64342">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_Toc87443586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_Toc87443587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_Toc87443588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_Toc87443589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_Toc87443590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_Toc87443591 \h </w:instrText>
      </w:r>
      <w:r>
        <w:rPr>
          <w:noProof/>
        </w:rPr>
      </w:r>
      <w:r>
        <w:rPr>
          <w:noProof/>
        </w:rPr>
        <w:fldChar w:fldCharType="separate"/>
      </w:r>
      <w:r w:rsidR="00E6188A">
        <w:rPr>
          <w:noProof/>
        </w:rPr>
        <w:t>3</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_Toc87443592 \h </w:instrText>
      </w:r>
      <w:r>
        <w:rPr>
          <w:noProof/>
        </w:rPr>
      </w:r>
      <w:r>
        <w:rPr>
          <w:noProof/>
        </w:rPr>
        <w:fldChar w:fldCharType="separate"/>
      </w:r>
      <w:r w:rsidR="00E6188A">
        <w:rPr>
          <w:noProof/>
        </w:rPr>
        <w:t>4</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_Toc87443593 \h </w:instrText>
      </w:r>
      <w:r>
        <w:rPr>
          <w:noProof/>
        </w:rPr>
      </w:r>
      <w:r>
        <w:rPr>
          <w:noProof/>
        </w:rPr>
        <w:fldChar w:fldCharType="separate"/>
      </w:r>
      <w:r w:rsidR="00E6188A">
        <w:rPr>
          <w:noProof/>
        </w:rPr>
        <w:t>4</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_Toc87443594 \h </w:instrText>
      </w:r>
      <w:r>
        <w:rPr>
          <w:noProof/>
        </w:rPr>
      </w:r>
      <w:r>
        <w:rPr>
          <w:noProof/>
        </w:rPr>
        <w:fldChar w:fldCharType="separate"/>
      </w:r>
      <w:r w:rsidR="00E6188A">
        <w:rPr>
          <w:noProof/>
        </w:rPr>
        <w:t>6</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_Toc87443595 \h </w:instrText>
      </w:r>
      <w:r>
        <w:rPr>
          <w:noProof/>
        </w:rPr>
      </w:r>
      <w:r>
        <w:rPr>
          <w:noProof/>
        </w:rPr>
        <w:fldChar w:fldCharType="separate"/>
      </w:r>
      <w:r w:rsidR="00E6188A">
        <w:rPr>
          <w:noProof/>
        </w:rPr>
        <w:t>6</w:t>
      </w:r>
      <w:r>
        <w:rPr>
          <w:noProof/>
        </w:rPr>
        <w:fldChar w:fldCharType="end"/>
      </w:r>
    </w:p>
    <w:p w:rsidR="00E64342" w:rsidRDefault="00E6434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_Toc87443596 \h </w:instrText>
      </w:r>
      <w:r>
        <w:rPr>
          <w:noProof/>
        </w:rPr>
      </w:r>
      <w:r>
        <w:rPr>
          <w:noProof/>
        </w:rPr>
        <w:fldChar w:fldCharType="separate"/>
      </w:r>
      <w:r w:rsidR="00E6188A">
        <w:rPr>
          <w:noProof/>
        </w:rPr>
        <w:t>8</w:t>
      </w:r>
      <w:r>
        <w:rPr>
          <w:noProof/>
        </w:rPr>
        <w:fldChar w:fldCharType="end"/>
      </w:r>
    </w:p>
    <w:p w:rsidR="00E64342" w:rsidRDefault="00E6434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_Toc87443597 \h </w:instrText>
      </w:r>
      <w:r>
        <w:rPr>
          <w:noProof/>
        </w:rPr>
      </w:r>
      <w:r>
        <w:rPr>
          <w:noProof/>
        </w:rPr>
        <w:fldChar w:fldCharType="separate"/>
      </w:r>
      <w:r w:rsidR="00E6188A">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87443585"/>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proofErr w:type="gramStart"/>
      <w:r w:rsidR="00A272C8">
        <w:rPr>
          <w:i/>
        </w:rPr>
        <w:t>Graves</w:t>
      </w:r>
      <w:proofErr w:type="gramEnd"/>
      <w:r w:rsidR="00A272C8">
        <w:rPr>
          <w:i/>
        </w:rPr>
        <w:t xml:space="preserve"> disease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6188A">
        <w:t>7</w:t>
      </w:r>
      <w:r w:rsidR="00085567">
        <w:t xml:space="preserve"> </w:t>
      </w:r>
      <w:r w:rsidR="00E55F66" w:rsidRPr="00F97A62">
        <w:t>of</w:t>
      </w:r>
      <w:r w:rsidR="00085567">
        <w:t xml:space="preserve"> </w:t>
      </w:r>
      <w:r w:rsidR="00E64342">
        <w:t>2022</w:t>
      </w:r>
      <w:r w:rsidR="00E55F66" w:rsidRPr="00F97A62">
        <w:t>)</w:t>
      </w:r>
      <w:r w:rsidRPr="00F97A62">
        <w:t>.</w:t>
      </w:r>
    </w:p>
    <w:p w:rsidR="00F67B67" w:rsidRPr="00684C0E" w:rsidRDefault="00F67B67" w:rsidP="00253D7C">
      <w:pPr>
        <w:pStyle w:val="LV1"/>
      </w:pPr>
      <w:bookmarkStart w:id="7" w:name="_Toc87443586"/>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E6188A">
        <w:t xml:space="preserve">31 January </w:t>
      </w:r>
      <w:bookmarkStart w:id="8" w:name="_GoBack"/>
      <w:bookmarkEnd w:id="8"/>
      <w:r w:rsidR="00E6188A">
        <w:t>2022</w:t>
      </w:r>
      <w:r w:rsidR="00F67B67" w:rsidRPr="007527C1">
        <w:t>.</w:t>
      </w:r>
    </w:p>
    <w:p w:rsidR="00F67B67" w:rsidRPr="00684C0E" w:rsidRDefault="00F67B67" w:rsidP="00253D7C">
      <w:pPr>
        <w:pStyle w:val="LV1"/>
      </w:pPr>
      <w:bookmarkStart w:id="9" w:name="_Toc87443587"/>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87443588"/>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A272C8">
        <w:t>G</w:t>
      </w:r>
      <w:r w:rsidR="00A272C8" w:rsidRPr="00A272C8">
        <w:t>raves</w:t>
      </w:r>
      <w:r w:rsidR="00A272C8">
        <w:t>'</w:t>
      </w:r>
      <w:r w:rsidR="00A272C8" w:rsidRPr="00A272C8">
        <w:t xml:space="preserve"> disease</w:t>
      </w:r>
      <w:r w:rsidR="00A272C8">
        <w:t xml:space="preserve"> No. 33 of 2013</w:t>
      </w:r>
      <w:r w:rsidR="005962C4">
        <w:t xml:space="preserve"> </w:t>
      </w:r>
      <w:r w:rsidR="005962C4" w:rsidRPr="00786DAE">
        <w:t xml:space="preserve">(Federal Register of Legislation No. </w:t>
      </w:r>
      <w:r w:rsidR="00A272C8" w:rsidRPr="00A272C8">
        <w:t>F2013L00736</w:t>
      </w:r>
      <w:r w:rsidR="005962C4" w:rsidRPr="00786DAE">
        <w:t xml:space="preserve">) </w:t>
      </w:r>
      <w:r w:rsidR="005962C4" w:rsidRPr="00DA3996">
        <w:t xml:space="preserve">made under subsections </w:t>
      </w:r>
      <w:proofErr w:type="gramStart"/>
      <w:r w:rsidR="005962C4" w:rsidRPr="00DA3996">
        <w:t>196B(</w:t>
      </w:r>
      <w:proofErr w:type="gramEnd"/>
      <w:r w:rsidR="005962C4" w:rsidRPr="00DA3996">
        <w:t>2) and (8)</w:t>
      </w:r>
      <w:r w:rsidR="005962C4">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87443589"/>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87443590"/>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8744359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proofErr w:type="gramStart"/>
      <w:r w:rsidR="00E64342" w:rsidRPr="00E64342">
        <w:t>Graves</w:t>
      </w:r>
      <w:proofErr w:type="gramEnd"/>
      <w:r w:rsidR="00E64342" w:rsidRPr="00E64342">
        <w:t xml:space="preserve"> disease</w:t>
      </w:r>
      <w:r w:rsidR="00D5620B" w:rsidRPr="002F77A1">
        <w:t xml:space="preserve"> </w:t>
      </w:r>
      <w:r w:rsidRPr="002F77A1">
        <w:t>and death</w:t>
      </w:r>
      <w:r w:rsidRPr="00D5620B">
        <w:t xml:space="preserve"> from</w:t>
      </w:r>
      <w:r w:rsidR="002F77A1">
        <w:t xml:space="preserve"> </w:t>
      </w:r>
      <w:r w:rsidR="00E64342" w:rsidRPr="00E64342">
        <w:t>Graves disease</w:t>
      </w:r>
      <w:r w:rsidRPr="00D5620B">
        <w:t>.</w:t>
      </w:r>
      <w:bookmarkEnd w:id="18"/>
    </w:p>
    <w:p w:rsidR="00215860" w:rsidRPr="00C670B0" w:rsidRDefault="00215860" w:rsidP="00C670B0">
      <w:pPr>
        <w:pStyle w:val="LVtext"/>
      </w:pPr>
      <w:r w:rsidRPr="00C670B0">
        <w:t>Meaning of</w:t>
      </w:r>
      <w:r w:rsidR="00D60FC8" w:rsidRPr="00C670B0">
        <w:t xml:space="preserve"> </w:t>
      </w:r>
      <w:proofErr w:type="gramStart"/>
      <w:r w:rsidR="00E64342" w:rsidRPr="00E64342">
        <w:rPr>
          <w:b/>
        </w:rPr>
        <w:t>Graves</w:t>
      </w:r>
      <w:proofErr w:type="gramEnd"/>
      <w:r w:rsidR="00E64342" w:rsidRPr="00E64342">
        <w:rPr>
          <w:b/>
        </w:rPr>
        <w:t xml:space="preserve"> disease</w:t>
      </w:r>
    </w:p>
    <w:p w:rsidR="002716E4" w:rsidRDefault="007C7DEE" w:rsidP="00A272C8">
      <w:pPr>
        <w:pStyle w:val="LV2"/>
      </w:pPr>
      <w:bookmarkStart w:id="19" w:name="_Ref409598124"/>
      <w:bookmarkStart w:id="20" w:name="_Ref402529683"/>
      <w:r w:rsidRPr="00237BAF">
        <w:t>For the purposes of this Statement of Principles,</w:t>
      </w:r>
      <w:r w:rsidR="002F77A1" w:rsidRPr="002F77A1">
        <w:t xml:space="preserve"> </w:t>
      </w:r>
      <w:proofErr w:type="gramStart"/>
      <w:r w:rsidR="00E64342" w:rsidRPr="00E64342">
        <w:t>Graves</w:t>
      </w:r>
      <w:proofErr w:type="gramEnd"/>
      <w:r w:rsidR="00E64342" w:rsidRPr="00E64342">
        <w:t xml:space="preserve"> disease</w:t>
      </w:r>
      <w:bookmarkEnd w:id="19"/>
      <w:r w:rsidR="00A272C8" w:rsidRPr="00A272C8">
        <w:t xml:space="preserve"> means a chronic autoimmune disease primarily affecting the thyroid gland, in which thyroid antibodies activate the thyroid-stimulating hormone receptor, causing thyroid hyperplasia and excessive thyroid hormone synthesis and secretion.</w:t>
      </w:r>
    </w:p>
    <w:p w:rsidR="00A272C8" w:rsidRDefault="00A272C8" w:rsidP="00A272C8">
      <w:pPr>
        <w:pStyle w:val="Note2"/>
        <w:ind w:left="2013" w:hanging="595"/>
      </w:pPr>
      <w:r>
        <w:t>Note 1: The thyroid-stimulating immunoglobulins can also affect the eyes, causing a characteristic ophthalmopathy (Graves orbitopathy), and less commonly the skin, causing a characteristic dermopathy (pretibial m</w:t>
      </w:r>
      <w:r w:rsidR="00D0619A">
        <w:t>y</w:t>
      </w:r>
      <w:r>
        <w:t>xoedema).</w:t>
      </w:r>
    </w:p>
    <w:p w:rsidR="00A272C8" w:rsidRDefault="00A272C8" w:rsidP="00A272C8">
      <w:pPr>
        <w:pStyle w:val="Note2"/>
        <w:ind w:left="2013" w:hanging="595"/>
      </w:pPr>
      <w:r>
        <w:t xml:space="preserve">Note 2: Presenting features typically include a diffuse hyperplastic goitre and hyperthyroidism, although some patients may be euthyroid or hypothyroid during the course of the disease. </w:t>
      </w:r>
    </w:p>
    <w:p w:rsidR="00A272C8" w:rsidRDefault="00A272C8" w:rsidP="00A272C8">
      <w:pPr>
        <w:pStyle w:val="Note2"/>
      </w:pPr>
      <w:r>
        <w:t xml:space="preserve">Note 3: </w:t>
      </w:r>
      <w:proofErr w:type="gramStart"/>
      <w:r>
        <w:t>Graves</w:t>
      </w:r>
      <w:proofErr w:type="gramEnd"/>
      <w:r>
        <w:t xml:space="preserve"> disease may present as a thyrotoxic crisis.</w:t>
      </w:r>
    </w:p>
    <w:p w:rsidR="00A272C8" w:rsidRPr="00237BAF" w:rsidRDefault="00A272C8" w:rsidP="00A272C8">
      <w:pPr>
        <w:pStyle w:val="Note2"/>
      </w:pPr>
      <w:r>
        <w:t xml:space="preserve">Note 4: </w:t>
      </w:r>
      <w:r w:rsidRPr="00A272C8">
        <w:rPr>
          <w:b/>
          <w:i/>
        </w:rPr>
        <w:t>thyrotoxic crisis</w:t>
      </w:r>
      <w:r>
        <w:t xml:space="preserve"> is defined in the Schedule 1 - Dictionary.</w:t>
      </w:r>
    </w:p>
    <w:bookmarkEnd w:id="20"/>
    <w:p w:rsidR="008F572A" w:rsidRPr="00237BAF" w:rsidRDefault="008F572A" w:rsidP="00253D7C">
      <w:pPr>
        <w:pStyle w:val="LV2"/>
      </w:pPr>
      <w:r w:rsidRPr="00237BAF">
        <w:lastRenderedPageBreak/>
        <w:t xml:space="preserve">While </w:t>
      </w:r>
      <w:proofErr w:type="gramStart"/>
      <w:r w:rsidR="00E64342" w:rsidRPr="00E64342">
        <w:t>Graves</w:t>
      </w:r>
      <w:proofErr w:type="gramEnd"/>
      <w:r w:rsidR="00E64342" w:rsidRPr="00E64342">
        <w:t xml:space="preserve">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816411">
        <w:t>E05.0 or E05.5</w:t>
      </w:r>
      <w:r w:rsidR="00885EAB" w:rsidRPr="00EB2BC4">
        <w:t>,</w:t>
      </w:r>
      <w:r w:rsidRPr="00237BAF">
        <w:t xml:space="preserve"> in applying this Statement of Principles the </w:t>
      </w:r>
      <w:r w:rsidR="00FA33FB" w:rsidRPr="00D5620B">
        <w:t xml:space="preserve">meaning </w:t>
      </w:r>
      <w:r w:rsidRPr="00D5620B">
        <w:t xml:space="preserve">of </w:t>
      </w:r>
      <w:r w:rsidR="00E64342" w:rsidRPr="00E64342">
        <w:t>Graves disease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proofErr w:type="gramStart"/>
      <w:r w:rsidR="00E64342" w:rsidRPr="00E64342">
        <w:rPr>
          <w:b/>
        </w:rPr>
        <w:t>Graves</w:t>
      </w:r>
      <w:proofErr w:type="gramEnd"/>
      <w:r w:rsidR="00E64342" w:rsidRPr="00E64342">
        <w:rPr>
          <w:b/>
        </w:rPr>
        <w:t xml:space="preserve"> disease</w:t>
      </w:r>
    </w:p>
    <w:p w:rsidR="008F572A" w:rsidRPr="00237BAF" w:rsidRDefault="008F572A" w:rsidP="00253D7C">
      <w:pPr>
        <w:pStyle w:val="LV2"/>
      </w:pPr>
      <w:r w:rsidRPr="00237BAF">
        <w:t xml:space="preserve">For the purposes of this Statement of </w:t>
      </w:r>
      <w:r w:rsidR="00D5620B">
        <w:t xml:space="preserve">Principles, </w:t>
      </w:r>
      <w:proofErr w:type="gramStart"/>
      <w:r w:rsidR="00E64342" w:rsidRPr="00E64342">
        <w:t>Graves</w:t>
      </w:r>
      <w:proofErr w:type="gramEnd"/>
      <w:r w:rsidR="00E64342" w:rsidRPr="00E64342">
        <w:t xml:space="preserve">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E64342" w:rsidRPr="00E64342">
        <w:t>Graves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166C0">
        <w:t>-</w:t>
      </w:r>
      <w:r w:rsidR="00D32F71">
        <w:t xml:space="preserve"> </w:t>
      </w:r>
      <w:r w:rsidR="00885EAB" w:rsidRPr="00046E67">
        <w:t>Dictionary</w:t>
      </w:r>
      <w:r w:rsidR="005C7CC5">
        <w:t>.</w:t>
      </w:r>
    </w:p>
    <w:p w:rsidR="007C7DEE" w:rsidRPr="00A20CA1" w:rsidRDefault="007C7DEE" w:rsidP="00253D7C">
      <w:pPr>
        <w:pStyle w:val="LV1"/>
      </w:pPr>
      <w:bookmarkStart w:id="21" w:name="_Toc87443592"/>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proofErr w:type="gramStart"/>
      <w:r w:rsidR="00E64342" w:rsidRPr="00E64342">
        <w:t>Graves</w:t>
      </w:r>
      <w:proofErr w:type="gramEnd"/>
      <w:r w:rsidR="00E64342" w:rsidRPr="00E64342">
        <w:t xml:space="preserve"> disease</w:t>
      </w:r>
      <w:r>
        <w:t xml:space="preserve"> </w:t>
      </w:r>
      <w:r w:rsidRPr="00D5620B">
        <w:t>and death from</w:t>
      </w:r>
      <w:r>
        <w:t xml:space="preserve"> </w:t>
      </w:r>
      <w:r w:rsidR="00E64342" w:rsidRPr="00E64342">
        <w:t>Graves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2166C0">
        <w:t>Schedule 1 -</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87443593"/>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64342" w:rsidRPr="00E64342">
        <w:t>Graves disease</w:t>
      </w:r>
      <w:r w:rsidR="007A3989">
        <w:t xml:space="preserve"> </w:t>
      </w:r>
      <w:r w:rsidR="007C7DEE" w:rsidRPr="00AA6D8B">
        <w:t xml:space="preserve">or death from </w:t>
      </w:r>
      <w:r w:rsidR="00E64342" w:rsidRPr="00E64342">
        <w:t>Graves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816411" w:rsidRDefault="00816411" w:rsidP="00816411">
      <w:pPr>
        <w:pStyle w:val="LV2"/>
      </w:pPr>
      <w:bookmarkStart w:id="27" w:name="_Ref402530260"/>
      <w:bookmarkStart w:id="28" w:name="_Ref409598844"/>
      <w:r w:rsidRPr="00816411">
        <w:t>having iodine excess within the 6 months</w:t>
      </w:r>
      <w:r w:rsidR="00A8298C">
        <w:t xml:space="preserve"> </w:t>
      </w:r>
      <w:r w:rsidRPr="00816411">
        <w:t>before the clinical onset of Graves disease;</w:t>
      </w:r>
    </w:p>
    <w:p w:rsidR="00816411" w:rsidRDefault="00816411" w:rsidP="00816411">
      <w:pPr>
        <w:pStyle w:val="Note2"/>
        <w:ind w:left="2013" w:hanging="595"/>
      </w:pPr>
      <w:r>
        <w:t>Note 1: Iodine excess may be due to consuming foods</w:t>
      </w:r>
      <w:r w:rsidR="004A65BA">
        <w:t>,</w:t>
      </w:r>
      <w:r>
        <w:t xml:space="preserve"> dietary supplements or medications with a high content of iodine.</w:t>
      </w:r>
    </w:p>
    <w:p w:rsidR="00816411" w:rsidRDefault="00816411" w:rsidP="00816411">
      <w:pPr>
        <w:pStyle w:val="Note2"/>
      </w:pPr>
      <w:r>
        <w:t xml:space="preserve">Note 2: </w:t>
      </w:r>
      <w:r w:rsidRPr="00816411">
        <w:rPr>
          <w:b/>
          <w:i/>
        </w:rPr>
        <w:t>iodine excess</w:t>
      </w:r>
      <w:r w:rsidR="002166C0">
        <w:t xml:space="preserve"> is defined in the Schedule 1 -</w:t>
      </w:r>
      <w:r>
        <w:t xml:space="preserve"> Dictionary.</w:t>
      </w:r>
    </w:p>
    <w:p w:rsidR="00816411" w:rsidRDefault="00816411" w:rsidP="00816411">
      <w:pPr>
        <w:pStyle w:val="LV2"/>
      </w:pPr>
      <w:r w:rsidRPr="00816411">
        <w:t>taking a drug from the specified list of drugs within the 2 years before the clinical onset of Graves disease;</w:t>
      </w:r>
    </w:p>
    <w:p w:rsidR="00816411" w:rsidRDefault="00816411" w:rsidP="00816411">
      <w:pPr>
        <w:pStyle w:val="Note2"/>
      </w:pPr>
      <w:r>
        <w:t xml:space="preserve">Note: </w:t>
      </w:r>
      <w:r w:rsidRPr="00816411">
        <w:rPr>
          <w:b/>
          <w:i/>
        </w:rPr>
        <w:t>specified list of drugs</w:t>
      </w:r>
      <w:r w:rsidR="002166C0">
        <w:t xml:space="preserve"> is defined in the Schedule 1 -</w:t>
      </w:r>
      <w:r w:rsidRPr="00816411">
        <w:t xml:space="preserve"> Dictionary.</w:t>
      </w:r>
    </w:p>
    <w:p w:rsidR="00816411" w:rsidRDefault="002166C0" w:rsidP="002166C0">
      <w:pPr>
        <w:pStyle w:val="LV2"/>
      </w:pPr>
      <w:r w:rsidRPr="002166C0">
        <w:t>being treated with alemtuzumab or antithymocyte globulin within the 10 years before the clinical onset of Graves disease;</w:t>
      </w:r>
    </w:p>
    <w:p w:rsidR="00816411" w:rsidRDefault="002166C0" w:rsidP="002166C0">
      <w:pPr>
        <w:pStyle w:val="LV2"/>
      </w:pPr>
      <w:r w:rsidRPr="002166C0">
        <w:t>taking amiodarone for a continuous period of at least 6 weeks, within the 2 years before the clinical onset</w:t>
      </w:r>
      <w:r w:rsidRPr="002166C0">
        <w:rPr>
          <w:color w:val="7030A0"/>
        </w:rPr>
        <w:t xml:space="preserve"> </w:t>
      </w:r>
      <w:r w:rsidRPr="002166C0">
        <w:t>of Graves disease;</w:t>
      </w:r>
    </w:p>
    <w:p w:rsidR="00816411" w:rsidRDefault="002166C0" w:rsidP="002166C0">
      <w:pPr>
        <w:pStyle w:val="LV2"/>
      </w:pPr>
      <w:r w:rsidRPr="002166C0">
        <w:lastRenderedPageBreak/>
        <w:t>undergoing a course of therapeutic radiation for cancer, where the thyroid gland was in the field of radiation, within the 25 years before the clinical onset</w:t>
      </w:r>
      <w:r w:rsidRPr="002166C0">
        <w:rPr>
          <w:color w:val="7030A0"/>
        </w:rPr>
        <w:t xml:space="preserve"> </w:t>
      </w:r>
      <w:r w:rsidRPr="002166C0">
        <w:t>of Graves disease;</w:t>
      </w:r>
    </w:p>
    <w:p w:rsidR="00816411" w:rsidRDefault="002166C0" w:rsidP="002166C0">
      <w:pPr>
        <w:pStyle w:val="LV2"/>
      </w:pPr>
      <w:r w:rsidRPr="002166C0">
        <w:t>having received iodine-131 (radioactive iodine) for the treatment of nodular goitre within the 10 years before the clinical onset of Graves disease;</w:t>
      </w:r>
    </w:p>
    <w:p w:rsidR="002166C0" w:rsidRDefault="002166C0" w:rsidP="002166C0">
      <w:pPr>
        <w:pStyle w:val="LV2"/>
      </w:pPr>
      <w:r w:rsidRPr="002166C0">
        <w:t>having smoked tobacco products:</w:t>
      </w:r>
    </w:p>
    <w:p w:rsidR="002166C0" w:rsidRDefault="002166C0" w:rsidP="002166C0">
      <w:pPr>
        <w:pStyle w:val="LV3"/>
      </w:pPr>
      <w:r>
        <w:t>in an amount of at least 3 pack-</w:t>
      </w:r>
      <w:r w:rsidR="008B7247">
        <w:t>years before the clinical onset</w:t>
      </w:r>
      <w:r>
        <w:t xml:space="preserve"> of Graves disease; and</w:t>
      </w:r>
    </w:p>
    <w:p w:rsidR="002166C0" w:rsidRDefault="002166C0" w:rsidP="002166C0">
      <w:pPr>
        <w:pStyle w:val="LV3"/>
      </w:pPr>
      <w:r>
        <w:t>if smoking has ceased before the clinical onset of Graves disease, then that onset occurred within 10 years of cessation</w:t>
      </w:r>
      <w:r w:rsidR="00035328">
        <w:t>;</w:t>
      </w:r>
      <w:r>
        <w:t xml:space="preserve"> </w:t>
      </w:r>
    </w:p>
    <w:p w:rsidR="002166C0" w:rsidRDefault="002166C0" w:rsidP="002166C0">
      <w:pPr>
        <w:pStyle w:val="Note2"/>
      </w:pPr>
      <w:r w:rsidRPr="002166C0">
        <w:t xml:space="preserve">Note: </w:t>
      </w:r>
      <w:r w:rsidRPr="002166C0">
        <w:rPr>
          <w:b/>
          <w:i/>
        </w:rPr>
        <w:t>one pack-year</w:t>
      </w:r>
      <w:r w:rsidRPr="002166C0">
        <w:t xml:space="preserve"> is defined in the Schedule 1 - Dictionary.</w:t>
      </w:r>
    </w:p>
    <w:p w:rsidR="00756BB6" w:rsidRDefault="00756BB6" w:rsidP="00756BB6">
      <w:pPr>
        <w:pStyle w:val="LV2"/>
      </w:pPr>
      <w:r w:rsidRPr="00756BB6">
        <w:t>being pregnant or within the 18 months postpartum at the time of the clinical onset of Graves disease;</w:t>
      </w:r>
    </w:p>
    <w:p w:rsidR="00756BB6" w:rsidRDefault="00756BB6" w:rsidP="00756BB6">
      <w:pPr>
        <w:pStyle w:val="LV2"/>
      </w:pPr>
      <w:r w:rsidRPr="00756BB6">
        <w:t>having ethanol injection into the thyroid gland for the treatment of a thyroid adenoma within the 6 months before the clinical onset of Graves disease;</w:t>
      </w:r>
    </w:p>
    <w:p w:rsidR="00756BB6" w:rsidRDefault="00932C7F" w:rsidP="00932C7F">
      <w:pPr>
        <w:pStyle w:val="LV2"/>
      </w:pPr>
      <w:r w:rsidRPr="00932C7F">
        <w:t>having trauma to the eye within the 6 months before the clinical onset of Graves disease;</w:t>
      </w:r>
    </w:p>
    <w:p w:rsidR="00932C7F" w:rsidRDefault="00932C7F" w:rsidP="00932C7F">
      <w:pPr>
        <w:pStyle w:val="Note2"/>
      </w:pPr>
      <w:r w:rsidRPr="00932C7F">
        <w:t>Note: Trauma to the eye may include blunt or penetrating physical injury to the eye.</w:t>
      </w:r>
    </w:p>
    <w:p w:rsidR="00932C7F" w:rsidRPr="00932C7F" w:rsidRDefault="00932C7F" w:rsidP="00932C7F">
      <w:pPr>
        <w:pStyle w:val="LV2"/>
      </w:pPr>
      <w:r w:rsidRPr="00932C7F">
        <w:t>for Graves disease first presenting as thyrotoxic crisis only, having an acute</w:t>
      </w:r>
      <w:r w:rsidR="00AD57CE">
        <w:t xml:space="preserve"> precipitating event</w:t>
      </w:r>
      <w:r w:rsidRPr="00932C7F">
        <w:t xml:space="preserve"> within the 48 hours before the clinical onset of Graves disease;</w:t>
      </w:r>
      <w:r>
        <w:t xml:space="preserve"> </w:t>
      </w:r>
    </w:p>
    <w:p w:rsidR="00932C7F" w:rsidRDefault="00932C7F" w:rsidP="00CB6971">
      <w:pPr>
        <w:pStyle w:val="Note2"/>
        <w:ind w:left="1872" w:hanging="454"/>
      </w:pPr>
      <w:r>
        <w:t xml:space="preserve">Note: </w:t>
      </w:r>
      <w:r w:rsidRPr="00932C7F">
        <w:rPr>
          <w:b/>
          <w:i/>
        </w:rPr>
        <w:t>acute</w:t>
      </w:r>
      <w:r w:rsidR="00AD57CE">
        <w:rPr>
          <w:b/>
          <w:i/>
        </w:rPr>
        <w:t xml:space="preserve"> precipitating event</w:t>
      </w:r>
      <w:r w:rsidRPr="00932C7F">
        <w:t xml:space="preserve"> and </w:t>
      </w:r>
      <w:r w:rsidRPr="00932C7F">
        <w:rPr>
          <w:b/>
          <w:i/>
        </w:rPr>
        <w:t>thyrotoxic crisis</w:t>
      </w:r>
      <w:r w:rsidRPr="00932C7F">
        <w:t xml:space="preserve"> are defined in the Schedule</w:t>
      </w:r>
      <w:r w:rsidR="00CB6971">
        <w:t> </w:t>
      </w:r>
      <w:r w:rsidRPr="00932C7F">
        <w:t>1</w:t>
      </w:r>
      <w:r w:rsidR="00CB6971">
        <w:t> </w:t>
      </w:r>
      <w:r w:rsidR="004D1EB0">
        <w:t>-</w:t>
      </w:r>
      <w:r w:rsidR="00CB6971">
        <w:t> </w:t>
      </w:r>
      <w:r w:rsidRPr="00932C7F">
        <w:t>Dictionary.</w:t>
      </w:r>
    </w:p>
    <w:p w:rsidR="008B7247" w:rsidRPr="00252478" w:rsidRDefault="008B7247" w:rsidP="008B7247">
      <w:pPr>
        <w:pStyle w:val="LV2"/>
      </w:pPr>
      <w:r w:rsidRPr="00816411">
        <w:t xml:space="preserve">having iodine excess within the 6 months </w:t>
      </w:r>
      <w:r>
        <w:t xml:space="preserve">before the clinical </w:t>
      </w:r>
      <w:r w:rsidRPr="00252478">
        <w:t>worsening of Graves disease;</w:t>
      </w:r>
    </w:p>
    <w:p w:rsidR="008B7247" w:rsidRPr="00252478" w:rsidRDefault="008B7247" w:rsidP="008B7247">
      <w:pPr>
        <w:pStyle w:val="Note2"/>
        <w:ind w:left="2013" w:hanging="595"/>
      </w:pPr>
      <w:r w:rsidRPr="00252478">
        <w:t>Note 1: Iodine excess may be due to consuming foods</w:t>
      </w:r>
      <w:r w:rsidR="004A65BA">
        <w:t>,</w:t>
      </w:r>
      <w:r w:rsidRPr="00252478">
        <w:t xml:space="preserve"> dietary supplements or medications with a high content of iodine.</w:t>
      </w:r>
    </w:p>
    <w:p w:rsidR="008B7247" w:rsidRPr="00252478" w:rsidRDefault="008B7247" w:rsidP="008B7247">
      <w:pPr>
        <w:pStyle w:val="Note2"/>
      </w:pPr>
      <w:r w:rsidRPr="00252478">
        <w:t xml:space="preserve">Note 2: </w:t>
      </w:r>
      <w:r w:rsidRPr="00252478">
        <w:rPr>
          <w:b/>
          <w:i/>
        </w:rPr>
        <w:t>iodine excess</w:t>
      </w:r>
      <w:r w:rsidRPr="00252478">
        <w:t xml:space="preserve"> is defined in the Schedule 1 - Dictionary.</w:t>
      </w:r>
    </w:p>
    <w:p w:rsidR="008B7247" w:rsidRPr="00252478" w:rsidRDefault="008B7247" w:rsidP="008B7247">
      <w:pPr>
        <w:pStyle w:val="LV2"/>
      </w:pPr>
      <w:r w:rsidRPr="00252478">
        <w:t>taking a drug from the specified list of drugs within the 2 years before the clinical worsening of Graves disease;</w:t>
      </w:r>
    </w:p>
    <w:p w:rsidR="008B7247" w:rsidRPr="00252478" w:rsidRDefault="008B7247" w:rsidP="008B7247">
      <w:pPr>
        <w:pStyle w:val="Note2"/>
      </w:pPr>
      <w:r w:rsidRPr="00252478">
        <w:t xml:space="preserve">Note: </w:t>
      </w:r>
      <w:r w:rsidRPr="00252478">
        <w:rPr>
          <w:b/>
          <w:i/>
        </w:rPr>
        <w:t>specified list of drugs</w:t>
      </w:r>
      <w:r w:rsidRPr="00252478">
        <w:t xml:space="preserve"> is defined in the Schedule 1 - Dictionary.</w:t>
      </w:r>
    </w:p>
    <w:p w:rsidR="008B7247" w:rsidRPr="00252478" w:rsidRDefault="008B7247" w:rsidP="008B7247">
      <w:pPr>
        <w:pStyle w:val="LV2"/>
      </w:pPr>
      <w:r w:rsidRPr="00252478">
        <w:t>being treated with alemtuzumab or antithymocyte globulin within the 10 years before the clinical worsening of Graves disease;</w:t>
      </w:r>
    </w:p>
    <w:p w:rsidR="008B7247" w:rsidRPr="00252478" w:rsidRDefault="008B7247" w:rsidP="008B7247">
      <w:pPr>
        <w:pStyle w:val="LV2"/>
      </w:pPr>
      <w:r w:rsidRPr="00252478">
        <w:t>taking amiodarone for a continuous period of at least 6 weeks, within the 2 years before the clinical worsening of Graves disease;</w:t>
      </w:r>
    </w:p>
    <w:p w:rsidR="008B7247" w:rsidRPr="00252478" w:rsidRDefault="008B7247" w:rsidP="008B7247">
      <w:pPr>
        <w:pStyle w:val="LV2"/>
      </w:pPr>
      <w:r w:rsidRPr="002166C0">
        <w:lastRenderedPageBreak/>
        <w:t xml:space="preserve">undergoing a course of therapeutic radiation for cancer, where the thyroid gland was in the field of </w:t>
      </w:r>
      <w:r w:rsidRPr="00252478">
        <w:t>radiation, within the 25 years before the clinical worsening of Graves disease;</w:t>
      </w:r>
    </w:p>
    <w:p w:rsidR="008B7247" w:rsidRPr="00252478" w:rsidRDefault="008B7247" w:rsidP="008B7247">
      <w:pPr>
        <w:pStyle w:val="LV2"/>
      </w:pPr>
      <w:r w:rsidRPr="00252478">
        <w:t>having received iodine-131 (radioactive iodine) for the treatment of nodular goitre within the 10 years before the clinical worsening of Graves disease;</w:t>
      </w:r>
    </w:p>
    <w:p w:rsidR="008B7247" w:rsidRPr="00252478" w:rsidRDefault="008B7247" w:rsidP="008B7247">
      <w:pPr>
        <w:pStyle w:val="LV2"/>
      </w:pPr>
      <w:r w:rsidRPr="00252478">
        <w:t>having smoked tobacco products:</w:t>
      </w:r>
    </w:p>
    <w:p w:rsidR="008B7247" w:rsidRPr="00252478" w:rsidRDefault="008B7247" w:rsidP="008B7247">
      <w:pPr>
        <w:pStyle w:val="LV3"/>
      </w:pPr>
      <w:r w:rsidRPr="00252478">
        <w:t>in an amount of at least 3 pack-years before the clinical worsening of Graves disease; and</w:t>
      </w:r>
    </w:p>
    <w:p w:rsidR="008B7247" w:rsidRPr="00252478" w:rsidRDefault="008B7247" w:rsidP="008B7247">
      <w:pPr>
        <w:pStyle w:val="LV3"/>
      </w:pPr>
      <w:r w:rsidRPr="00252478">
        <w:t>if smoking has ceased before the clinical worsening of Graves disease, then that worsening occurred within 10 years of cessation</w:t>
      </w:r>
      <w:r w:rsidR="00035328">
        <w:t>;</w:t>
      </w:r>
      <w:r w:rsidRPr="00252478">
        <w:t xml:space="preserve"> </w:t>
      </w:r>
    </w:p>
    <w:p w:rsidR="008B7247" w:rsidRPr="00252478" w:rsidRDefault="008B7247" w:rsidP="008B7247">
      <w:pPr>
        <w:pStyle w:val="Note2"/>
      </w:pPr>
      <w:r w:rsidRPr="00252478">
        <w:t xml:space="preserve">Note: </w:t>
      </w:r>
      <w:r w:rsidRPr="00252478">
        <w:rPr>
          <w:b/>
          <w:i/>
        </w:rPr>
        <w:t>one pack-year</w:t>
      </w:r>
      <w:r w:rsidRPr="00252478">
        <w:t xml:space="preserve"> is defined in the Schedule 1 - Dictionary.</w:t>
      </w:r>
    </w:p>
    <w:p w:rsidR="008B7247" w:rsidRPr="00252478" w:rsidRDefault="008B7247" w:rsidP="008B7247">
      <w:pPr>
        <w:pStyle w:val="LV2"/>
      </w:pPr>
      <w:r w:rsidRPr="00252478">
        <w:t>being pregnant or within the 18 months postpartum at the time of the clinical worsening of Graves disease;</w:t>
      </w:r>
    </w:p>
    <w:p w:rsidR="008B7247" w:rsidRPr="00252478" w:rsidRDefault="008B7247" w:rsidP="008B7247">
      <w:pPr>
        <w:pStyle w:val="LV2"/>
      </w:pPr>
      <w:r w:rsidRPr="00252478">
        <w:t>having ethanol injection into the thyroid gland for the treatment of a thyroid adenoma within the 6 months before the clinical worsening of Graves disease;</w:t>
      </w:r>
    </w:p>
    <w:p w:rsidR="008B7247" w:rsidRPr="00252478" w:rsidRDefault="008B7247" w:rsidP="008B7247">
      <w:pPr>
        <w:pStyle w:val="LV2"/>
      </w:pPr>
      <w:r w:rsidRPr="00252478">
        <w:t>having trauma to the eye within the 6 months before the clinical worsening of Graves disease;</w:t>
      </w:r>
    </w:p>
    <w:p w:rsidR="008B7247" w:rsidRPr="00252478" w:rsidRDefault="008B7247" w:rsidP="008B7247">
      <w:pPr>
        <w:pStyle w:val="Note2"/>
      </w:pPr>
      <w:r w:rsidRPr="00252478">
        <w:t>Note: Trauma to the eye may include blunt or penetrating physical injury to the eye.</w:t>
      </w:r>
    </w:p>
    <w:p w:rsidR="008B7247" w:rsidRPr="00252478" w:rsidRDefault="008B7247" w:rsidP="008B7247">
      <w:pPr>
        <w:pStyle w:val="LV2"/>
      </w:pPr>
      <w:r w:rsidRPr="00252478">
        <w:t>for thyrotoxic crisis only, having an acute</w:t>
      </w:r>
      <w:r w:rsidR="004A524F">
        <w:t xml:space="preserve"> precipitating event</w:t>
      </w:r>
      <w:r w:rsidRPr="00252478">
        <w:t xml:space="preserve"> within the 48 hours before that clinical worsening of Graves disease;</w:t>
      </w:r>
    </w:p>
    <w:p w:rsidR="008B7247" w:rsidRDefault="008B7247" w:rsidP="00CB6971">
      <w:pPr>
        <w:pStyle w:val="Note2"/>
        <w:ind w:left="1872" w:hanging="454"/>
      </w:pPr>
      <w:r>
        <w:t xml:space="preserve">Note: </w:t>
      </w:r>
      <w:r w:rsidRPr="00932C7F">
        <w:rPr>
          <w:b/>
          <w:i/>
        </w:rPr>
        <w:t>acute</w:t>
      </w:r>
      <w:r w:rsidR="004A524F">
        <w:rPr>
          <w:b/>
          <w:i/>
        </w:rPr>
        <w:t xml:space="preserve"> precipitating event</w:t>
      </w:r>
      <w:r w:rsidRPr="00932C7F">
        <w:t xml:space="preserve"> and </w:t>
      </w:r>
      <w:r w:rsidRPr="00932C7F">
        <w:rPr>
          <w:b/>
          <w:i/>
        </w:rPr>
        <w:t>thyrotoxic crisis</w:t>
      </w:r>
      <w:r w:rsidRPr="00932C7F">
        <w:t xml:space="preserve"> are defined in the Schedule</w:t>
      </w:r>
      <w:r w:rsidR="00CB6971">
        <w:t> </w:t>
      </w:r>
      <w:r w:rsidRPr="00932C7F">
        <w:t>1</w:t>
      </w:r>
      <w:r w:rsidR="00CB6971">
        <w:t> </w:t>
      </w:r>
      <w:r w:rsidRPr="00932C7F">
        <w:t>–</w:t>
      </w:r>
      <w:r w:rsidR="00CB6971">
        <w:t> </w:t>
      </w:r>
      <w:r w:rsidRPr="00932C7F">
        <w:t>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E64342" w:rsidRPr="00E64342">
        <w:t>Graves disease</w:t>
      </w:r>
      <w:r w:rsidR="00D5620B" w:rsidRPr="008D1B8B">
        <w:t>.</w:t>
      </w:r>
      <w:bookmarkEnd w:id="28"/>
    </w:p>
    <w:p w:rsidR="000C21A3" w:rsidRPr="00684C0E" w:rsidRDefault="00D32F71" w:rsidP="00253D7C">
      <w:pPr>
        <w:pStyle w:val="LV1"/>
      </w:pPr>
      <w:bookmarkStart w:id="29" w:name="_Toc87443594"/>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8B7247">
        <w:t>12</w:t>
      </w:r>
      <w:r w:rsidR="00FF1D47">
        <w:t>)</w:t>
      </w:r>
      <w:r w:rsidR="008B7247">
        <w:t xml:space="preserve"> to 9(23)</w:t>
      </w:r>
      <w:r w:rsidR="00FF1D47">
        <w:t xml:space="preserve"> </w:t>
      </w:r>
      <w:r w:rsidRPr="00187DE1">
        <w:t>appl</w:t>
      </w:r>
      <w:r w:rsidR="00035328">
        <w:t>y</w:t>
      </w:r>
      <w:r w:rsidRPr="00187DE1">
        <w:t xml:space="preserve"> only to material contribution to, or aggravation of, </w:t>
      </w:r>
      <w:r w:rsidR="00E64342" w:rsidRPr="00E64342">
        <w:t>Graves disease</w:t>
      </w:r>
      <w:r w:rsidR="007A3989">
        <w:t xml:space="preserve"> </w:t>
      </w:r>
      <w:r w:rsidRPr="00187DE1">
        <w:t>where the person</w:t>
      </w:r>
      <w:r w:rsidR="00950C80">
        <w:t>'</w:t>
      </w:r>
      <w:r w:rsidRPr="00187DE1">
        <w:t xml:space="preserve">s </w:t>
      </w:r>
      <w:r w:rsidR="00E64342" w:rsidRPr="00E64342">
        <w:t>Graves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87443595"/>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874435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87443597"/>
      <w:r w:rsidRPr="00D97BB3">
        <w:t>Definitions</w:t>
      </w:r>
      <w:bookmarkEnd w:id="35"/>
      <w:bookmarkEnd w:id="36"/>
    </w:p>
    <w:p w:rsidR="00702C42" w:rsidRPr="00516768" w:rsidRDefault="00702C42" w:rsidP="00253D7C">
      <w:pPr>
        <w:pStyle w:val="SH2"/>
      </w:pPr>
      <w:r w:rsidRPr="00516768">
        <w:t>In this instrument:</w:t>
      </w:r>
    </w:p>
    <w:p w:rsidR="00932C7F" w:rsidRDefault="00932C7F" w:rsidP="00932C7F">
      <w:pPr>
        <w:pStyle w:val="SH3"/>
      </w:pPr>
      <w:bookmarkStart w:id="37" w:name="_Ref402530810"/>
      <w:proofErr w:type="gramStart"/>
      <w:r w:rsidRPr="00932C7F">
        <w:rPr>
          <w:b/>
          <w:i/>
        </w:rPr>
        <w:t>acute</w:t>
      </w:r>
      <w:proofErr w:type="gramEnd"/>
      <w:r w:rsidR="004A524F">
        <w:rPr>
          <w:b/>
          <w:i/>
        </w:rPr>
        <w:t xml:space="preserve"> precipitating event</w:t>
      </w:r>
      <w:r w:rsidRPr="00932C7F">
        <w:t xml:space="preserve"> means a physical or psychological stimulus or event that causes a sudden, intense psychological or physical response.</w:t>
      </w:r>
    </w:p>
    <w:p w:rsidR="00932C7F" w:rsidRDefault="00932C7F" w:rsidP="00932C7F">
      <w:pPr>
        <w:pStyle w:val="ScheduleNote"/>
      </w:pPr>
      <w:r>
        <w:t xml:space="preserve">Note: Examples of </w:t>
      </w:r>
      <w:r w:rsidR="004A524F">
        <w:t xml:space="preserve">an </w:t>
      </w:r>
      <w:r>
        <w:t>acute</w:t>
      </w:r>
      <w:r w:rsidR="004A524F">
        <w:t xml:space="preserve"> precipitating event</w:t>
      </w:r>
      <w:r>
        <w:t xml:space="preserve"> include:</w:t>
      </w:r>
    </w:p>
    <w:p w:rsidR="00932C7F" w:rsidRPr="007D56D9" w:rsidRDefault="007D56D9" w:rsidP="007D56D9">
      <w:pPr>
        <w:pStyle w:val="SH4"/>
        <w:ind w:left="1718" w:hanging="425"/>
        <w:rPr>
          <w:sz w:val="18"/>
          <w:szCs w:val="18"/>
        </w:rPr>
      </w:pPr>
      <w:r w:rsidRPr="007D56D9">
        <w:rPr>
          <w:sz w:val="18"/>
          <w:szCs w:val="18"/>
        </w:rPr>
        <w:tab/>
      </w:r>
      <w:r w:rsidRPr="007D56D9">
        <w:rPr>
          <w:sz w:val="18"/>
          <w:szCs w:val="18"/>
        </w:rPr>
        <w:tab/>
      </w:r>
      <w:r w:rsidRPr="007D56D9">
        <w:rPr>
          <w:sz w:val="18"/>
          <w:szCs w:val="18"/>
        </w:rPr>
        <w:tab/>
      </w:r>
      <w:r w:rsidR="00932C7F" w:rsidRPr="007D56D9">
        <w:rPr>
          <w:sz w:val="18"/>
          <w:szCs w:val="18"/>
        </w:rPr>
        <w:tab/>
      </w:r>
      <w:r w:rsidRPr="007D56D9">
        <w:rPr>
          <w:sz w:val="18"/>
          <w:szCs w:val="18"/>
        </w:rPr>
        <w:tab/>
      </w:r>
      <w:r w:rsidRPr="007D56D9">
        <w:rPr>
          <w:sz w:val="18"/>
          <w:szCs w:val="18"/>
        </w:rPr>
        <w:tab/>
      </w:r>
      <w:r w:rsidR="00932C7F" w:rsidRPr="007D56D9">
        <w:rPr>
          <w:sz w:val="18"/>
          <w:szCs w:val="18"/>
        </w:rPr>
        <w:t>abrupt cessation or lowering of anti-thyroid therapy;</w:t>
      </w:r>
    </w:p>
    <w:p w:rsidR="00932C7F" w:rsidRPr="007D56D9" w:rsidRDefault="00932C7F" w:rsidP="007D56D9">
      <w:pPr>
        <w:pStyle w:val="SH4"/>
        <w:ind w:left="1718" w:hanging="425"/>
        <w:rPr>
          <w:sz w:val="18"/>
          <w:szCs w:val="18"/>
        </w:rPr>
      </w:pPr>
      <w:r w:rsidRPr="007D56D9">
        <w:rPr>
          <w:sz w:val="18"/>
          <w:szCs w:val="18"/>
        </w:rPr>
        <w:tab/>
        <w:t xml:space="preserve">acute illness such as acute myocardial infarction, stroke and congestive heart failure; </w:t>
      </w:r>
    </w:p>
    <w:p w:rsidR="00932C7F" w:rsidRPr="007D56D9" w:rsidRDefault="00932C7F" w:rsidP="007D56D9">
      <w:pPr>
        <w:pStyle w:val="SH4"/>
        <w:ind w:left="1718" w:hanging="425"/>
        <w:rPr>
          <w:sz w:val="18"/>
          <w:szCs w:val="18"/>
        </w:rPr>
      </w:pPr>
      <w:r w:rsidRPr="007D56D9">
        <w:rPr>
          <w:sz w:val="18"/>
          <w:szCs w:val="18"/>
        </w:rPr>
        <w:tab/>
        <w:t>acute iodine load;</w:t>
      </w:r>
    </w:p>
    <w:p w:rsidR="00932C7F" w:rsidRPr="007D56D9" w:rsidRDefault="00932C7F" w:rsidP="007D56D9">
      <w:pPr>
        <w:pStyle w:val="SH4"/>
        <w:ind w:left="1718" w:hanging="425"/>
        <w:rPr>
          <w:sz w:val="18"/>
          <w:szCs w:val="18"/>
        </w:rPr>
      </w:pPr>
      <w:r w:rsidRPr="007D56D9">
        <w:rPr>
          <w:sz w:val="18"/>
          <w:szCs w:val="18"/>
        </w:rPr>
        <w:tab/>
        <w:t>experiencing an acute, severe, emotional stressor;</w:t>
      </w:r>
    </w:p>
    <w:p w:rsidR="00932C7F" w:rsidRPr="007D56D9" w:rsidRDefault="00932C7F" w:rsidP="007D56D9">
      <w:pPr>
        <w:pStyle w:val="SH4"/>
        <w:ind w:left="1718" w:hanging="425"/>
        <w:rPr>
          <w:sz w:val="18"/>
          <w:szCs w:val="18"/>
        </w:rPr>
      </w:pPr>
      <w:r w:rsidRPr="007D56D9">
        <w:rPr>
          <w:sz w:val="18"/>
          <w:szCs w:val="18"/>
        </w:rPr>
        <w:tab/>
        <w:t>infection;</w:t>
      </w:r>
    </w:p>
    <w:p w:rsidR="00932C7F" w:rsidRPr="007D56D9" w:rsidRDefault="00932C7F" w:rsidP="007D56D9">
      <w:pPr>
        <w:pStyle w:val="SH4"/>
        <w:ind w:left="1718" w:hanging="425"/>
        <w:rPr>
          <w:sz w:val="18"/>
          <w:szCs w:val="18"/>
        </w:rPr>
      </w:pPr>
      <w:r w:rsidRPr="007D56D9">
        <w:rPr>
          <w:sz w:val="18"/>
          <w:szCs w:val="18"/>
        </w:rPr>
        <w:tab/>
        <w:t xml:space="preserve">parturition; </w:t>
      </w:r>
    </w:p>
    <w:p w:rsidR="00932C7F" w:rsidRPr="007D56D9" w:rsidRDefault="00932C7F" w:rsidP="007D56D9">
      <w:pPr>
        <w:pStyle w:val="SH4"/>
        <w:ind w:left="1718" w:hanging="425"/>
        <w:rPr>
          <w:sz w:val="18"/>
          <w:szCs w:val="18"/>
        </w:rPr>
      </w:pPr>
      <w:r w:rsidRPr="007D56D9">
        <w:rPr>
          <w:sz w:val="18"/>
          <w:szCs w:val="18"/>
        </w:rPr>
        <w:tab/>
        <w:t>physical trauma or injury; and</w:t>
      </w:r>
    </w:p>
    <w:p w:rsidR="00932C7F" w:rsidRPr="007D56D9" w:rsidRDefault="00932C7F" w:rsidP="007D56D9">
      <w:pPr>
        <w:pStyle w:val="SH4"/>
        <w:ind w:left="1718" w:hanging="425"/>
        <w:rPr>
          <w:sz w:val="18"/>
          <w:szCs w:val="18"/>
        </w:rPr>
      </w:pPr>
      <w:r w:rsidRPr="007D56D9">
        <w:rPr>
          <w:sz w:val="18"/>
          <w:szCs w:val="18"/>
        </w:rPr>
        <w:tab/>
      </w:r>
      <w:proofErr w:type="gramStart"/>
      <w:r w:rsidRPr="007D56D9">
        <w:rPr>
          <w:sz w:val="18"/>
          <w:szCs w:val="18"/>
        </w:rPr>
        <w:t>surgery</w:t>
      </w:r>
      <w:proofErr w:type="gramEnd"/>
      <w:r w:rsidRPr="007D56D9">
        <w:rPr>
          <w:sz w:val="18"/>
          <w:szCs w:val="18"/>
        </w:rPr>
        <w:t>.</w:t>
      </w:r>
    </w:p>
    <w:p w:rsidR="00DB1A44" w:rsidRPr="00513D05" w:rsidRDefault="00A8298C" w:rsidP="00DB1A44">
      <w:pPr>
        <w:pStyle w:val="SH3"/>
      </w:pPr>
      <w:proofErr w:type="spellStart"/>
      <w:proofErr w:type="gramStart"/>
      <w:r>
        <w:rPr>
          <w:b/>
          <w:i/>
        </w:rPr>
        <w:t>G</w:t>
      </w:r>
      <w:r w:rsidR="00DB1A44" w:rsidRPr="00A272C8">
        <w:rPr>
          <w:b/>
          <w:i/>
        </w:rPr>
        <w:t>raves</w:t>
      </w:r>
      <w:proofErr w:type="spellEnd"/>
      <w:proofErr w:type="gramEnd"/>
      <w:r w:rsidR="00DB1A44" w:rsidRPr="00A272C8">
        <w:rPr>
          <w:b/>
          <w:i/>
        </w:rPr>
        <w:t xml:space="preserve"> disease</w:t>
      </w:r>
      <w:r w:rsidR="00DB1A44" w:rsidRPr="00513D05">
        <w:t>—see subsection</w:t>
      </w:r>
      <w:r w:rsidR="00DB1A44">
        <w:t xml:space="preserve"> 7(2).</w:t>
      </w:r>
    </w:p>
    <w:p w:rsidR="00816411" w:rsidRDefault="007B52F6" w:rsidP="00816411">
      <w:pPr>
        <w:pStyle w:val="SH3"/>
      </w:pPr>
      <w:r w:rsidRPr="007B52F6">
        <w:tab/>
      </w:r>
      <w:r w:rsidR="00816411" w:rsidRPr="00816411">
        <w:rPr>
          <w:b/>
          <w:i/>
        </w:rPr>
        <w:t>iodine excess</w:t>
      </w:r>
      <w:r w:rsidR="00816411">
        <w:t xml:space="preserve"> means:</w:t>
      </w:r>
    </w:p>
    <w:p w:rsidR="00816411" w:rsidRDefault="00816411" w:rsidP="00816411">
      <w:pPr>
        <w:pStyle w:val="SH4"/>
      </w:pPr>
      <w:r>
        <w:t xml:space="preserve">an average intake of more than 1,100 micrograms of iodine per day for adults, or </w:t>
      </w:r>
      <w:r w:rsidR="000B7E5A">
        <w:t xml:space="preserve">more than </w:t>
      </w:r>
      <w:r>
        <w:t xml:space="preserve">900 micrograms per day for those aged 18 years and under, for a continuous period of at least 3 months; or </w:t>
      </w:r>
    </w:p>
    <w:p w:rsidR="00816411" w:rsidRDefault="00816411" w:rsidP="00816411">
      <w:pPr>
        <w:pStyle w:val="SH4"/>
      </w:pPr>
      <w:proofErr w:type="gramStart"/>
      <w:r>
        <w:t>a</w:t>
      </w:r>
      <w:proofErr w:type="gramEnd"/>
      <w:r>
        <w:t xml:space="preserve"> urinary iodine concentration of greater than 300 micrograms per litre, or greater than 500 micrograms per litre for pregnant women.</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2166C0" w:rsidRDefault="002166C0" w:rsidP="002166C0">
      <w:pPr>
        <w:pStyle w:val="SH3"/>
      </w:pPr>
      <w:bookmarkStart w:id="38" w:name="_Ref402529607"/>
      <w:bookmarkEnd w:id="37"/>
      <w:proofErr w:type="gramStart"/>
      <w:r w:rsidRPr="002166C0">
        <w:rPr>
          <w:b/>
          <w:i/>
        </w:rPr>
        <w:t>one</w:t>
      </w:r>
      <w:proofErr w:type="gramEnd"/>
      <w:r w:rsidRPr="002166C0">
        <w:rPr>
          <w:b/>
          <w:i/>
        </w:rPr>
        <w:t xml:space="preserve"> pack-year</w:t>
      </w:r>
      <w:r w:rsidRPr="002166C0">
        <w:t xml:space="preserve"> means the amount of tobacco consumed in smoking 20</w:t>
      </w:r>
      <w:r w:rsidR="00CB6971">
        <w:t> </w:t>
      </w:r>
      <w:r w:rsidRPr="002166C0">
        <w:t>cigarettes per day for a period of 1 year, or an equivalent amount of tobacco products.</w:t>
      </w:r>
    </w:p>
    <w:p w:rsidR="002166C0" w:rsidRDefault="002166C0" w:rsidP="002166C0">
      <w:pPr>
        <w:pStyle w:val="ScheduleNote"/>
        <w:ind w:left="1446" w:hanging="595"/>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2166C0" w:rsidRPr="002166C0" w:rsidRDefault="002166C0" w:rsidP="002166C0">
      <w:pPr>
        <w:pStyle w:val="ScheduleNote"/>
        <w:ind w:left="1446" w:hanging="595"/>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bookmarkEnd w:id="38"/>
    <w:p w:rsidR="00816411" w:rsidRDefault="00816411" w:rsidP="00FF0221">
      <w:pPr>
        <w:pStyle w:val="SH3"/>
        <w:keepNext/>
        <w:ind w:left="850"/>
      </w:pPr>
      <w:r w:rsidRPr="00816411">
        <w:rPr>
          <w:b/>
          <w:i/>
        </w:rPr>
        <w:t>specified list of drugs</w:t>
      </w:r>
      <w:r w:rsidRPr="00816411">
        <w:t xml:space="preserve"> means:</w:t>
      </w:r>
    </w:p>
    <w:p w:rsidR="00816411" w:rsidRDefault="00816411" w:rsidP="00816411">
      <w:pPr>
        <w:pStyle w:val="SH4"/>
      </w:pPr>
      <w:r>
        <w:t>antiretroviral therapy;</w:t>
      </w:r>
    </w:p>
    <w:p w:rsidR="00816411" w:rsidRDefault="00816411" w:rsidP="00816411">
      <w:pPr>
        <w:pStyle w:val="SH4"/>
      </w:pPr>
      <w:r>
        <w:lastRenderedPageBreak/>
        <w:t>immune checkpoint inhibitors;</w:t>
      </w:r>
    </w:p>
    <w:p w:rsidR="00816411" w:rsidRPr="005C33DC" w:rsidRDefault="00816411" w:rsidP="00816411">
      <w:pPr>
        <w:pStyle w:val="SH4"/>
      </w:pPr>
      <w:r w:rsidRPr="005C33DC">
        <w:t>interferon alpha;</w:t>
      </w:r>
    </w:p>
    <w:p w:rsidR="00816411" w:rsidRPr="005C33DC" w:rsidRDefault="00816411" w:rsidP="00816411">
      <w:pPr>
        <w:pStyle w:val="SH4"/>
      </w:pPr>
      <w:r w:rsidRPr="005C33DC">
        <w:t>interleukin-2</w:t>
      </w:r>
      <w:r w:rsidR="005C33DC" w:rsidRPr="005C33DC">
        <w:t xml:space="preserve">; or </w:t>
      </w:r>
    </w:p>
    <w:p w:rsidR="00816411" w:rsidRDefault="00816411" w:rsidP="00816411">
      <w:pPr>
        <w:pStyle w:val="SH4"/>
      </w:pPr>
      <w:proofErr w:type="gramStart"/>
      <w:r w:rsidRPr="005C33DC">
        <w:t>tyrosine</w:t>
      </w:r>
      <w:proofErr w:type="gramEnd"/>
      <w:r w:rsidRPr="005C33DC">
        <w:t xml:space="preserve"> </w:t>
      </w:r>
      <w:r>
        <w:t>kinase inhibitors.</w:t>
      </w:r>
    </w:p>
    <w:p w:rsidR="00DB1A44" w:rsidRPr="009C404D" w:rsidRDefault="00DB1A44" w:rsidP="00DB1A44">
      <w:pPr>
        <w:pStyle w:val="SH3"/>
      </w:pPr>
      <w:r>
        <w:rPr>
          <w:b/>
          <w:i/>
        </w:rPr>
        <w:t>t</w:t>
      </w:r>
      <w:r w:rsidRPr="00973808">
        <w:rPr>
          <w:b/>
          <w:i/>
        </w:rPr>
        <w:t>erminal event</w:t>
      </w:r>
      <w:r w:rsidRPr="009C404D">
        <w:t xml:space="preserve"> means the proximate or ultimate cause of death and includes the following:</w:t>
      </w:r>
    </w:p>
    <w:p w:rsidR="00DB1A44" w:rsidRPr="00513D05" w:rsidRDefault="00DB1A44" w:rsidP="00DB1A44">
      <w:pPr>
        <w:pStyle w:val="SH4"/>
        <w:ind w:left="1418"/>
      </w:pPr>
      <w:r>
        <w:tab/>
      </w:r>
      <w:r w:rsidRPr="00513D05">
        <w:t>pneumonia;</w:t>
      </w:r>
    </w:p>
    <w:p w:rsidR="00DB1A44" w:rsidRPr="00513D05" w:rsidRDefault="00DB1A44" w:rsidP="00DB1A44">
      <w:pPr>
        <w:pStyle w:val="SH4"/>
        <w:ind w:left="1418"/>
      </w:pPr>
      <w:r w:rsidRPr="00513D05">
        <w:tab/>
        <w:t>respiratory failure;</w:t>
      </w:r>
    </w:p>
    <w:p w:rsidR="00DB1A44" w:rsidRPr="00513D05" w:rsidRDefault="00DB1A44" w:rsidP="00DB1A44">
      <w:pPr>
        <w:pStyle w:val="SH4"/>
        <w:ind w:left="1418"/>
      </w:pPr>
      <w:r w:rsidRPr="00513D05">
        <w:tab/>
        <w:t>cardiac arrest;</w:t>
      </w:r>
    </w:p>
    <w:p w:rsidR="00DB1A44" w:rsidRPr="00513D05" w:rsidRDefault="00DB1A44" w:rsidP="00DB1A44">
      <w:pPr>
        <w:pStyle w:val="SH4"/>
        <w:ind w:left="1418"/>
      </w:pPr>
      <w:r w:rsidRPr="00513D05">
        <w:tab/>
        <w:t>circulatory failure;</w:t>
      </w:r>
      <w:r>
        <w:t xml:space="preserve"> or</w:t>
      </w:r>
    </w:p>
    <w:p w:rsidR="00DB1A44" w:rsidRPr="00BD3334" w:rsidRDefault="00DB1A44" w:rsidP="00DB1A44">
      <w:pPr>
        <w:pStyle w:val="SH4"/>
        <w:ind w:left="1418"/>
      </w:pPr>
      <w:r w:rsidRPr="00513D05">
        <w:tab/>
      </w:r>
      <w:proofErr w:type="gramStart"/>
      <w:r w:rsidRPr="00513D05">
        <w:t>cessation</w:t>
      </w:r>
      <w:proofErr w:type="gramEnd"/>
      <w:r w:rsidRPr="00513D05">
        <w:t xml:space="preserve"> of brain function.</w:t>
      </w:r>
    </w:p>
    <w:p w:rsidR="008A3896" w:rsidRDefault="008A3896" w:rsidP="008A3896">
      <w:pPr>
        <w:pStyle w:val="SH3"/>
      </w:pPr>
      <w:proofErr w:type="gramStart"/>
      <w:r w:rsidRPr="008A3896">
        <w:rPr>
          <w:b/>
          <w:i/>
        </w:rPr>
        <w:t>thyrotoxic</w:t>
      </w:r>
      <w:proofErr w:type="gramEnd"/>
      <w:r w:rsidRPr="008A3896">
        <w:rPr>
          <w:b/>
          <w:i/>
        </w:rPr>
        <w:t xml:space="preserve"> crisis</w:t>
      </w:r>
      <w:r w:rsidRPr="008A3896">
        <w:t xml:space="preserve"> means a constellation of severe and life-threatening symptoms of rapid onset in a patient with biochemical evidence of elevated thyroid hormones.  Characteristic symptoms and signs are fever, marked tachycardia, heart failure, tremor, nausea and vomiting, diarrhoea, dehydration, restlessness, extreme agitation, delirium and coma.</w:t>
      </w:r>
    </w:p>
    <w:p w:rsidR="008A3896" w:rsidRDefault="008A3896" w:rsidP="008A3896">
      <w:pPr>
        <w:pStyle w:val="ScheduleNote"/>
      </w:pPr>
      <w:r>
        <w:t>Note 1: Thyrotoxic crisis is also known as thyroid storm.</w:t>
      </w:r>
    </w:p>
    <w:p w:rsidR="008A3896" w:rsidRPr="008A3896" w:rsidRDefault="008A3896" w:rsidP="008A3896">
      <w:pPr>
        <w:pStyle w:val="ScheduleNote"/>
        <w:ind w:left="1446" w:hanging="595"/>
      </w:pPr>
      <w:r>
        <w:t xml:space="preserve">Note 2: Thyrotoxic crisis may be the first presentation of undiagnosed </w:t>
      </w:r>
      <w:proofErr w:type="gramStart"/>
      <w:r>
        <w:t>Graves</w:t>
      </w:r>
      <w:proofErr w:type="gramEnd"/>
      <w:r>
        <w:t xml:space="preserve"> disease or may complicate existing Graves disease.</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64342" w:rsidP="004A2007">
          <w:pPr>
            <w:spacing w:line="0" w:lineRule="atLeast"/>
            <w:jc w:val="center"/>
            <w:rPr>
              <w:i/>
              <w:sz w:val="18"/>
              <w:szCs w:val="18"/>
            </w:rPr>
          </w:pPr>
          <w:proofErr w:type="spellStart"/>
          <w:r w:rsidRPr="00E64342">
            <w:rPr>
              <w:i/>
              <w:sz w:val="18"/>
              <w:szCs w:val="18"/>
            </w:rPr>
            <w:t>Graves</w:t>
          </w:r>
          <w:proofErr w:type="spellEnd"/>
          <w:r w:rsidRPr="00E64342">
            <w:rPr>
              <w:i/>
              <w:sz w:val="18"/>
              <w:szCs w:val="18"/>
            </w:rPr>
            <w:t xml:space="preserve"> Disease</w:t>
          </w:r>
          <w:r w:rsidR="004A2007">
            <w:rPr>
              <w:i/>
              <w:sz w:val="18"/>
              <w:szCs w:val="18"/>
            </w:rPr>
            <w:t xml:space="preserve"> (Reasonable Hypothesis) </w:t>
          </w:r>
          <w:r w:rsidR="004A2007" w:rsidRPr="007C5CE0">
            <w:rPr>
              <w:i/>
              <w:sz w:val="18"/>
            </w:rPr>
            <w:t xml:space="preserve">(No. </w:t>
          </w:r>
          <w:r w:rsidR="00E6188A" w:rsidRPr="00E6188A">
            <w:rPr>
              <w:i/>
              <w:sz w:val="18"/>
              <w:szCs w:val="18"/>
            </w:rPr>
            <w:t>7</w:t>
          </w:r>
          <w:r w:rsidR="004A2007" w:rsidRPr="007C5CE0">
            <w:rPr>
              <w:i/>
              <w:sz w:val="18"/>
              <w:szCs w:val="18"/>
            </w:rPr>
            <w:t xml:space="preserve"> of </w:t>
          </w:r>
          <w:r w:rsidRPr="00E64342">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F1CC0">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F1CC0">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64342" w:rsidP="004A2007">
          <w:pPr>
            <w:spacing w:line="0" w:lineRule="atLeast"/>
            <w:jc w:val="center"/>
            <w:rPr>
              <w:i/>
              <w:sz w:val="18"/>
              <w:szCs w:val="18"/>
            </w:rPr>
          </w:pPr>
          <w:proofErr w:type="spellStart"/>
          <w:r w:rsidRPr="00E64342">
            <w:rPr>
              <w:i/>
              <w:sz w:val="18"/>
              <w:szCs w:val="18"/>
            </w:rPr>
            <w:t>Graves</w:t>
          </w:r>
          <w:proofErr w:type="spellEnd"/>
          <w:r w:rsidRPr="00E64342">
            <w:rPr>
              <w:i/>
              <w:sz w:val="18"/>
              <w:szCs w:val="18"/>
            </w:rPr>
            <w:t xml:space="preserve"> Disease</w:t>
          </w:r>
          <w:r w:rsidR="004A2007">
            <w:rPr>
              <w:i/>
              <w:sz w:val="18"/>
              <w:szCs w:val="18"/>
            </w:rPr>
            <w:t xml:space="preserve"> (Reasonable Hypothesis) </w:t>
          </w:r>
          <w:r w:rsidR="004A2007" w:rsidRPr="007C5CE0">
            <w:rPr>
              <w:i/>
              <w:sz w:val="18"/>
            </w:rPr>
            <w:t xml:space="preserve">(No. </w:t>
          </w:r>
          <w:r w:rsidR="00E6188A" w:rsidRPr="00E6188A">
            <w:rPr>
              <w:i/>
              <w:sz w:val="18"/>
              <w:szCs w:val="18"/>
            </w:rPr>
            <w:t>7</w:t>
          </w:r>
          <w:r w:rsidR="004A2007" w:rsidRPr="007C5CE0">
            <w:rPr>
              <w:i/>
              <w:sz w:val="18"/>
              <w:szCs w:val="18"/>
            </w:rPr>
            <w:t xml:space="preserve"> of </w:t>
          </w:r>
          <w:r w:rsidRPr="00E64342">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F1CC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F1CC0">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5FA3"/>
    <w:rsid w:val="00032E05"/>
    <w:rsid w:val="00035328"/>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E5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17DA"/>
    <w:rsid w:val="001F5D5E"/>
    <w:rsid w:val="001F6219"/>
    <w:rsid w:val="001F6CD4"/>
    <w:rsid w:val="00206C4D"/>
    <w:rsid w:val="0021053C"/>
    <w:rsid w:val="00214488"/>
    <w:rsid w:val="00215860"/>
    <w:rsid w:val="00215AF1"/>
    <w:rsid w:val="002166C0"/>
    <w:rsid w:val="00223E2C"/>
    <w:rsid w:val="00225CBD"/>
    <w:rsid w:val="00226ECC"/>
    <w:rsid w:val="002321E8"/>
    <w:rsid w:val="00236EEC"/>
    <w:rsid w:val="00237471"/>
    <w:rsid w:val="002376A0"/>
    <w:rsid w:val="00237BAF"/>
    <w:rsid w:val="0024010F"/>
    <w:rsid w:val="00240749"/>
    <w:rsid w:val="00243018"/>
    <w:rsid w:val="0025247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24F"/>
    <w:rsid w:val="004A5E4B"/>
    <w:rsid w:val="004A65BA"/>
    <w:rsid w:val="004C6AE8"/>
    <w:rsid w:val="004C6D55"/>
    <w:rsid w:val="004D10CF"/>
    <w:rsid w:val="004D1EB0"/>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3DC"/>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6BB6"/>
    <w:rsid w:val="00757544"/>
    <w:rsid w:val="007615E2"/>
    <w:rsid w:val="00763D94"/>
    <w:rsid w:val="00764D43"/>
    <w:rsid w:val="0076681A"/>
    <w:rsid w:val="0077005A"/>
    <w:rsid w:val="007715C9"/>
    <w:rsid w:val="00771613"/>
    <w:rsid w:val="00774897"/>
    <w:rsid w:val="00774EDD"/>
    <w:rsid w:val="007757EC"/>
    <w:rsid w:val="0078129A"/>
    <w:rsid w:val="007818F6"/>
    <w:rsid w:val="00781DD2"/>
    <w:rsid w:val="00782F4E"/>
    <w:rsid w:val="00783E89"/>
    <w:rsid w:val="007904DB"/>
    <w:rsid w:val="00793915"/>
    <w:rsid w:val="00797D1A"/>
    <w:rsid w:val="007A15B1"/>
    <w:rsid w:val="007A3989"/>
    <w:rsid w:val="007B132E"/>
    <w:rsid w:val="007B52F6"/>
    <w:rsid w:val="007C2253"/>
    <w:rsid w:val="007C5CE0"/>
    <w:rsid w:val="007C7DEE"/>
    <w:rsid w:val="007D3BA2"/>
    <w:rsid w:val="007D56D9"/>
    <w:rsid w:val="007E163D"/>
    <w:rsid w:val="007E667A"/>
    <w:rsid w:val="007F2378"/>
    <w:rsid w:val="007F28C9"/>
    <w:rsid w:val="00803587"/>
    <w:rsid w:val="00806368"/>
    <w:rsid w:val="008117E9"/>
    <w:rsid w:val="00816411"/>
    <w:rsid w:val="00824498"/>
    <w:rsid w:val="008321ED"/>
    <w:rsid w:val="00832C32"/>
    <w:rsid w:val="00842EA3"/>
    <w:rsid w:val="00850150"/>
    <w:rsid w:val="00850A63"/>
    <w:rsid w:val="0085384C"/>
    <w:rsid w:val="00856A31"/>
    <w:rsid w:val="00860BB7"/>
    <w:rsid w:val="0086644D"/>
    <w:rsid w:val="00867ABD"/>
    <w:rsid w:val="00867B37"/>
    <w:rsid w:val="00873081"/>
    <w:rsid w:val="008754D0"/>
    <w:rsid w:val="00877AE3"/>
    <w:rsid w:val="008855C9"/>
    <w:rsid w:val="00885EAB"/>
    <w:rsid w:val="00886456"/>
    <w:rsid w:val="008A3896"/>
    <w:rsid w:val="008A46E1"/>
    <w:rsid w:val="008A4F43"/>
    <w:rsid w:val="008B170B"/>
    <w:rsid w:val="008B2204"/>
    <w:rsid w:val="008B2706"/>
    <w:rsid w:val="008B7247"/>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C7F"/>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9F1CC0"/>
    <w:rsid w:val="00A06E7A"/>
    <w:rsid w:val="00A079CB"/>
    <w:rsid w:val="00A11C0D"/>
    <w:rsid w:val="00A12128"/>
    <w:rsid w:val="00A137F8"/>
    <w:rsid w:val="00A20CA1"/>
    <w:rsid w:val="00A20FDB"/>
    <w:rsid w:val="00A22C98"/>
    <w:rsid w:val="00A231E2"/>
    <w:rsid w:val="00A254EA"/>
    <w:rsid w:val="00A272C8"/>
    <w:rsid w:val="00A36B1A"/>
    <w:rsid w:val="00A515BC"/>
    <w:rsid w:val="00A56C3D"/>
    <w:rsid w:val="00A6070D"/>
    <w:rsid w:val="00A64912"/>
    <w:rsid w:val="00A64BA1"/>
    <w:rsid w:val="00A70A74"/>
    <w:rsid w:val="00A77E0D"/>
    <w:rsid w:val="00A8298C"/>
    <w:rsid w:val="00A931D7"/>
    <w:rsid w:val="00AA64D6"/>
    <w:rsid w:val="00AA6D8B"/>
    <w:rsid w:val="00AC5296"/>
    <w:rsid w:val="00AD2DC7"/>
    <w:rsid w:val="00AD5641"/>
    <w:rsid w:val="00AD57CE"/>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4D2A"/>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1E12"/>
    <w:rsid w:val="00C738B9"/>
    <w:rsid w:val="00C7573B"/>
    <w:rsid w:val="00C77046"/>
    <w:rsid w:val="00C93C03"/>
    <w:rsid w:val="00C96667"/>
    <w:rsid w:val="00C9794D"/>
    <w:rsid w:val="00CA61BB"/>
    <w:rsid w:val="00CA7414"/>
    <w:rsid w:val="00CB1DCB"/>
    <w:rsid w:val="00CB2C8E"/>
    <w:rsid w:val="00CB602E"/>
    <w:rsid w:val="00CB6971"/>
    <w:rsid w:val="00CC7039"/>
    <w:rsid w:val="00CD6358"/>
    <w:rsid w:val="00CD7B88"/>
    <w:rsid w:val="00CE051D"/>
    <w:rsid w:val="00CE1335"/>
    <w:rsid w:val="00CE493D"/>
    <w:rsid w:val="00CF07FA"/>
    <w:rsid w:val="00CF0BB2"/>
    <w:rsid w:val="00CF2367"/>
    <w:rsid w:val="00CF3EE8"/>
    <w:rsid w:val="00D050E6"/>
    <w:rsid w:val="00D0619A"/>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97D3D"/>
    <w:rsid w:val="00DA186E"/>
    <w:rsid w:val="00DA3996"/>
    <w:rsid w:val="00DA4116"/>
    <w:rsid w:val="00DA7AC0"/>
    <w:rsid w:val="00DB15BB"/>
    <w:rsid w:val="00DB1A44"/>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188A"/>
    <w:rsid w:val="00E64342"/>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EF6DE7"/>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221"/>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1906</Words>
  <Characters>10867</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2021-12-23T00:49:00Z</dcterms:modified>
  <cp:category/>
  <cp:contentStatus/>
  <dc:language/>
  <cp:version/>
</cp:coreProperties>
</file>