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41D41" w14:textId="77777777" w:rsidR="00715914" w:rsidRPr="00FA33FB" w:rsidRDefault="00997416" w:rsidP="005B312A">
      <w:pPr>
        <w:pStyle w:val="Plain"/>
        <w:rPr>
          <w:sz w:val="28"/>
        </w:rPr>
      </w:pPr>
      <w:r>
        <w:rPr>
          <w:noProof/>
        </w:rPr>
        <w:drawing>
          <wp:inline distT="0" distB="0" distL="0" distR="0" wp14:anchorId="16505BB7" wp14:editId="23DB32C8">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0192E689" w14:textId="77777777" w:rsidR="00715914" w:rsidRPr="00FA33FB" w:rsidRDefault="00715914" w:rsidP="00715914">
      <w:pPr>
        <w:rPr>
          <w:sz w:val="19"/>
        </w:rPr>
      </w:pPr>
    </w:p>
    <w:p w14:paraId="7BA2D7C7" w14:textId="77777777" w:rsidR="000F76FA" w:rsidRPr="00024911" w:rsidRDefault="00E55F66" w:rsidP="006647B7">
      <w:pPr>
        <w:pStyle w:val="Plainheader"/>
      </w:pPr>
      <w:r w:rsidRPr="00024911">
        <w:t>Statement of Principles</w:t>
      </w:r>
    </w:p>
    <w:p w14:paraId="313CF9F8" w14:textId="77777777" w:rsidR="000F76FA" w:rsidRPr="00024911" w:rsidRDefault="000F76FA" w:rsidP="006647B7">
      <w:pPr>
        <w:pStyle w:val="Plainheader"/>
      </w:pPr>
      <w:proofErr w:type="gramStart"/>
      <w:r w:rsidRPr="00024911">
        <w:t>c</w:t>
      </w:r>
      <w:r w:rsidR="00E55F66" w:rsidRPr="00024911">
        <w:t>oncerning</w:t>
      </w:r>
      <w:proofErr w:type="gramEnd"/>
    </w:p>
    <w:p w14:paraId="0B4E7664" w14:textId="77777777" w:rsidR="00054930" w:rsidRDefault="00187CA8" w:rsidP="006647B7">
      <w:pPr>
        <w:pStyle w:val="Plainheader"/>
      </w:pPr>
      <w:bookmarkStart w:id="0" w:name="SoP_Name_Title"/>
      <w:proofErr w:type="gramStart"/>
      <w:r>
        <w:t>GOITRE</w:t>
      </w:r>
      <w:bookmarkEnd w:id="0"/>
      <w:proofErr w:type="gramEnd"/>
      <w:r w:rsidR="00997416">
        <w:br/>
        <w:t>(</w:t>
      </w:r>
      <w:r w:rsidR="005E589B">
        <w:t>Reasonable Hypothesis</w:t>
      </w:r>
      <w:r w:rsidR="00997416">
        <w:t xml:space="preserve">) </w:t>
      </w:r>
    </w:p>
    <w:p w14:paraId="5C207EE4" w14:textId="4BFC6B6C" w:rsidR="00715914" w:rsidRPr="00024911" w:rsidRDefault="00E55F66" w:rsidP="006647B7">
      <w:pPr>
        <w:pStyle w:val="Plainheader"/>
      </w:pPr>
      <w:r w:rsidRPr="00024911">
        <w:t xml:space="preserve">(No. </w:t>
      </w:r>
      <w:bookmarkStart w:id="1" w:name="BP"/>
      <w:r w:rsidR="00D949E5">
        <w:t>9</w:t>
      </w:r>
      <w:bookmarkEnd w:id="1"/>
      <w:r w:rsidRPr="00024911">
        <w:t xml:space="preserve"> of</w:t>
      </w:r>
      <w:r w:rsidR="00085567">
        <w:t xml:space="preserve"> </w:t>
      </w:r>
      <w:bookmarkStart w:id="2" w:name="year"/>
      <w:r w:rsidR="005676E6">
        <w:t>202</w:t>
      </w:r>
      <w:r w:rsidR="00DB3E69">
        <w:t>2</w:t>
      </w:r>
      <w:bookmarkEnd w:id="2"/>
      <w:r w:rsidRPr="00024911">
        <w:t>)</w:t>
      </w:r>
    </w:p>
    <w:p w14:paraId="65B0E33E"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2A3353">
        <w:rPr>
          <w:i/>
          <w:sz w:val="24"/>
          <w:szCs w:val="24"/>
        </w:rPr>
        <w:t>'</w:t>
      </w:r>
      <w:r w:rsidR="00997416" w:rsidRPr="00BB78C9">
        <w:rPr>
          <w:i/>
          <w:sz w:val="24"/>
          <w:szCs w:val="24"/>
        </w:rPr>
        <w:t xml:space="preserve"> Entitlements Act 1986</w:t>
      </w:r>
      <w:r w:rsidRPr="007527C1">
        <w:rPr>
          <w:sz w:val="24"/>
          <w:szCs w:val="24"/>
        </w:rPr>
        <w:t>.</w:t>
      </w:r>
    </w:p>
    <w:p w14:paraId="4E0AA960" w14:textId="77777777" w:rsidR="00F97A62" w:rsidRPr="00E65BB9" w:rsidRDefault="00F97A62" w:rsidP="00F97A62">
      <w:pPr>
        <w:rPr>
          <w:lang w:eastAsia="en-AU"/>
        </w:rPr>
      </w:pPr>
    </w:p>
    <w:p w14:paraId="0A109847" w14:textId="54CBDB04" w:rsidR="00EE4950" w:rsidRPr="005B312A" w:rsidRDefault="00EE4950" w:rsidP="005B312A">
      <w:pPr>
        <w:pStyle w:val="Plain"/>
        <w:tabs>
          <w:tab w:val="left" w:pos="851"/>
        </w:tabs>
        <w:spacing w:before="0"/>
        <w:jc w:val="left"/>
        <w:rPr>
          <w:b w:val="0"/>
        </w:rPr>
      </w:pPr>
      <w:r w:rsidRPr="005B312A">
        <w:rPr>
          <w:b w:val="0"/>
        </w:rPr>
        <w:t>Dated</w:t>
      </w:r>
      <w:r w:rsidR="005676E6" w:rsidRPr="005B312A">
        <w:rPr>
          <w:b w:val="0"/>
        </w:rPr>
        <w:t xml:space="preserve">   </w:t>
      </w:r>
      <w:r w:rsidRPr="005B312A">
        <w:rPr>
          <w:b w:val="0"/>
        </w:rPr>
        <w:tab/>
      </w:r>
      <w:r w:rsidR="00D949E5">
        <w:rPr>
          <w:b w:val="0"/>
        </w:rPr>
        <w:t>24 December 2021</w:t>
      </w:r>
    </w:p>
    <w:p w14:paraId="39AE8B73" w14:textId="77777777" w:rsidR="00EE4950" w:rsidRPr="005B312A" w:rsidRDefault="00EE4950" w:rsidP="005B312A">
      <w:pPr>
        <w:pStyle w:val="Plain"/>
        <w:tabs>
          <w:tab w:val="left" w:pos="567"/>
        </w:tabs>
        <w:spacing w:before="0"/>
        <w:jc w:val="left"/>
        <w:rPr>
          <w:b w:val="0"/>
        </w:rPr>
      </w:pPr>
    </w:p>
    <w:p w14:paraId="78288255" w14:textId="77777777" w:rsidR="00EE4950" w:rsidRPr="005B312A" w:rsidRDefault="00EE4950" w:rsidP="005B312A">
      <w:pPr>
        <w:pStyle w:val="Plain"/>
        <w:tabs>
          <w:tab w:val="left" w:pos="567"/>
        </w:tabs>
        <w:spacing w:before="0"/>
        <w:jc w:val="left"/>
        <w:rPr>
          <w:b w:val="0"/>
        </w:rPr>
      </w:pPr>
    </w:p>
    <w:p w14:paraId="451CE2A0" w14:textId="77777777" w:rsidR="00EE4950" w:rsidRPr="005B312A" w:rsidRDefault="00EE4950" w:rsidP="005B312A">
      <w:pPr>
        <w:pStyle w:val="Plain"/>
        <w:tabs>
          <w:tab w:val="left" w:pos="567"/>
        </w:tabs>
        <w:spacing w:before="0"/>
        <w:jc w:val="left"/>
        <w:rPr>
          <w:b w:val="0"/>
        </w:rPr>
      </w:pPr>
    </w:p>
    <w:p w14:paraId="002EF5C3" w14:textId="77777777" w:rsidR="00EE4950" w:rsidRPr="005B312A" w:rsidRDefault="00EE4950" w:rsidP="005B312A">
      <w:pPr>
        <w:pStyle w:val="Plain"/>
        <w:tabs>
          <w:tab w:val="left" w:pos="567"/>
        </w:tabs>
        <w:spacing w:before="0"/>
        <w:jc w:val="left"/>
        <w:rPr>
          <w:b w:val="0"/>
        </w:rPr>
      </w:pPr>
    </w:p>
    <w:p w14:paraId="2496E0F4" w14:textId="77777777" w:rsidR="00EE4950" w:rsidRPr="005B312A" w:rsidRDefault="00EE4950" w:rsidP="005B312A">
      <w:pPr>
        <w:pStyle w:val="Plain"/>
        <w:tabs>
          <w:tab w:val="left" w:pos="567"/>
        </w:tabs>
        <w:spacing w:before="0"/>
        <w:jc w:val="left"/>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E4950" w:rsidRPr="00E65BB9" w14:paraId="3E425BE5" w14:textId="77777777" w:rsidTr="0034373D">
        <w:tc>
          <w:tcPr>
            <w:tcW w:w="4116" w:type="dxa"/>
          </w:tcPr>
          <w:p w14:paraId="4B40C370" w14:textId="77777777" w:rsidR="00EE4950" w:rsidRPr="005B312A" w:rsidRDefault="00EE4950" w:rsidP="005B312A">
            <w:pPr>
              <w:pStyle w:val="Plain"/>
              <w:tabs>
                <w:tab w:val="left" w:pos="567"/>
              </w:tabs>
              <w:spacing w:before="0"/>
              <w:jc w:val="left"/>
              <w:rPr>
                <w:b w:val="0"/>
              </w:rPr>
            </w:pPr>
            <w:r w:rsidRPr="005B312A">
              <w:rPr>
                <w:b w:val="0"/>
              </w:rPr>
              <w:t>The Common Seal of the</w:t>
            </w:r>
            <w:r w:rsidRPr="005B312A">
              <w:rPr>
                <w:b w:val="0"/>
              </w:rPr>
              <w:br/>
              <w:t>Repatriation Medical Authority</w:t>
            </w:r>
            <w:r w:rsidRPr="005B312A">
              <w:rPr>
                <w:b w:val="0"/>
              </w:rPr>
              <w:br/>
              <w:t>was affixed to this instrument</w:t>
            </w:r>
            <w:r w:rsidRPr="005B312A">
              <w:rPr>
                <w:b w:val="0"/>
              </w:rPr>
              <w:br/>
              <w:t>at the direction of:</w:t>
            </w:r>
          </w:p>
          <w:p w14:paraId="0E967CE7" w14:textId="77777777" w:rsidR="00EE4950" w:rsidRPr="00383536" w:rsidRDefault="00EE4950" w:rsidP="005B312A">
            <w:pPr>
              <w:pStyle w:val="Plain"/>
              <w:tabs>
                <w:tab w:val="left" w:pos="567"/>
              </w:tabs>
              <w:spacing w:before="0"/>
              <w:jc w:val="left"/>
            </w:pPr>
          </w:p>
        </w:tc>
      </w:tr>
      <w:tr w:rsidR="00EE4950" w14:paraId="100A342C" w14:textId="77777777" w:rsidTr="0034373D">
        <w:tc>
          <w:tcPr>
            <w:tcW w:w="4116" w:type="dxa"/>
          </w:tcPr>
          <w:p w14:paraId="12CC3FF4" w14:textId="77777777" w:rsidR="00EE4950" w:rsidRPr="005B312A" w:rsidRDefault="00EE4950" w:rsidP="005B312A">
            <w:pPr>
              <w:pStyle w:val="Plain"/>
              <w:tabs>
                <w:tab w:val="left" w:pos="567"/>
              </w:tabs>
              <w:spacing w:before="0"/>
              <w:jc w:val="left"/>
              <w:rPr>
                <w:b w:val="0"/>
              </w:rPr>
            </w:pPr>
          </w:p>
          <w:p w14:paraId="40BE2C5D" w14:textId="77777777" w:rsidR="00EE4950" w:rsidRPr="005B312A" w:rsidRDefault="00EE4950" w:rsidP="005B312A">
            <w:pPr>
              <w:pStyle w:val="Plain"/>
              <w:tabs>
                <w:tab w:val="left" w:pos="567"/>
              </w:tabs>
              <w:spacing w:before="0"/>
              <w:jc w:val="left"/>
              <w:rPr>
                <w:b w:val="0"/>
              </w:rPr>
            </w:pPr>
          </w:p>
          <w:p w14:paraId="5AB8B284" w14:textId="77777777" w:rsidR="00EE4950" w:rsidRPr="005B312A" w:rsidRDefault="00EE4950" w:rsidP="005B312A">
            <w:pPr>
              <w:pStyle w:val="Plain"/>
              <w:tabs>
                <w:tab w:val="left" w:pos="567"/>
              </w:tabs>
              <w:spacing w:before="0"/>
              <w:jc w:val="left"/>
              <w:rPr>
                <w:b w:val="0"/>
              </w:rPr>
            </w:pPr>
            <w:r w:rsidRPr="005B312A">
              <w:rPr>
                <w:b w:val="0"/>
              </w:rPr>
              <w:t xml:space="preserve">Professor </w:t>
            </w:r>
            <w:r w:rsidR="00CE0C53">
              <w:rPr>
                <w:b w:val="0"/>
              </w:rPr>
              <w:t>Terence Campbell AM</w:t>
            </w:r>
          </w:p>
          <w:p w14:paraId="7AA55DC6" w14:textId="77777777" w:rsidR="00EE4950" w:rsidRPr="005B312A" w:rsidRDefault="00EE4950" w:rsidP="005B312A">
            <w:pPr>
              <w:pStyle w:val="Plain"/>
              <w:tabs>
                <w:tab w:val="left" w:pos="567"/>
              </w:tabs>
              <w:spacing w:before="0"/>
              <w:jc w:val="left"/>
              <w:rPr>
                <w:b w:val="0"/>
              </w:rPr>
            </w:pPr>
            <w:r w:rsidRPr="005B312A">
              <w:rPr>
                <w:b w:val="0"/>
              </w:rPr>
              <w:t>Chairperson</w:t>
            </w:r>
          </w:p>
          <w:p w14:paraId="350B5D61" w14:textId="77777777" w:rsidR="00EE4950" w:rsidRDefault="00EE4950" w:rsidP="0034373D"/>
        </w:tc>
      </w:tr>
    </w:tbl>
    <w:p w14:paraId="72803EF8" w14:textId="77777777" w:rsidR="00EE4950" w:rsidRPr="00FA33FB" w:rsidRDefault="00EE4950" w:rsidP="00EE4950"/>
    <w:p w14:paraId="3CFC98C5" w14:textId="77777777" w:rsidR="00EE4950" w:rsidRDefault="00EE4950" w:rsidP="00EE4950">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Pr>
          <w:rStyle w:val="CharChapText"/>
        </w:rPr>
        <w:br w:type="page"/>
      </w:r>
    </w:p>
    <w:p w14:paraId="417D8DF7"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6BFB6CBA" w14:textId="5F75AB11" w:rsidR="00DB3E69"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DB3E69">
        <w:rPr>
          <w:noProof/>
        </w:rPr>
        <w:t>1</w:t>
      </w:r>
      <w:r w:rsidR="00DB3E69">
        <w:rPr>
          <w:rFonts w:asciiTheme="minorHAnsi" w:eastAsiaTheme="minorEastAsia" w:hAnsiTheme="minorHAnsi" w:cstheme="minorBidi"/>
          <w:noProof/>
          <w:kern w:val="0"/>
          <w:sz w:val="22"/>
          <w:szCs w:val="22"/>
        </w:rPr>
        <w:tab/>
      </w:r>
      <w:r w:rsidR="00DB3E69">
        <w:rPr>
          <w:noProof/>
        </w:rPr>
        <w:t>Name</w:t>
      </w:r>
      <w:r w:rsidR="00DB3E69">
        <w:rPr>
          <w:noProof/>
        </w:rPr>
        <w:tab/>
      </w:r>
      <w:r w:rsidR="00DB3E69">
        <w:rPr>
          <w:noProof/>
        </w:rPr>
        <w:fldChar w:fldCharType="begin"/>
      </w:r>
      <w:r w:rsidR="00DB3E69">
        <w:rPr>
          <w:noProof/>
        </w:rPr>
        <w:instrText xml:space="preserve"> PAGEREF _Toc84579661 \h </w:instrText>
      </w:r>
      <w:r w:rsidR="00DB3E69">
        <w:rPr>
          <w:noProof/>
        </w:rPr>
      </w:r>
      <w:r w:rsidR="00DB3E69">
        <w:rPr>
          <w:noProof/>
        </w:rPr>
        <w:fldChar w:fldCharType="separate"/>
      </w:r>
      <w:r w:rsidR="00D41817">
        <w:rPr>
          <w:noProof/>
        </w:rPr>
        <w:t>3</w:t>
      </w:r>
      <w:r w:rsidR="00DB3E69">
        <w:rPr>
          <w:noProof/>
        </w:rPr>
        <w:fldChar w:fldCharType="end"/>
      </w:r>
    </w:p>
    <w:p w14:paraId="278711F5" w14:textId="221528FD" w:rsidR="00DB3E69" w:rsidRDefault="00DB3E69">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_Toc84579662 \h </w:instrText>
      </w:r>
      <w:r>
        <w:rPr>
          <w:noProof/>
        </w:rPr>
      </w:r>
      <w:r>
        <w:rPr>
          <w:noProof/>
        </w:rPr>
        <w:fldChar w:fldCharType="separate"/>
      </w:r>
      <w:r w:rsidR="00D41817">
        <w:rPr>
          <w:noProof/>
        </w:rPr>
        <w:t>3</w:t>
      </w:r>
      <w:r>
        <w:rPr>
          <w:noProof/>
        </w:rPr>
        <w:fldChar w:fldCharType="end"/>
      </w:r>
    </w:p>
    <w:p w14:paraId="03C8BD8C" w14:textId="397552B0" w:rsidR="00DB3E69" w:rsidRDefault="00DB3E69">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_Toc84579663 \h </w:instrText>
      </w:r>
      <w:r>
        <w:rPr>
          <w:noProof/>
        </w:rPr>
      </w:r>
      <w:r>
        <w:rPr>
          <w:noProof/>
        </w:rPr>
        <w:fldChar w:fldCharType="separate"/>
      </w:r>
      <w:r w:rsidR="00D41817">
        <w:rPr>
          <w:noProof/>
        </w:rPr>
        <w:t>3</w:t>
      </w:r>
      <w:r>
        <w:rPr>
          <w:noProof/>
        </w:rPr>
        <w:fldChar w:fldCharType="end"/>
      </w:r>
    </w:p>
    <w:p w14:paraId="471C59A8" w14:textId="33CCB7DD" w:rsidR="00DB3E69" w:rsidRDefault="00DB3E69">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_Toc84579664 \h </w:instrText>
      </w:r>
      <w:r>
        <w:rPr>
          <w:noProof/>
        </w:rPr>
      </w:r>
      <w:r>
        <w:rPr>
          <w:noProof/>
        </w:rPr>
        <w:fldChar w:fldCharType="separate"/>
      </w:r>
      <w:r w:rsidR="00D41817">
        <w:rPr>
          <w:noProof/>
        </w:rPr>
        <w:t>3</w:t>
      </w:r>
      <w:r>
        <w:rPr>
          <w:noProof/>
        </w:rPr>
        <w:fldChar w:fldCharType="end"/>
      </w:r>
    </w:p>
    <w:p w14:paraId="25A86BE8" w14:textId="22074B5B" w:rsidR="00DB3E69" w:rsidRDefault="00DB3E69">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_Toc84579665 \h </w:instrText>
      </w:r>
      <w:r>
        <w:rPr>
          <w:noProof/>
        </w:rPr>
      </w:r>
      <w:r>
        <w:rPr>
          <w:noProof/>
        </w:rPr>
        <w:fldChar w:fldCharType="separate"/>
      </w:r>
      <w:r w:rsidR="00D41817">
        <w:rPr>
          <w:noProof/>
        </w:rPr>
        <w:t>3</w:t>
      </w:r>
      <w:r>
        <w:rPr>
          <w:noProof/>
        </w:rPr>
        <w:fldChar w:fldCharType="end"/>
      </w:r>
    </w:p>
    <w:p w14:paraId="49407002" w14:textId="6E07DDFD" w:rsidR="00DB3E69" w:rsidRDefault="00DB3E69">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_Toc84579666 \h </w:instrText>
      </w:r>
      <w:r>
        <w:rPr>
          <w:noProof/>
        </w:rPr>
      </w:r>
      <w:r>
        <w:rPr>
          <w:noProof/>
        </w:rPr>
        <w:fldChar w:fldCharType="separate"/>
      </w:r>
      <w:r w:rsidR="00D41817">
        <w:rPr>
          <w:noProof/>
        </w:rPr>
        <w:t>3</w:t>
      </w:r>
      <w:r>
        <w:rPr>
          <w:noProof/>
        </w:rPr>
        <w:fldChar w:fldCharType="end"/>
      </w:r>
    </w:p>
    <w:p w14:paraId="4815D691" w14:textId="1CED1BF6" w:rsidR="00DB3E69" w:rsidRDefault="00DB3E69">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_Toc84579667 \h </w:instrText>
      </w:r>
      <w:r>
        <w:rPr>
          <w:noProof/>
        </w:rPr>
      </w:r>
      <w:r>
        <w:rPr>
          <w:noProof/>
        </w:rPr>
        <w:fldChar w:fldCharType="separate"/>
      </w:r>
      <w:r w:rsidR="00D41817">
        <w:rPr>
          <w:noProof/>
        </w:rPr>
        <w:t>3</w:t>
      </w:r>
      <w:r>
        <w:rPr>
          <w:noProof/>
        </w:rPr>
        <w:fldChar w:fldCharType="end"/>
      </w:r>
    </w:p>
    <w:p w14:paraId="08D54A5A" w14:textId="4336EA25" w:rsidR="00DB3E69" w:rsidRDefault="00DB3E69">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_Toc84579668 \h </w:instrText>
      </w:r>
      <w:r>
        <w:rPr>
          <w:noProof/>
        </w:rPr>
      </w:r>
      <w:r>
        <w:rPr>
          <w:noProof/>
        </w:rPr>
        <w:fldChar w:fldCharType="separate"/>
      </w:r>
      <w:r w:rsidR="00D41817">
        <w:rPr>
          <w:noProof/>
        </w:rPr>
        <w:t>4</w:t>
      </w:r>
      <w:r>
        <w:rPr>
          <w:noProof/>
        </w:rPr>
        <w:fldChar w:fldCharType="end"/>
      </w:r>
    </w:p>
    <w:p w14:paraId="799211B8" w14:textId="12452B19" w:rsidR="00DB3E69" w:rsidRDefault="00DB3E69">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_Toc84579669 \h </w:instrText>
      </w:r>
      <w:r>
        <w:rPr>
          <w:noProof/>
        </w:rPr>
      </w:r>
      <w:r>
        <w:rPr>
          <w:noProof/>
        </w:rPr>
        <w:fldChar w:fldCharType="separate"/>
      </w:r>
      <w:r w:rsidR="00D41817">
        <w:rPr>
          <w:noProof/>
        </w:rPr>
        <w:t>4</w:t>
      </w:r>
      <w:r>
        <w:rPr>
          <w:noProof/>
        </w:rPr>
        <w:fldChar w:fldCharType="end"/>
      </w:r>
    </w:p>
    <w:p w14:paraId="73BEB46E" w14:textId="62262950" w:rsidR="00DB3E69" w:rsidRDefault="00DB3E69">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_Toc84579670 \h </w:instrText>
      </w:r>
      <w:r>
        <w:rPr>
          <w:noProof/>
        </w:rPr>
      </w:r>
      <w:r>
        <w:rPr>
          <w:noProof/>
        </w:rPr>
        <w:fldChar w:fldCharType="separate"/>
      </w:r>
      <w:r w:rsidR="00D41817">
        <w:rPr>
          <w:noProof/>
        </w:rPr>
        <w:t>7</w:t>
      </w:r>
      <w:r>
        <w:rPr>
          <w:noProof/>
        </w:rPr>
        <w:fldChar w:fldCharType="end"/>
      </w:r>
    </w:p>
    <w:p w14:paraId="761CD213" w14:textId="7A02E9C0" w:rsidR="00DB3E69" w:rsidRDefault="00DB3E69">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_Toc84579671 \h </w:instrText>
      </w:r>
      <w:r>
        <w:rPr>
          <w:noProof/>
        </w:rPr>
      </w:r>
      <w:r>
        <w:rPr>
          <w:noProof/>
        </w:rPr>
        <w:fldChar w:fldCharType="separate"/>
      </w:r>
      <w:r w:rsidR="00D41817">
        <w:rPr>
          <w:noProof/>
        </w:rPr>
        <w:t>7</w:t>
      </w:r>
      <w:r>
        <w:rPr>
          <w:noProof/>
        </w:rPr>
        <w:fldChar w:fldCharType="end"/>
      </w:r>
    </w:p>
    <w:p w14:paraId="4AB41551" w14:textId="7218905B" w:rsidR="00DB3E69" w:rsidRDefault="00DB3E69">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_Toc84579672 \h </w:instrText>
      </w:r>
      <w:r>
        <w:rPr>
          <w:noProof/>
        </w:rPr>
      </w:r>
      <w:r>
        <w:rPr>
          <w:noProof/>
        </w:rPr>
        <w:fldChar w:fldCharType="separate"/>
      </w:r>
      <w:r w:rsidR="00D41817">
        <w:rPr>
          <w:noProof/>
        </w:rPr>
        <w:t>8</w:t>
      </w:r>
      <w:r>
        <w:rPr>
          <w:noProof/>
        </w:rPr>
        <w:fldChar w:fldCharType="end"/>
      </w:r>
    </w:p>
    <w:p w14:paraId="79A2AC59" w14:textId="0DCBD778" w:rsidR="00DB3E69" w:rsidRDefault="00DB3E69">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_Toc84579673 \h </w:instrText>
      </w:r>
      <w:r>
        <w:rPr>
          <w:noProof/>
        </w:rPr>
      </w:r>
      <w:r>
        <w:rPr>
          <w:noProof/>
        </w:rPr>
        <w:fldChar w:fldCharType="separate"/>
      </w:r>
      <w:r w:rsidR="00D41817">
        <w:rPr>
          <w:noProof/>
        </w:rPr>
        <w:t>8</w:t>
      </w:r>
      <w:r>
        <w:rPr>
          <w:noProof/>
        </w:rPr>
        <w:fldChar w:fldCharType="end"/>
      </w:r>
    </w:p>
    <w:p w14:paraId="780D048D" w14:textId="69EAB3AA" w:rsidR="003A2FFE" w:rsidRDefault="002A3436" w:rsidP="00715914">
      <w:r>
        <w:rPr>
          <w:rFonts w:eastAsia="Times New Roman"/>
          <w:b/>
          <w:kern w:val="28"/>
          <w:sz w:val="18"/>
          <w:lang w:eastAsia="en-AU"/>
        </w:rPr>
        <w:fldChar w:fldCharType="end"/>
      </w:r>
    </w:p>
    <w:p w14:paraId="26747EF3" w14:textId="77777777" w:rsidR="003A2FFE" w:rsidRDefault="003A2FFE" w:rsidP="003A2FFE">
      <w:pPr>
        <w:tabs>
          <w:tab w:val="left" w:pos="3631"/>
        </w:tabs>
      </w:pPr>
    </w:p>
    <w:p w14:paraId="5E36EF24" w14:textId="77777777" w:rsidR="0031709F" w:rsidRDefault="0031709F">
      <w:pPr>
        <w:spacing w:line="240" w:lineRule="auto"/>
        <w:rPr>
          <w:b/>
          <w:sz w:val="24"/>
          <w:szCs w:val="24"/>
        </w:rPr>
      </w:pPr>
      <w:r>
        <w:br w:type="page"/>
      </w:r>
    </w:p>
    <w:p w14:paraId="7C812120" w14:textId="77777777" w:rsidR="00877AE3" w:rsidRPr="005D6D98" w:rsidRDefault="00877AE3" w:rsidP="005D6D98">
      <w:pPr>
        <w:pStyle w:val="LV1"/>
      </w:pPr>
      <w:bookmarkStart w:id="4" w:name="_Toc84579661"/>
      <w:r w:rsidRPr="005D6D98">
        <w:lastRenderedPageBreak/>
        <w:t>Name</w:t>
      </w:r>
      <w:bookmarkEnd w:id="4"/>
    </w:p>
    <w:p w14:paraId="00E0BBCB" w14:textId="22BB0E88" w:rsidR="00237471" w:rsidRPr="00F97A62" w:rsidRDefault="00715914" w:rsidP="005D6D98">
      <w:pPr>
        <w:pStyle w:val="PlainIndent"/>
      </w:pPr>
      <w:r w:rsidRPr="00F97A62">
        <w:t xml:space="preserve">This </w:t>
      </w:r>
      <w:r w:rsidR="00CE493D" w:rsidRPr="00F97A62">
        <w:t xml:space="preserve">is the </w:t>
      </w:r>
      <w:bookmarkStart w:id="5" w:name="BKCheck15B_3"/>
      <w:bookmarkEnd w:id="5"/>
      <w:r w:rsidR="00E55F66" w:rsidRPr="00F97A62">
        <w:t>Statement of Principles conce</w:t>
      </w:r>
      <w:bookmarkStart w:id="6" w:name="_GoBack"/>
      <w:bookmarkEnd w:id="6"/>
      <w:r w:rsidR="00E55F66" w:rsidRPr="00F97A62">
        <w:t>rning</w:t>
      </w:r>
      <w:r w:rsidR="00912B55" w:rsidRPr="00F97A62">
        <w:t xml:space="preserve"> </w:t>
      </w:r>
      <w:bookmarkStart w:id="7" w:name="SoP_Name"/>
      <w:r w:rsidR="00187CA8">
        <w:rPr>
          <w:i/>
        </w:rPr>
        <w:t>goitre</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D949E5">
        <w:t>9</w:t>
      </w:r>
      <w:r w:rsidR="00085567">
        <w:t xml:space="preserve"> </w:t>
      </w:r>
      <w:r w:rsidR="00E55F66" w:rsidRPr="00F97A62">
        <w:t>of</w:t>
      </w:r>
      <w:r w:rsidR="00085567">
        <w:t xml:space="preserve"> </w:t>
      </w:r>
      <w:r w:rsidR="00D949E5">
        <w:t>2022</w:t>
      </w:r>
      <w:r w:rsidR="00E55F66" w:rsidRPr="00F97A62">
        <w:t>)</w:t>
      </w:r>
      <w:r w:rsidRPr="00F97A62">
        <w:t>.</w:t>
      </w:r>
    </w:p>
    <w:p w14:paraId="48911544" w14:textId="77777777" w:rsidR="00F67B67" w:rsidRPr="00684C0E" w:rsidRDefault="00F67B67" w:rsidP="005D6D98">
      <w:pPr>
        <w:pStyle w:val="LV1"/>
      </w:pPr>
      <w:bookmarkStart w:id="8" w:name="_Toc84579662"/>
      <w:r w:rsidRPr="00684C0E">
        <w:t>Commencement</w:t>
      </w:r>
      <w:bookmarkEnd w:id="8"/>
    </w:p>
    <w:p w14:paraId="00E9A63A" w14:textId="31F75447" w:rsidR="00F67B67" w:rsidRPr="007527C1" w:rsidRDefault="007527C1" w:rsidP="005D6D98">
      <w:pPr>
        <w:pStyle w:val="PlainIndent"/>
      </w:pPr>
      <w:r w:rsidRPr="007527C1">
        <w:tab/>
      </w:r>
      <w:r w:rsidR="00F67B67" w:rsidRPr="007527C1">
        <w:t>This instrument commences on</w:t>
      </w:r>
      <w:r w:rsidR="00D949E5">
        <w:t xml:space="preserve"> 31 January 2022</w:t>
      </w:r>
      <w:r w:rsidR="00F67B67" w:rsidRPr="007527C1">
        <w:t>.</w:t>
      </w:r>
    </w:p>
    <w:p w14:paraId="1E9AB9D1" w14:textId="77777777" w:rsidR="00F67B67" w:rsidRPr="00684C0E" w:rsidRDefault="00F67B67" w:rsidP="005D6D98">
      <w:pPr>
        <w:pStyle w:val="LV1"/>
      </w:pPr>
      <w:bookmarkStart w:id="9" w:name="_Toc84579663"/>
      <w:r w:rsidRPr="00684C0E">
        <w:t>Authority</w:t>
      </w:r>
      <w:bookmarkEnd w:id="9"/>
    </w:p>
    <w:p w14:paraId="30D749FD" w14:textId="77777777" w:rsidR="00F67B67" w:rsidRDefault="00F67B67" w:rsidP="005D6D98">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2A3353">
        <w:rPr>
          <w:i/>
        </w:rPr>
        <w:t>'</w:t>
      </w:r>
      <w:r w:rsidRPr="007527C1">
        <w:rPr>
          <w:i/>
        </w:rPr>
        <w:t xml:space="preserve"> Entitlements Act 1986</w:t>
      </w:r>
      <w:r w:rsidRPr="007527C1">
        <w:t>.</w:t>
      </w:r>
    </w:p>
    <w:p w14:paraId="4E3E43B1" w14:textId="77777777" w:rsidR="00DA3996" w:rsidRPr="00684C0E" w:rsidRDefault="00DA3996" w:rsidP="005D6D98">
      <w:pPr>
        <w:pStyle w:val="LV1"/>
      </w:pPr>
      <w:bookmarkStart w:id="10" w:name="_Toc84579664"/>
      <w:r>
        <w:t>Re</w:t>
      </w:r>
      <w:r w:rsidR="00285992">
        <w:t>peal</w:t>
      </w:r>
      <w:bookmarkEnd w:id="10"/>
    </w:p>
    <w:p w14:paraId="45B7B827" w14:textId="695DE763" w:rsidR="00DA3996" w:rsidRPr="007527C1" w:rsidRDefault="00DA3996" w:rsidP="005D6D98">
      <w:pPr>
        <w:pStyle w:val="PlainIndent"/>
      </w:pPr>
      <w:r>
        <w:t>The</w:t>
      </w:r>
      <w:r w:rsidRPr="007527C1">
        <w:t xml:space="preserve"> </w:t>
      </w:r>
      <w:r w:rsidRPr="00DA3996">
        <w:t xml:space="preserve">Statement of Principles concerning </w:t>
      </w:r>
      <w:r w:rsidR="00DB3E69" w:rsidRPr="00DB3E69">
        <w:t>goitre</w:t>
      </w:r>
      <w:r w:rsidRPr="00DA3996">
        <w:t xml:space="preserve"> No. </w:t>
      </w:r>
      <w:r w:rsidR="00187CA8">
        <w:t>23</w:t>
      </w:r>
      <w:r w:rsidRPr="00DA3996">
        <w:t xml:space="preserve"> of </w:t>
      </w:r>
      <w:r w:rsidR="00187CA8">
        <w:t>2013</w:t>
      </w:r>
      <w:r w:rsidR="005E26FD">
        <w:t xml:space="preserve"> </w:t>
      </w:r>
      <w:r w:rsidR="00285992" w:rsidRPr="00786DAE">
        <w:t xml:space="preserve">(Federal Register of Legislation No. </w:t>
      </w:r>
      <w:r w:rsidR="00187CA8" w:rsidRPr="00187CA8">
        <w:t>F2013L00721</w:t>
      </w:r>
      <w:r w:rsidR="00285992" w:rsidRPr="00786DAE">
        <w:t xml:space="preserve">) </w:t>
      </w:r>
      <w:r w:rsidR="00187CA8">
        <w:t>made under subsection</w:t>
      </w:r>
      <w:r w:rsidR="00285992" w:rsidRPr="00DA3996">
        <w:t xml:space="preserve">s </w:t>
      </w:r>
      <w:proofErr w:type="gramStart"/>
      <w:r w:rsidR="00285992" w:rsidRPr="00DA3996">
        <w:t>196B(</w:t>
      </w:r>
      <w:proofErr w:type="gramEnd"/>
      <w:r w:rsidR="00285992" w:rsidRPr="00DA3996">
        <w:t xml:space="preserve">2) </w:t>
      </w:r>
      <w:r w:rsidR="003F4B61">
        <w:t xml:space="preserve">and </w:t>
      </w:r>
      <w:r w:rsidR="00285992" w:rsidRPr="00DA3996">
        <w:t>(8)</w:t>
      </w:r>
      <w:r w:rsidR="00187CA8">
        <w:t xml:space="preserve"> </w:t>
      </w:r>
      <w:r w:rsidRPr="00DA3996">
        <w:t xml:space="preserve">of the VEA </w:t>
      </w:r>
      <w:r>
        <w:t>i</w:t>
      </w:r>
      <w:r w:rsidRPr="007527C1">
        <w:t>s</w:t>
      </w:r>
      <w:r>
        <w:t xml:space="preserve"> re</w:t>
      </w:r>
      <w:r w:rsidR="005E26FD">
        <w:t>pealed</w:t>
      </w:r>
      <w:r>
        <w:t xml:space="preserve">. </w:t>
      </w:r>
    </w:p>
    <w:p w14:paraId="3420800B" w14:textId="77777777" w:rsidR="007C7DEE" w:rsidRPr="00684C0E" w:rsidRDefault="007C7DEE" w:rsidP="005D6D98">
      <w:pPr>
        <w:pStyle w:val="LV1"/>
      </w:pPr>
      <w:bookmarkStart w:id="11" w:name="_Toc84579665"/>
      <w:r w:rsidRPr="00684C0E">
        <w:t>Application</w:t>
      </w:r>
      <w:bookmarkEnd w:id="11"/>
    </w:p>
    <w:p w14:paraId="5DDCF199" w14:textId="77777777" w:rsidR="007C7DEE" w:rsidRPr="007527C1" w:rsidRDefault="007C7DEE" w:rsidP="005D6D98">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14:paraId="002D5EFD" w14:textId="77777777" w:rsidR="007C7DEE" w:rsidRPr="00684C0E" w:rsidRDefault="007C7DEE" w:rsidP="005D6D98">
      <w:pPr>
        <w:pStyle w:val="LV1"/>
      </w:pPr>
      <w:bookmarkStart w:id="12" w:name="_Ref410129949"/>
      <w:bookmarkStart w:id="13" w:name="_Toc84579666"/>
      <w:r w:rsidRPr="00684C0E">
        <w:t>Definitions</w:t>
      </w:r>
      <w:bookmarkEnd w:id="12"/>
      <w:bookmarkEnd w:id="13"/>
    </w:p>
    <w:p w14:paraId="67A1D2AB" w14:textId="77777777" w:rsidR="00237471" w:rsidRPr="00D5620B" w:rsidRDefault="007142FB" w:rsidP="005D6D98">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461BE441" w14:textId="77777777" w:rsidR="007C7DEE" w:rsidRPr="00684C0E" w:rsidRDefault="007C7DEE" w:rsidP="005D6D98">
      <w:pPr>
        <w:pStyle w:val="LV1"/>
      </w:pPr>
      <w:bookmarkStart w:id="14" w:name="_Ref409687573"/>
      <w:bookmarkStart w:id="15" w:name="_Ref409687579"/>
      <w:bookmarkStart w:id="16" w:name="_Ref409687725"/>
      <w:bookmarkStart w:id="17" w:name="_Toc84579667"/>
      <w:r w:rsidRPr="00684C0E">
        <w:t>Kind of injury, disease or death</w:t>
      </w:r>
      <w:r w:rsidR="00215860" w:rsidRPr="00684C0E">
        <w:t xml:space="preserve"> to which this Statement of Principles relates</w:t>
      </w:r>
      <w:bookmarkEnd w:id="14"/>
      <w:bookmarkEnd w:id="15"/>
      <w:bookmarkEnd w:id="16"/>
      <w:bookmarkEnd w:id="17"/>
    </w:p>
    <w:p w14:paraId="37107CB0" w14:textId="71C58613" w:rsidR="007C7DEE" w:rsidRPr="00D5620B" w:rsidRDefault="007C7DEE" w:rsidP="005D6D98">
      <w:pPr>
        <w:pStyle w:val="LV2"/>
      </w:pPr>
      <w:bookmarkStart w:id="18" w:name="_Ref403053584"/>
      <w:r w:rsidRPr="00D5620B">
        <w:t xml:space="preserve">This Statement of Principles is </w:t>
      </w:r>
      <w:r w:rsidRPr="002F77A1">
        <w:t xml:space="preserve">about </w:t>
      </w:r>
      <w:r w:rsidR="00DB3E69" w:rsidRPr="00DB3E69">
        <w:t>goitre</w:t>
      </w:r>
      <w:r w:rsidR="00D5620B" w:rsidRPr="002F77A1">
        <w:t xml:space="preserve"> </w:t>
      </w:r>
      <w:r w:rsidRPr="002F77A1">
        <w:t>and death</w:t>
      </w:r>
      <w:r w:rsidRPr="00D5620B">
        <w:t xml:space="preserve"> from</w:t>
      </w:r>
      <w:r w:rsidR="002F77A1">
        <w:t xml:space="preserve"> </w:t>
      </w:r>
      <w:r w:rsidR="00DB3E69" w:rsidRPr="00DB3E69">
        <w:t>goitre</w:t>
      </w:r>
      <w:r w:rsidRPr="00D5620B">
        <w:t>.</w:t>
      </w:r>
      <w:bookmarkEnd w:id="18"/>
    </w:p>
    <w:p w14:paraId="0E8C3512" w14:textId="0F4AD01F" w:rsidR="00215860" w:rsidRPr="00C670B0" w:rsidRDefault="00215860" w:rsidP="00C670B0">
      <w:pPr>
        <w:pStyle w:val="LVtext"/>
      </w:pPr>
      <w:r w:rsidRPr="00C670B0">
        <w:t>Meaning of</w:t>
      </w:r>
      <w:r w:rsidR="00D60FC8" w:rsidRPr="00C670B0">
        <w:t xml:space="preserve"> </w:t>
      </w:r>
      <w:r w:rsidR="00DB3E69" w:rsidRPr="00DB3E69">
        <w:rPr>
          <w:b/>
        </w:rPr>
        <w:t>goitre</w:t>
      </w:r>
    </w:p>
    <w:p w14:paraId="33DCB1CE" w14:textId="25037A9F" w:rsidR="002716E4" w:rsidRPr="00237BAF" w:rsidRDefault="007C7DEE" w:rsidP="005D6D98">
      <w:pPr>
        <w:pStyle w:val="LV2"/>
      </w:pPr>
      <w:bookmarkStart w:id="19" w:name="_Ref409598124"/>
      <w:bookmarkStart w:id="20" w:name="_Ref402529683"/>
      <w:r w:rsidRPr="00237BAF">
        <w:t>For the purposes of this Statement of Principles,</w:t>
      </w:r>
      <w:r w:rsidR="002F77A1" w:rsidRPr="002F77A1">
        <w:t xml:space="preserve"> </w:t>
      </w:r>
      <w:r w:rsidR="00DB3E69" w:rsidRPr="00DB3E69">
        <w:t>goitre</w:t>
      </w:r>
      <w:r w:rsidR="002716E4" w:rsidRPr="00237BAF">
        <w:t>:</w:t>
      </w:r>
      <w:bookmarkEnd w:id="19"/>
    </w:p>
    <w:bookmarkEnd w:id="20"/>
    <w:p w14:paraId="349E0381" w14:textId="08D2371D" w:rsidR="005D6D98" w:rsidRPr="008E76DC" w:rsidRDefault="00B43654" w:rsidP="00B43654">
      <w:pPr>
        <w:pStyle w:val="LV3"/>
      </w:pPr>
      <w:r w:rsidRPr="00B43654">
        <w:t>means an enlarged thyroid gland that has persisted for at least 4</w:t>
      </w:r>
      <w:r w:rsidR="00D41817">
        <w:t> </w:t>
      </w:r>
      <w:r w:rsidRPr="00B43654">
        <w:t>weeks; and</w:t>
      </w:r>
    </w:p>
    <w:p w14:paraId="2CF93345" w14:textId="77777777" w:rsidR="00187CA8" w:rsidRDefault="005D6D98" w:rsidP="005D6D98">
      <w:pPr>
        <w:pStyle w:val="LV3"/>
      </w:pPr>
      <w:r w:rsidRPr="008E76DC">
        <w:t>i</w:t>
      </w:r>
      <w:r w:rsidR="00187CA8">
        <w:t>ncludes:</w:t>
      </w:r>
    </w:p>
    <w:p w14:paraId="6F30BBE0" w14:textId="77777777" w:rsidR="005D6D98" w:rsidRDefault="00187CA8" w:rsidP="00D41817">
      <w:pPr>
        <w:pStyle w:val="LV4"/>
        <w:ind w:left="2552"/>
      </w:pPr>
      <w:r w:rsidRPr="00187CA8">
        <w:tab/>
        <w:t>a diffuse enlargement</w:t>
      </w:r>
      <w:r w:rsidR="005D6D98">
        <w:t>; and</w:t>
      </w:r>
    </w:p>
    <w:p w14:paraId="3BA46A19" w14:textId="77777777" w:rsidR="00187CA8" w:rsidRDefault="00187CA8" w:rsidP="00D41817">
      <w:pPr>
        <w:pStyle w:val="LV4"/>
        <w:ind w:left="2552"/>
      </w:pPr>
      <w:r w:rsidRPr="00187CA8">
        <w:tab/>
      </w:r>
      <w:r w:rsidR="00B43654" w:rsidRPr="00B43654">
        <w:t>enlargement due to a solitary thyroid nodule (thyroid adenoma) or multiple nodules of the thyroid gland; and</w:t>
      </w:r>
    </w:p>
    <w:p w14:paraId="2D872650" w14:textId="77777777" w:rsidR="00187CA8" w:rsidRDefault="005D6D98" w:rsidP="005D6D98">
      <w:pPr>
        <w:pStyle w:val="LV3"/>
      </w:pPr>
      <w:r w:rsidRPr="008E76DC">
        <w:t>excludes</w:t>
      </w:r>
      <w:r w:rsidR="00187CA8">
        <w:t>:</w:t>
      </w:r>
      <w:r w:rsidRPr="008E76DC">
        <w:t xml:space="preserve"> </w:t>
      </w:r>
    </w:p>
    <w:p w14:paraId="34D58DC0" w14:textId="77777777" w:rsidR="005D6D98" w:rsidRDefault="00187CA8" w:rsidP="00D41817">
      <w:pPr>
        <w:pStyle w:val="LV4"/>
        <w:ind w:left="2552"/>
      </w:pPr>
      <w:r w:rsidRPr="00187CA8">
        <w:tab/>
        <w:t>congenital goitre</w:t>
      </w:r>
      <w:r>
        <w:t>;</w:t>
      </w:r>
    </w:p>
    <w:p w14:paraId="7FABCB8C" w14:textId="77777777" w:rsidR="00187CA8" w:rsidRDefault="00187CA8" w:rsidP="00D41817">
      <w:pPr>
        <w:pStyle w:val="LV4"/>
        <w:ind w:left="2552"/>
      </w:pPr>
      <w:r w:rsidRPr="00187CA8">
        <w:tab/>
      </w:r>
      <w:proofErr w:type="spellStart"/>
      <w:r w:rsidRPr="00187CA8">
        <w:t>dyshormogenetic</w:t>
      </w:r>
      <w:proofErr w:type="spellEnd"/>
      <w:r w:rsidRPr="00187CA8">
        <w:t xml:space="preserve"> goitre</w:t>
      </w:r>
      <w:r>
        <w:t>;</w:t>
      </w:r>
    </w:p>
    <w:p w14:paraId="7CACC107" w14:textId="77777777" w:rsidR="00187CA8" w:rsidRDefault="00187CA8" w:rsidP="00D41817">
      <w:pPr>
        <w:pStyle w:val="LV4"/>
        <w:ind w:left="2552"/>
      </w:pPr>
      <w:r w:rsidRPr="00187CA8">
        <w:tab/>
      </w:r>
      <w:proofErr w:type="spellStart"/>
      <w:r w:rsidRPr="00187CA8">
        <w:t>Graves</w:t>
      </w:r>
      <w:proofErr w:type="spellEnd"/>
      <w:r w:rsidRPr="00187CA8">
        <w:t xml:space="preserve"> disease</w:t>
      </w:r>
      <w:r>
        <w:t>;</w:t>
      </w:r>
    </w:p>
    <w:p w14:paraId="0A761D76" w14:textId="77777777" w:rsidR="00187CA8" w:rsidRDefault="00187CA8" w:rsidP="00D41817">
      <w:pPr>
        <w:pStyle w:val="LV4"/>
        <w:ind w:left="2552"/>
      </w:pPr>
      <w:r w:rsidRPr="00187CA8">
        <w:lastRenderedPageBreak/>
        <w:tab/>
        <w:t>Hashimoto thyroiditis</w:t>
      </w:r>
      <w:r>
        <w:t>;</w:t>
      </w:r>
    </w:p>
    <w:p w14:paraId="7054EB57" w14:textId="77777777" w:rsidR="00187CA8" w:rsidRDefault="00187CA8" w:rsidP="00D41817">
      <w:pPr>
        <w:pStyle w:val="LV4"/>
        <w:ind w:left="2552"/>
      </w:pPr>
      <w:r w:rsidRPr="00187CA8">
        <w:tab/>
        <w:t>haemorrhage or infarction of the thyroid gland</w:t>
      </w:r>
      <w:r>
        <w:t>; and</w:t>
      </w:r>
    </w:p>
    <w:p w14:paraId="04D560A5" w14:textId="77777777" w:rsidR="00187CA8" w:rsidRDefault="00187CA8" w:rsidP="00D41817">
      <w:pPr>
        <w:pStyle w:val="LV4"/>
        <w:ind w:left="2552"/>
      </w:pPr>
      <w:proofErr w:type="gramStart"/>
      <w:r w:rsidRPr="00187CA8">
        <w:t>primary</w:t>
      </w:r>
      <w:proofErr w:type="gramEnd"/>
      <w:r w:rsidRPr="00187CA8">
        <w:t xml:space="preserve"> or secondary malignancy, including malignant neoplasm of the thyroid gland</w:t>
      </w:r>
      <w:r>
        <w:t>.</w:t>
      </w:r>
    </w:p>
    <w:p w14:paraId="08E94D1F" w14:textId="77777777" w:rsidR="005D6D98" w:rsidRDefault="005D6D98" w:rsidP="003400BE">
      <w:pPr>
        <w:pStyle w:val="Note2"/>
        <w:ind w:left="1985" w:hanging="567"/>
      </w:pPr>
      <w:r>
        <w:t>Note</w:t>
      </w:r>
      <w:r w:rsidR="003400BE">
        <w:t xml:space="preserve"> 1</w:t>
      </w:r>
      <w:r>
        <w:t xml:space="preserve">: </w:t>
      </w:r>
      <w:r w:rsidR="003400BE" w:rsidRPr="003400BE">
        <w:t>Goitre may be identified by a palpable or visible swelling in the front of the neck, or by imaging assessment.</w:t>
      </w:r>
    </w:p>
    <w:p w14:paraId="7940540F" w14:textId="77777777" w:rsidR="003400BE" w:rsidRDefault="003400BE" w:rsidP="003400BE">
      <w:pPr>
        <w:pStyle w:val="Note2"/>
        <w:ind w:left="1985" w:hanging="567"/>
      </w:pPr>
      <w:r>
        <w:t xml:space="preserve">Note 2: </w:t>
      </w:r>
      <w:r w:rsidRPr="003400BE">
        <w:t>The diagnosis is not dependent on thyroid hormone levels.  Thyroid function may be normal (nontoxic goitre), overactive (toxic goitre), or underactive (hypothyroid goitre).</w:t>
      </w:r>
    </w:p>
    <w:p w14:paraId="33E5AD53" w14:textId="77777777" w:rsidR="003400BE" w:rsidRDefault="003400BE" w:rsidP="003400BE">
      <w:pPr>
        <w:pStyle w:val="Note2"/>
        <w:ind w:left="1985" w:hanging="567"/>
      </w:pPr>
      <w:r>
        <w:t xml:space="preserve">Note 3: </w:t>
      </w:r>
      <w:r w:rsidRPr="003400BE">
        <w:t>Toxic goitre may present as a thyrotoxic crisis.</w:t>
      </w:r>
    </w:p>
    <w:p w14:paraId="0D3715F5" w14:textId="77777777" w:rsidR="003400BE" w:rsidRPr="008E76DC" w:rsidRDefault="003400BE" w:rsidP="003400BE">
      <w:pPr>
        <w:pStyle w:val="Note2"/>
        <w:ind w:left="1985" w:hanging="567"/>
      </w:pPr>
      <w:r>
        <w:t xml:space="preserve">Note 4: </w:t>
      </w:r>
      <w:r w:rsidRPr="003400BE">
        <w:rPr>
          <w:b/>
          <w:i/>
        </w:rPr>
        <w:t>thyrotoxic crisis</w:t>
      </w:r>
      <w:r w:rsidRPr="003400BE">
        <w:t xml:space="preserve"> is defined in the Schedule 1 - Dictionary.</w:t>
      </w:r>
    </w:p>
    <w:p w14:paraId="15521273" w14:textId="0C790D15" w:rsidR="00FD775E" w:rsidRDefault="00237BAF" w:rsidP="00C670B0">
      <w:pPr>
        <w:pStyle w:val="LVtext"/>
      </w:pPr>
      <w:r w:rsidRPr="003A5C26">
        <w:t>Death from</w:t>
      </w:r>
      <w:r w:rsidR="008F572A" w:rsidRPr="00237BAF">
        <w:t xml:space="preserve"> </w:t>
      </w:r>
      <w:r w:rsidR="00DB3E69" w:rsidRPr="00DB3E69">
        <w:rPr>
          <w:b/>
        </w:rPr>
        <w:t>goitre</w:t>
      </w:r>
    </w:p>
    <w:p w14:paraId="089A9355" w14:textId="15F166D0" w:rsidR="008F572A" w:rsidRPr="00237BAF" w:rsidRDefault="008F572A" w:rsidP="005D6D98">
      <w:pPr>
        <w:pStyle w:val="LV2"/>
      </w:pPr>
      <w:r w:rsidRPr="00237BAF">
        <w:t xml:space="preserve">For the purposes of this Statement of </w:t>
      </w:r>
      <w:r w:rsidR="00D5620B">
        <w:t xml:space="preserve">Principles, </w:t>
      </w:r>
      <w:r w:rsidR="00DB3E69" w:rsidRPr="00DB3E69">
        <w:t>goitre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2A3353">
        <w:t>'</w:t>
      </w:r>
      <w:r w:rsidRPr="00D5620B">
        <w:t>s</w:t>
      </w:r>
      <w:r w:rsidR="002F77A1">
        <w:t xml:space="preserve"> </w:t>
      </w:r>
      <w:r w:rsidR="00DB3E69" w:rsidRPr="00DB3E69">
        <w:t>goitre</w:t>
      </w:r>
      <w:r w:rsidRPr="00D5620B">
        <w:t>.</w:t>
      </w:r>
    </w:p>
    <w:p w14:paraId="2D12D748" w14:textId="77777777" w:rsidR="007C7DEE" w:rsidRPr="00046E67" w:rsidRDefault="00046E67" w:rsidP="005D6D98">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154F46">
        <w:t>-</w:t>
      </w:r>
      <w:r w:rsidR="00D32F71">
        <w:t xml:space="preserve"> </w:t>
      </w:r>
      <w:r w:rsidR="00885EAB" w:rsidRPr="00046E67">
        <w:t>Dictionary</w:t>
      </w:r>
      <w:r w:rsidR="00D268C6">
        <w:t>.</w:t>
      </w:r>
    </w:p>
    <w:p w14:paraId="46D9AFDC" w14:textId="77777777" w:rsidR="007C7DEE" w:rsidRPr="00A20CA1" w:rsidRDefault="007C7DEE" w:rsidP="005D6D98">
      <w:pPr>
        <w:pStyle w:val="LV1"/>
      </w:pPr>
      <w:bookmarkStart w:id="21" w:name="_Toc84579668"/>
      <w:r w:rsidRPr="00A20CA1">
        <w:t>Basis for determining the factors</w:t>
      </w:r>
      <w:bookmarkEnd w:id="21"/>
    </w:p>
    <w:p w14:paraId="283C686F" w14:textId="4E56A308" w:rsidR="007C7DEE" w:rsidRPr="00237BAF" w:rsidRDefault="00F863D4" w:rsidP="005D6D98">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DB3E69" w:rsidRPr="00DB3E69">
        <w:t>goitre</w:t>
      </w:r>
      <w:r>
        <w:t xml:space="preserve"> </w:t>
      </w:r>
      <w:r w:rsidRPr="00D5620B">
        <w:t>and death from</w:t>
      </w:r>
      <w:r>
        <w:t xml:space="preserve"> </w:t>
      </w:r>
      <w:r w:rsidR="00DB3E69" w:rsidRPr="00DB3E69">
        <w:t>goitre</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14:paraId="307F382D" w14:textId="77777777" w:rsidR="005D6D98" w:rsidRPr="00046E67" w:rsidRDefault="005D6D98" w:rsidP="005D6D98">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w:t>
      </w:r>
      <w:r w:rsidR="00154F46">
        <w:t>-</w:t>
      </w:r>
      <w:r>
        <w:t xml:space="preserve"> </w:t>
      </w:r>
      <w:r w:rsidRPr="00046E67">
        <w:t>Dictionary</w:t>
      </w:r>
      <w:r>
        <w:t>.</w:t>
      </w:r>
    </w:p>
    <w:p w14:paraId="1B9AE5A0" w14:textId="77777777" w:rsidR="007C7DEE" w:rsidRPr="00301C54" w:rsidRDefault="007C7DEE" w:rsidP="005D6D98">
      <w:pPr>
        <w:pStyle w:val="LV1"/>
      </w:pPr>
      <w:bookmarkStart w:id="22" w:name="_Ref411946955"/>
      <w:bookmarkStart w:id="23" w:name="_Ref411946997"/>
      <w:bookmarkStart w:id="24" w:name="_Ref412032503"/>
      <w:bookmarkStart w:id="25" w:name="_Toc84579669"/>
      <w:r w:rsidRPr="00301C54">
        <w:t xml:space="preserve">Factors that must </w:t>
      </w:r>
      <w:r w:rsidR="00D32F71">
        <w:t>exist</w:t>
      </w:r>
      <w:bookmarkEnd w:id="22"/>
      <w:bookmarkEnd w:id="23"/>
      <w:bookmarkEnd w:id="24"/>
      <w:bookmarkEnd w:id="25"/>
    </w:p>
    <w:p w14:paraId="2067E559" w14:textId="0D9ECB89" w:rsidR="007C7DEE" w:rsidRPr="00AA6D8B" w:rsidRDefault="002716E4" w:rsidP="005D6D98">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DB3E69" w:rsidRPr="00DB3E69">
        <w:t>goitre</w:t>
      </w:r>
      <w:r w:rsidR="007A3989">
        <w:t xml:space="preserve"> </w:t>
      </w:r>
      <w:r w:rsidR="007C7DEE" w:rsidRPr="00AA6D8B">
        <w:t xml:space="preserve">or death from </w:t>
      </w:r>
      <w:r w:rsidR="00DB3E69" w:rsidRPr="00DB3E69">
        <w:t>goitre</w:t>
      </w:r>
      <w:r w:rsidR="007A3989">
        <w:t xml:space="preserve"> </w:t>
      </w:r>
      <w:r w:rsidR="007C7DEE" w:rsidRPr="00AA6D8B">
        <w:t>with the circumstances of a pers</w:t>
      </w:r>
      <w:r w:rsidR="002A1ECC" w:rsidRPr="00AA6D8B">
        <w:t>on</w:t>
      </w:r>
      <w:r w:rsidR="002A3353">
        <w:t>'</w:t>
      </w:r>
      <w:r w:rsidR="002A1ECC" w:rsidRPr="00AA6D8B">
        <w:t>s relevant service</w:t>
      </w:r>
      <w:r w:rsidR="007C7DEE" w:rsidRPr="00AA6D8B">
        <w:t>:</w:t>
      </w:r>
      <w:bookmarkEnd w:id="26"/>
    </w:p>
    <w:p w14:paraId="4CD63FFA" w14:textId="77777777" w:rsidR="00694DAE" w:rsidRDefault="00694DAE" w:rsidP="00694DAE">
      <w:pPr>
        <w:pStyle w:val="LV2"/>
      </w:pPr>
      <w:bookmarkStart w:id="27" w:name="_Ref402530260"/>
      <w:bookmarkStart w:id="28" w:name="_Ref409598844"/>
      <w:r w:rsidRPr="00694DAE">
        <w:t>having iodine deficiency within the 6 months before the clinical onset of goitre;</w:t>
      </w:r>
    </w:p>
    <w:p w14:paraId="52613FF2" w14:textId="77777777" w:rsidR="00694DAE" w:rsidRDefault="00694DAE" w:rsidP="00694DAE">
      <w:pPr>
        <w:pStyle w:val="Note2"/>
      </w:pPr>
      <w:r>
        <w:t xml:space="preserve">Note: </w:t>
      </w:r>
      <w:r w:rsidRPr="00694DAE">
        <w:rPr>
          <w:b/>
          <w:i/>
        </w:rPr>
        <w:t>iodine deficiency</w:t>
      </w:r>
      <w:r w:rsidRPr="00694DAE">
        <w:t xml:space="preserve"> is defined in the Schedule 1 </w:t>
      </w:r>
      <w:r>
        <w:t>-</w:t>
      </w:r>
      <w:r w:rsidRPr="00694DAE">
        <w:t xml:space="preserve"> Dictionary.</w:t>
      </w:r>
    </w:p>
    <w:p w14:paraId="77DF16DB" w14:textId="77777777" w:rsidR="00013D3A" w:rsidRDefault="00013D3A" w:rsidP="00013D3A">
      <w:pPr>
        <w:pStyle w:val="LV2"/>
      </w:pPr>
      <w:r w:rsidRPr="00013D3A">
        <w:t>having iodine excess within the 6 months before the clinical onset of goitre;</w:t>
      </w:r>
    </w:p>
    <w:p w14:paraId="447CB7A2" w14:textId="77777777" w:rsidR="003F03F8" w:rsidRDefault="003F03F8" w:rsidP="003F03F8">
      <w:pPr>
        <w:pStyle w:val="Note2"/>
        <w:ind w:left="1985" w:hanging="567"/>
      </w:pPr>
      <w:r>
        <w:t xml:space="preserve">Note 1: </w:t>
      </w:r>
      <w:r w:rsidRPr="003F03F8">
        <w:t>Iodine excess may be due to consuming foods, dietary supplements or medications with a high content of iodine.</w:t>
      </w:r>
    </w:p>
    <w:p w14:paraId="7F9DA73A" w14:textId="77777777" w:rsidR="003F03F8" w:rsidRPr="00013D3A" w:rsidRDefault="003F03F8" w:rsidP="003F03F8">
      <w:pPr>
        <w:pStyle w:val="Note2"/>
        <w:ind w:left="1985" w:hanging="567"/>
      </w:pPr>
      <w:r>
        <w:t xml:space="preserve">Note 2: </w:t>
      </w:r>
      <w:r w:rsidRPr="003F03F8">
        <w:rPr>
          <w:b/>
          <w:i/>
        </w:rPr>
        <w:t>iodine excess</w:t>
      </w:r>
      <w:r w:rsidRPr="003F03F8">
        <w:t xml:space="preserve"> is defined in the Schedule 1 </w:t>
      </w:r>
      <w:r>
        <w:t>-</w:t>
      </w:r>
      <w:r w:rsidRPr="003F03F8">
        <w:t xml:space="preserve"> Dictionary.</w:t>
      </w:r>
    </w:p>
    <w:p w14:paraId="5E25530E" w14:textId="77777777" w:rsidR="00366FA0" w:rsidRDefault="00366FA0" w:rsidP="00366FA0">
      <w:pPr>
        <w:pStyle w:val="LV2"/>
      </w:pPr>
      <w:r w:rsidRPr="00366FA0">
        <w:t>taking a drug from the specified list of drugs within the 6 months before the clinical onset of goitre;</w:t>
      </w:r>
    </w:p>
    <w:p w14:paraId="58F02B02" w14:textId="77777777" w:rsidR="00366FA0" w:rsidRPr="00366FA0" w:rsidRDefault="00366FA0" w:rsidP="00366FA0">
      <w:pPr>
        <w:pStyle w:val="Note2"/>
      </w:pPr>
      <w:r>
        <w:t xml:space="preserve">Note: </w:t>
      </w:r>
      <w:r w:rsidRPr="00366FA0">
        <w:rPr>
          <w:b/>
          <w:i/>
        </w:rPr>
        <w:t>specified list of drugs</w:t>
      </w:r>
      <w:r w:rsidRPr="00366FA0">
        <w:t xml:space="preserve"> is defined in the Schedule 1 </w:t>
      </w:r>
      <w:r>
        <w:t>-</w:t>
      </w:r>
      <w:r w:rsidRPr="00366FA0">
        <w:t xml:space="preserve"> Dictionary.</w:t>
      </w:r>
    </w:p>
    <w:p w14:paraId="10AECD49" w14:textId="65C66154" w:rsidR="003746D1" w:rsidRDefault="003746D1" w:rsidP="003746D1">
      <w:pPr>
        <w:pStyle w:val="LV2"/>
      </w:pPr>
      <w:r w:rsidRPr="003746D1">
        <w:lastRenderedPageBreak/>
        <w:t xml:space="preserve">taking a drug containing at least 10 milligrams of iodine </w:t>
      </w:r>
      <w:r w:rsidR="00465159">
        <w:t>daily</w:t>
      </w:r>
      <w:r w:rsidRPr="003746D1">
        <w:t xml:space="preserve"> for a continuous period of at least 4 weeks, within the 6 months before the clinical onset of goitre;</w:t>
      </w:r>
    </w:p>
    <w:p w14:paraId="1D063008" w14:textId="77777777" w:rsidR="00BD6787" w:rsidRDefault="00BD6787" w:rsidP="00BD6787">
      <w:pPr>
        <w:pStyle w:val="LV2"/>
      </w:pPr>
      <w:r w:rsidRPr="00BD6787">
        <w:t>taking amiodarone for a continuous period of at least 2 weeks, within the 1 year before the clinical onset of goitre;</w:t>
      </w:r>
    </w:p>
    <w:p w14:paraId="116D5377" w14:textId="77777777" w:rsidR="001327DB" w:rsidRPr="003746D1" w:rsidRDefault="001327DB" w:rsidP="001327DB">
      <w:pPr>
        <w:pStyle w:val="LV2"/>
      </w:pPr>
      <w:r w:rsidRPr="001327DB">
        <w:t>being administered an iodine-containing radiographic contrast agent within the 6 months before the clinical onset of goitre;</w:t>
      </w:r>
    </w:p>
    <w:p w14:paraId="2A27A452" w14:textId="77777777" w:rsidR="00C960D6" w:rsidRDefault="00C960D6" w:rsidP="00C960D6">
      <w:pPr>
        <w:pStyle w:val="LV2"/>
      </w:pPr>
      <w:r w:rsidRPr="00C960D6">
        <w:t>having smoked tobacco products:</w:t>
      </w:r>
    </w:p>
    <w:p w14:paraId="4DD79815" w14:textId="77777777" w:rsidR="00C960D6" w:rsidRDefault="00C960D6" w:rsidP="00C960D6">
      <w:pPr>
        <w:pStyle w:val="LV3"/>
      </w:pPr>
      <w:r w:rsidRPr="00C960D6">
        <w:tab/>
        <w:t>in an amount of at least 3 pack-years before the clinical onset of goitre; and</w:t>
      </w:r>
    </w:p>
    <w:p w14:paraId="62F2439B" w14:textId="77777777" w:rsidR="00C960D6" w:rsidRDefault="00C960D6" w:rsidP="00397ADF">
      <w:pPr>
        <w:pStyle w:val="LV3"/>
      </w:pPr>
      <w:r w:rsidRPr="00C960D6">
        <w:tab/>
        <w:t>if smoking has ceased before the clinical onset of goitre, then that onset occurred within 5 years of cessation;</w:t>
      </w:r>
    </w:p>
    <w:p w14:paraId="03187352" w14:textId="77777777" w:rsidR="00397ADF" w:rsidRPr="00C960D6" w:rsidRDefault="00397ADF" w:rsidP="00397ADF">
      <w:pPr>
        <w:pStyle w:val="Note2"/>
      </w:pPr>
      <w:r>
        <w:t xml:space="preserve">Note: </w:t>
      </w:r>
      <w:r w:rsidRPr="00397ADF">
        <w:rPr>
          <w:b/>
          <w:i/>
        </w:rPr>
        <w:t>one pack-year</w:t>
      </w:r>
      <w:r w:rsidRPr="00397ADF">
        <w:t xml:space="preserve"> is defined in the Schedule 1 </w:t>
      </w:r>
      <w:r>
        <w:t>-</w:t>
      </w:r>
      <w:r w:rsidRPr="00397ADF">
        <w:t xml:space="preserve"> Dictionary.</w:t>
      </w:r>
    </w:p>
    <w:p w14:paraId="5C0CB461" w14:textId="77777777" w:rsidR="00587873" w:rsidRDefault="00587873" w:rsidP="00587873">
      <w:pPr>
        <w:pStyle w:val="LV2"/>
      </w:pPr>
      <w:r w:rsidRPr="00587873">
        <w:t>having a form of thyroiditis from the specified list of forms of thyroiditis at the time of the clinical onset of goitre;</w:t>
      </w:r>
    </w:p>
    <w:p w14:paraId="6E70D1CB" w14:textId="77777777" w:rsidR="00587873" w:rsidRPr="00587873" w:rsidRDefault="00587873" w:rsidP="00587873">
      <w:pPr>
        <w:pStyle w:val="Note2"/>
      </w:pPr>
      <w:r>
        <w:t xml:space="preserve">Note: </w:t>
      </w:r>
      <w:r w:rsidRPr="00587873">
        <w:rPr>
          <w:b/>
          <w:i/>
        </w:rPr>
        <w:t>specified list of forms of thyroiditis</w:t>
      </w:r>
      <w:r w:rsidRPr="00587873">
        <w:t xml:space="preserve"> is defined in the Schedule 1 </w:t>
      </w:r>
      <w:r>
        <w:t>-</w:t>
      </w:r>
      <w:r w:rsidRPr="00587873">
        <w:t xml:space="preserve"> Dictionary.</w:t>
      </w:r>
    </w:p>
    <w:p w14:paraId="792D4072" w14:textId="5A249D69" w:rsidR="00877E65" w:rsidRDefault="00877E65" w:rsidP="00877E65">
      <w:pPr>
        <w:pStyle w:val="LV2"/>
      </w:pPr>
      <w:r w:rsidRPr="00877E65">
        <w:t xml:space="preserve">having a disease </w:t>
      </w:r>
      <w:r w:rsidR="0021006C" w:rsidRPr="00877E65">
        <w:t xml:space="preserve">involving the thyroid gland </w:t>
      </w:r>
      <w:r w:rsidRPr="00877E65">
        <w:t>from the specified list of diseases at the time of the clinical onset of goitre;</w:t>
      </w:r>
    </w:p>
    <w:p w14:paraId="580E3E3D" w14:textId="77777777" w:rsidR="00877E65" w:rsidRPr="00877E65" w:rsidRDefault="00877E65" w:rsidP="00877E65">
      <w:pPr>
        <w:pStyle w:val="Note2"/>
      </w:pPr>
      <w:r>
        <w:t xml:space="preserve">Note: </w:t>
      </w:r>
      <w:r w:rsidRPr="00877E65">
        <w:rPr>
          <w:b/>
          <w:i/>
        </w:rPr>
        <w:t>specified list of diseases</w:t>
      </w:r>
      <w:r w:rsidRPr="00877E65">
        <w:t xml:space="preserve"> is defined in the Schedule 1 </w:t>
      </w:r>
      <w:r>
        <w:t>-</w:t>
      </w:r>
      <w:r w:rsidRPr="00877E65">
        <w:t xml:space="preserve"> Dictionary.</w:t>
      </w:r>
    </w:p>
    <w:p w14:paraId="3576887F" w14:textId="77777777" w:rsidR="0055059E" w:rsidRDefault="0055059E" w:rsidP="0055059E">
      <w:pPr>
        <w:pStyle w:val="LV2"/>
      </w:pPr>
      <w:r w:rsidRPr="0055059E">
        <w:t>having chronic renal failure at the time of the clinical onset of goitre</w:t>
      </w:r>
      <w:r>
        <w:t>;</w:t>
      </w:r>
    </w:p>
    <w:p w14:paraId="1F5F3DEA" w14:textId="77777777" w:rsidR="0055059E" w:rsidRDefault="0055059E" w:rsidP="0055059E">
      <w:pPr>
        <w:pStyle w:val="Note2"/>
      </w:pPr>
      <w:r>
        <w:t xml:space="preserve">Note: </w:t>
      </w:r>
      <w:r w:rsidRPr="0055059E">
        <w:rPr>
          <w:b/>
          <w:i/>
        </w:rPr>
        <w:t>chronic renal failure</w:t>
      </w:r>
      <w:r w:rsidRPr="0055059E">
        <w:t xml:space="preserve"> is defined in the Schedule 1 </w:t>
      </w:r>
      <w:r>
        <w:t>-</w:t>
      </w:r>
      <w:r w:rsidRPr="0055059E">
        <w:t xml:space="preserve"> Dictionary.</w:t>
      </w:r>
    </w:p>
    <w:p w14:paraId="23D70251" w14:textId="46C47221" w:rsidR="00A7402A" w:rsidRDefault="00A7402A" w:rsidP="00841272">
      <w:pPr>
        <w:pStyle w:val="LV2"/>
      </w:pPr>
      <w:r w:rsidRPr="00A7402A">
        <w:t>having a thyroid-stimula</w:t>
      </w:r>
      <w:r>
        <w:t>ting</w:t>
      </w:r>
      <w:r w:rsidR="0021006C">
        <w:t>,</w:t>
      </w:r>
      <w:r>
        <w:t xml:space="preserve"> hormone-secreting pituita</w:t>
      </w:r>
      <w:r w:rsidRPr="00A7402A">
        <w:t>ry adenoma at the time of the clinical onset of goitre;</w:t>
      </w:r>
    </w:p>
    <w:p w14:paraId="0A809BC5" w14:textId="49B7BAC8" w:rsidR="005657F8" w:rsidRDefault="005657F8" w:rsidP="005657F8">
      <w:pPr>
        <w:pStyle w:val="LV2"/>
      </w:pPr>
      <w:r w:rsidRPr="005657F8">
        <w:t>for nodular goitre only</w:t>
      </w:r>
      <w:r>
        <w:t>:</w:t>
      </w:r>
    </w:p>
    <w:p w14:paraId="02E48CD7" w14:textId="28856B3E" w:rsidR="005657F8" w:rsidRDefault="005657F8" w:rsidP="005657F8">
      <w:pPr>
        <w:pStyle w:val="LV3"/>
      </w:pPr>
      <w:r w:rsidRPr="005657F8">
        <w:tab/>
        <w:t>having received a cumulative equivalent dose of at least 0.5</w:t>
      </w:r>
      <w:r w:rsidR="00465159">
        <w:t> </w:t>
      </w:r>
      <w:r w:rsidRPr="005657F8">
        <w:t>sievert of ionising radiation to the thyroid gland at least 1</w:t>
      </w:r>
      <w:r w:rsidR="00465159">
        <w:t> </w:t>
      </w:r>
      <w:r w:rsidRPr="005657F8">
        <w:t xml:space="preserve">year before the clinical onset of </w:t>
      </w:r>
      <w:r w:rsidR="0021006C">
        <w:t>nodular</w:t>
      </w:r>
      <w:r w:rsidRPr="005657F8">
        <w:t xml:space="preserve"> goitre; or</w:t>
      </w:r>
    </w:p>
    <w:p w14:paraId="14FBD765" w14:textId="216FE22C" w:rsidR="005657F8" w:rsidRDefault="005657F8" w:rsidP="005657F8">
      <w:pPr>
        <w:pStyle w:val="LV3"/>
      </w:pPr>
      <w:r w:rsidRPr="005657F8">
        <w:t>undergoing a course of therapeutic radiation for cancer, where the thyroid gland was in the field of radiation, at least 1 year before the clinical onset of nodular goitre;</w:t>
      </w:r>
    </w:p>
    <w:p w14:paraId="1C82F585" w14:textId="77777777" w:rsidR="005657F8" w:rsidRDefault="005657F8" w:rsidP="005657F8">
      <w:pPr>
        <w:pStyle w:val="Note2"/>
        <w:ind w:left="1985" w:hanging="567"/>
      </w:pPr>
      <w:r>
        <w:t xml:space="preserve">Note 1: </w:t>
      </w:r>
      <w:r w:rsidRPr="005657F8">
        <w:t>Exposure to ionising radiation does not include radioiodine therapy for goitre or thyroid nodules.</w:t>
      </w:r>
    </w:p>
    <w:p w14:paraId="67119FCB" w14:textId="77777777" w:rsidR="005657F8" w:rsidRPr="005657F8" w:rsidRDefault="005657F8" w:rsidP="005657F8">
      <w:pPr>
        <w:pStyle w:val="Note2"/>
        <w:ind w:left="1985" w:hanging="567"/>
      </w:pPr>
      <w:r>
        <w:t xml:space="preserve">Note 2: </w:t>
      </w:r>
      <w:r w:rsidRPr="005657F8">
        <w:rPr>
          <w:b/>
          <w:i/>
        </w:rPr>
        <w:t>cumulative equivalent dose</w:t>
      </w:r>
      <w:r w:rsidRPr="005657F8">
        <w:t xml:space="preserve"> is defined in the Schedule 1 </w:t>
      </w:r>
      <w:r>
        <w:t>-</w:t>
      </w:r>
      <w:r w:rsidRPr="005657F8">
        <w:t xml:space="preserve"> Dictionary.</w:t>
      </w:r>
    </w:p>
    <w:p w14:paraId="2A2C1C98" w14:textId="48CC9C54" w:rsidR="00000E52" w:rsidRDefault="00000E52" w:rsidP="00000E52">
      <w:pPr>
        <w:pStyle w:val="LV2"/>
      </w:pPr>
      <w:r w:rsidRPr="00000E52">
        <w:t xml:space="preserve">for </w:t>
      </w:r>
      <w:r w:rsidR="0021006C">
        <w:t xml:space="preserve">toxic goitre first presenting as </w:t>
      </w:r>
      <w:r w:rsidRPr="00000E52">
        <w:t>thyrotoxic crisis only, having an acute</w:t>
      </w:r>
      <w:r w:rsidR="0021006C">
        <w:t xml:space="preserve"> precipitating event</w:t>
      </w:r>
      <w:r w:rsidRPr="00000E52">
        <w:t xml:space="preserve"> within the 48</w:t>
      </w:r>
      <w:r w:rsidR="00465159">
        <w:t> </w:t>
      </w:r>
      <w:r w:rsidRPr="00000E52">
        <w:t xml:space="preserve">hours before the clinical onset of </w:t>
      </w:r>
      <w:r w:rsidR="0021006C">
        <w:t>toxic goitre</w:t>
      </w:r>
      <w:r w:rsidRPr="00000E52">
        <w:t>;</w:t>
      </w:r>
    </w:p>
    <w:p w14:paraId="7951B1A1" w14:textId="1EE9F50E" w:rsidR="00000E52" w:rsidRDefault="00000E52" w:rsidP="00971FEF">
      <w:pPr>
        <w:pStyle w:val="Note2"/>
        <w:ind w:left="1872" w:hanging="454"/>
      </w:pPr>
      <w:r>
        <w:t xml:space="preserve">Note: </w:t>
      </w:r>
      <w:r w:rsidRPr="00000E52">
        <w:rPr>
          <w:b/>
          <w:i/>
        </w:rPr>
        <w:t>acute</w:t>
      </w:r>
      <w:r w:rsidR="0021006C">
        <w:rPr>
          <w:b/>
          <w:i/>
        </w:rPr>
        <w:t xml:space="preserve"> precipitating event</w:t>
      </w:r>
      <w:r w:rsidRPr="00000E52">
        <w:t xml:space="preserve"> and </w:t>
      </w:r>
      <w:r w:rsidRPr="00000E52">
        <w:rPr>
          <w:b/>
          <w:i/>
        </w:rPr>
        <w:t>thyrotoxic crisis</w:t>
      </w:r>
      <w:r w:rsidRPr="00000E52">
        <w:t xml:space="preserve"> are defined in the Schedule</w:t>
      </w:r>
      <w:r w:rsidR="00971FEF">
        <w:t> </w:t>
      </w:r>
      <w:r w:rsidRPr="00000E52">
        <w:t>1</w:t>
      </w:r>
      <w:r w:rsidR="00971FEF">
        <w:t> </w:t>
      </w:r>
      <w:r>
        <w:t>-</w:t>
      </w:r>
      <w:r w:rsidR="00971FEF">
        <w:t> </w:t>
      </w:r>
      <w:r w:rsidRPr="00000E52">
        <w:t>Dictionary.</w:t>
      </w:r>
    </w:p>
    <w:p w14:paraId="4E187974" w14:textId="77777777" w:rsidR="00694DAE" w:rsidRDefault="00694DAE" w:rsidP="00694DAE">
      <w:pPr>
        <w:pStyle w:val="LV2"/>
      </w:pPr>
      <w:r w:rsidRPr="001D0699">
        <w:lastRenderedPageBreak/>
        <w:t>having iodine deficiency</w:t>
      </w:r>
      <w:r w:rsidRPr="00694DAE">
        <w:t xml:space="preserve"> within the 6 months before the clinical worsening of goitre;</w:t>
      </w:r>
    </w:p>
    <w:p w14:paraId="1BF83CAC" w14:textId="77777777" w:rsidR="00694DAE" w:rsidRDefault="00694DAE" w:rsidP="00694DAE">
      <w:pPr>
        <w:pStyle w:val="Note2"/>
      </w:pPr>
      <w:r>
        <w:t xml:space="preserve">Note: </w:t>
      </w:r>
      <w:r w:rsidRPr="00694DAE">
        <w:rPr>
          <w:b/>
          <w:i/>
        </w:rPr>
        <w:t>iodine deficiency</w:t>
      </w:r>
      <w:r w:rsidRPr="00694DAE">
        <w:t xml:space="preserve"> is defined in the Schedule 1 </w:t>
      </w:r>
      <w:r>
        <w:t>-</w:t>
      </w:r>
      <w:r w:rsidRPr="00694DAE">
        <w:t xml:space="preserve"> Dictionary.</w:t>
      </w:r>
    </w:p>
    <w:p w14:paraId="1D3C4AAF" w14:textId="77777777" w:rsidR="00013D3A" w:rsidRDefault="00013D3A" w:rsidP="00013D3A">
      <w:pPr>
        <w:pStyle w:val="LV2"/>
      </w:pPr>
      <w:r w:rsidRPr="00013D3A">
        <w:t>having iodine excess within the 6 months before the clinical worsening of goitre;</w:t>
      </w:r>
    </w:p>
    <w:p w14:paraId="2D09D7E5" w14:textId="77777777" w:rsidR="003F03F8" w:rsidRDefault="003F03F8" w:rsidP="003F03F8">
      <w:pPr>
        <w:pStyle w:val="Note2"/>
        <w:ind w:left="1985" w:hanging="567"/>
      </w:pPr>
      <w:r>
        <w:t>Note 1: Iodine excess may be due to consuming foods, dietary supplements or medications with a high content of iodine.</w:t>
      </w:r>
    </w:p>
    <w:p w14:paraId="6DAC2822" w14:textId="77777777" w:rsidR="003F03F8" w:rsidRDefault="003F03F8" w:rsidP="003F03F8">
      <w:pPr>
        <w:pStyle w:val="Note2"/>
      </w:pPr>
      <w:r>
        <w:t xml:space="preserve">Note 2: </w:t>
      </w:r>
      <w:r w:rsidRPr="003F03F8">
        <w:rPr>
          <w:b/>
          <w:i/>
        </w:rPr>
        <w:t>iodine excess</w:t>
      </w:r>
      <w:r>
        <w:t xml:space="preserve"> is defined in the Schedule 1 - Dictionary.</w:t>
      </w:r>
    </w:p>
    <w:p w14:paraId="008C862F" w14:textId="77777777" w:rsidR="00366FA0" w:rsidRDefault="00366FA0" w:rsidP="00366FA0">
      <w:pPr>
        <w:pStyle w:val="LV2"/>
      </w:pPr>
      <w:r w:rsidRPr="00366FA0">
        <w:t>taking a drug from the specified list of drugs within the 6 months</w:t>
      </w:r>
      <w:r>
        <w:t xml:space="preserve"> </w:t>
      </w:r>
      <w:r w:rsidRPr="00366FA0">
        <w:t>before the clinical worsening of goitre;</w:t>
      </w:r>
    </w:p>
    <w:p w14:paraId="2A0466DB" w14:textId="77777777" w:rsidR="00366FA0" w:rsidRDefault="00366FA0" w:rsidP="00366FA0">
      <w:pPr>
        <w:pStyle w:val="Note2"/>
      </w:pPr>
      <w:r>
        <w:t xml:space="preserve">Note: </w:t>
      </w:r>
      <w:r w:rsidRPr="00366FA0">
        <w:rPr>
          <w:b/>
          <w:i/>
        </w:rPr>
        <w:t>specified list of drugs</w:t>
      </w:r>
      <w:r w:rsidRPr="00366FA0">
        <w:t xml:space="preserve"> is defined in the Schedule 1 - Dictionary.</w:t>
      </w:r>
    </w:p>
    <w:p w14:paraId="05EAB8BA" w14:textId="26393730" w:rsidR="003746D1" w:rsidRDefault="003746D1" w:rsidP="003746D1">
      <w:pPr>
        <w:pStyle w:val="LV2"/>
      </w:pPr>
      <w:r w:rsidRPr="003746D1">
        <w:t xml:space="preserve">taking a drug containing at least 10 milligrams of iodine </w:t>
      </w:r>
      <w:r w:rsidR="00465159">
        <w:t>daily</w:t>
      </w:r>
      <w:r w:rsidRPr="003746D1">
        <w:t xml:space="preserve"> for a continuous period of at least 4 weeks, within the 6 months </w:t>
      </w:r>
      <w:r>
        <w:t xml:space="preserve">before </w:t>
      </w:r>
      <w:r w:rsidRPr="003746D1">
        <w:t>the clinical worsening of goitre;</w:t>
      </w:r>
    </w:p>
    <w:p w14:paraId="18BD7C65" w14:textId="77777777" w:rsidR="00BD6787" w:rsidRDefault="00BD6787" w:rsidP="00BD6787">
      <w:pPr>
        <w:pStyle w:val="LV2"/>
      </w:pPr>
      <w:r w:rsidRPr="00BD6787">
        <w:t>taking amiodarone for a continuous period of at least 2 weeks, within the 1 year before the clinical worsening of goitre;</w:t>
      </w:r>
    </w:p>
    <w:p w14:paraId="3859EF18" w14:textId="77777777" w:rsidR="001327DB" w:rsidRDefault="001327DB" w:rsidP="001327DB">
      <w:pPr>
        <w:pStyle w:val="LV2"/>
      </w:pPr>
      <w:r w:rsidRPr="001327DB">
        <w:t>being administered an iodine-containing radiographic contrast agent within the 6 months before the clinical worsening of goitre;</w:t>
      </w:r>
    </w:p>
    <w:p w14:paraId="6D3636FB" w14:textId="77777777" w:rsidR="00C960D6" w:rsidRDefault="00397ADF" w:rsidP="00397ADF">
      <w:pPr>
        <w:pStyle w:val="LV2"/>
      </w:pPr>
      <w:r w:rsidRPr="00397ADF">
        <w:t>having smoked tobacco products:</w:t>
      </w:r>
    </w:p>
    <w:p w14:paraId="53E839D0" w14:textId="77777777" w:rsidR="00397ADF" w:rsidRDefault="00397ADF" w:rsidP="00397ADF">
      <w:pPr>
        <w:pStyle w:val="LV3"/>
      </w:pPr>
      <w:r w:rsidRPr="00397ADF">
        <w:tab/>
        <w:t>in an amount of at least 3 pack-years before the clinical worsening of goitre; and</w:t>
      </w:r>
    </w:p>
    <w:p w14:paraId="0EFEB981" w14:textId="77777777" w:rsidR="00397ADF" w:rsidRDefault="00397ADF" w:rsidP="00397ADF">
      <w:pPr>
        <w:pStyle w:val="LV3"/>
      </w:pPr>
      <w:r w:rsidRPr="00397ADF">
        <w:tab/>
        <w:t>if smoking has ceased before the clinical worsening of goitre, then that worsening occurred within 5 years of cessation;</w:t>
      </w:r>
    </w:p>
    <w:p w14:paraId="5D1F54A4" w14:textId="77777777" w:rsidR="00397ADF" w:rsidRDefault="00397ADF" w:rsidP="00397ADF">
      <w:pPr>
        <w:pStyle w:val="Note2"/>
      </w:pPr>
      <w:r>
        <w:t xml:space="preserve">Note: </w:t>
      </w:r>
      <w:r w:rsidRPr="00397ADF">
        <w:rPr>
          <w:b/>
          <w:i/>
        </w:rPr>
        <w:t>one pack-year</w:t>
      </w:r>
      <w:r w:rsidRPr="00397ADF">
        <w:t xml:space="preserve"> is defined in the Schedule 1 - Dictionary.</w:t>
      </w:r>
    </w:p>
    <w:p w14:paraId="15FEFC0F" w14:textId="77777777" w:rsidR="00587873" w:rsidRDefault="00587873" w:rsidP="00587873">
      <w:pPr>
        <w:pStyle w:val="LV2"/>
      </w:pPr>
      <w:r w:rsidRPr="00587873">
        <w:t>having a form of thyroiditis from the specified list of forms of thyroiditis at the time of the clinical worsening of goitre;</w:t>
      </w:r>
    </w:p>
    <w:p w14:paraId="7218952D" w14:textId="77777777" w:rsidR="00587873" w:rsidRDefault="00587873" w:rsidP="00587873">
      <w:pPr>
        <w:pStyle w:val="Note2"/>
      </w:pPr>
      <w:r w:rsidRPr="00587873">
        <w:t xml:space="preserve">Note: </w:t>
      </w:r>
      <w:r w:rsidRPr="00587873">
        <w:rPr>
          <w:b/>
          <w:i/>
        </w:rPr>
        <w:t>specified list of forms of thyroiditis</w:t>
      </w:r>
      <w:r w:rsidRPr="00587873">
        <w:t xml:space="preserve"> is defined in the Schedule 1 - Dictionary.</w:t>
      </w:r>
    </w:p>
    <w:p w14:paraId="341FD55C" w14:textId="57ECC828" w:rsidR="00877E65" w:rsidRDefault="00877E65" w:rsidP="00877E65">
      <w:pPr>
        <w:pStyle w:val="LV2"/>
      </w:pPr>
      <w:r w:rsidRPr="00877E65">
        <w:t xml:space="preserve">having a disease </w:t>
      </w:r>
      <w:r w:rsidR="0021006C" w:rsidRPr="00877E65">
        <w:t xml:space="preserve">involving the thyroid gland </w:t>
      </w:r>
      <w:r w:rsidRPr="00877E65">
        <w:t>from the specified list of diseases at the time of the clinical worsening of goitre;</w:t>
      </w:r>
    </w:p>
    <w:p w14:paraId="4449078F" w14:textId="77777777" w:rsidR="00877E65" w:rsidRDefault="00877E65" w:rsidP="00877E65">
      <w:pPr>
        <w:pStyle w:val="Note2"/>
      </w:pPr>
      <w:r>
        <w:t xml:space="preserve">Note: </w:t>
      </w:r>
      <w:r w:rsidRPr="00877E65">
        <w:rPr>
          <w:b/>
          <w:i/>
        </w:rPr>
        <w:t>specified list of diseases</w:t>
      </w:r>
      <w:r w:rsidRPr="00877E65">
        <w:t xml:space="preserve"> is defined in the Schedule 1 </w:t>
      </w:r>
      <w:r>
        <w:t>-</w:t>
      </w:r>
      <w:r w:rsidRPr="00877E65">
        <w:t xml:space="preserve"> Dictionary.</w:t>
      </w:r>
    </w:p>
    <w:p w14:paraId="40B3CA52" w14:textId="77777777" w:rsidR="0055059E" w:rsidRDefault="0055059E" w:rsidP="0055059E">
      <w:pPr>
        <w:pStyle w:val="LV2"/>
      </w:pPr>
      <w:r w:rsidRPr="0055059E">
        <w:t>having chronic renal failure at the time of the clinical worsening of goitre</w:t>
      </w:r>
      <w:r>
        <w:t>;</w:t>
      </w:r>
    </w:p>
    <w:p w14:paraId="4C658FAB" w14:textId="77777777" w:rsidR="0055059E" w:rsidRDefault="0055059E" w:rsidP="0055059E">
      <w:pPr>
        <w:pStyle w:val="Note2"/>
      </w:pPr>
      <w:r>
        <w:t xml:space="preserve">Note: </w:t>
      </w:r>
      <w:r w:rsidRPr="0055059E">
        <w:rPr>
          <w:b/>
          <w:i/>
        </w:rPr>
        <w:t>chronic renal failure</w:t>
      </w:r>
      <w:r w:rsidRPr="0055059E">
        <w:t xml:space="preserve"> is defined in the Schedule 1 </w:t>
      </w:r>
      <w:r>
        <w:t>-</w:t>
      </w:r>
      <w:r w:rsidRPr="0055059E">
        <w:t xml:space="preserve"> Dictionary.</w:t>
      </w:r>
    </w:p>
    <w:p w14:paraId="6F4571D4" w14:textId="07C74FE0" w:rsidR="00A7402A" w:rsidRDefault="00A7402A" w:rsidP="00841272">
      <w:pPr>
        <w:pStyle w:val="LV2"/>
      </w:pPr>
      <w:r w:rsidRPr="00A7402A">
        <w:t>having a thyroid-stimula</w:t>
      </w:r>
      <w:r>
        <w:t>ting</w:t>
      </w:r>
      <w:r w:rsidR="0021006C">
        <w:t>,</w:t>
      </w:r>
      <w:r>
        <w:t xml:space="preserve"> hormone-secreting pituita</w:t>
      </w:r>
      <w:r w:rsidRPr="00A7402A">
        <w:t>ry adenoma at the time of the clinical worsening of goitre;</w:t>
      </w:r>
    </w:p>
    <w:p w14:paraId="562CC2A2" w14:textId="50E767E7" w:rsidR="005657F8" w:rsidRDefault="005657F8" w:rsidP="00000E52">
      <w:pPr>
        <w:pStyle w:val="LV2"/>
        <w:keepNext/>
      </w:pPr>
      <w:r w:rsidRPr="005657F8">
        <w:lastRenderedPageBreak/>
        <w:t>for nodular goitre only</w:t>
      </w:r>
      <w:r>
        <w:t>:</w:t>
      </w:r>
    </w:p>
    <w:p w14:paraId="0E339AFE" w14:textId="5889EA19" w:rsidR="005657F8" w:rsidRDefault="005657F8" w:rsidP="005657F8">
      <w:pPr>
        <w:pStyle w:val="LV3"/>
      </w:pPr>
      <w:r w:rsidRPr="005657F8">
        <w:tab/>
        <w:t>having received a cumulative equivalent dose of at least 0.5</w:t>
      </w:r>
      <w:r w:rsidR="00465159">
        <w:t> </w:t>
      </w:r>
      <w:r w:rsidRPr="005657F8">
        <w:t xml:space="preserve">sievert of ionising radiation to the thyroid gland </w:t>
      </w:r>
      <w:r>
        <w:t xml:space="preserve">at </w:t>
      </w:r>
      <w:r w:rsidRPr="005657F8">
        <w:t>least 1</w:t>
      </w:r>
      <w:r w:rsidR="00465159">
        <w:t> </w:t>
      </w:r>
      <w:r w:rsidRPr="005657F8">
        <w:t>year before the clinical worsening of nodular goitre; or</w:t>
      </w:r>
    </w:p>
    <w:p w14:paraId="6CCDC974" w14:textId="3DE6B17A" w:rsidR="005657F8" w:rsidRDefault="005657F8" w:rsidP="005657F8">
      <w:pPr>
        <w:pStyle w:val="LV3"/>
      </w:pPr>
      <w:r w:rsidRPr="005657F8">
        <w:tab/>
        <w:t>undergoing a course of therapeutic radiation for cancer, where the thyroid gland was in the field of radiation, at least 1 year before the clinical worsening of nodular goitre;</w:t>
      </w:r>
    </w:p>
    <w:p w14:paraId="2DB65669" w14:textId="77777777" w:rsidR="005657F8" w:rsidRDefault="005657F8" w:rsidP="005657F8">
      <w:pPr>
        <w:pStyle w:val="Note2"/>
        <w:ind w:left="1985" w:hanging="567"/>
      </w:pPr>
      <w:r>
        <w:t xml:space="preserve">Note 1: </w:t>
      </w:r>
      <w:r w:rsidRPr="005657F8">
        <w:t>Exposure to ionising radiation does not include radioiodine therapy for goitre or thyroid nodules.</w:t>
      </w:r>
    </w:p>
    <w:p w14:paraId="471DC9F1" w14:textId="77777777" w:rsidR="005657F8" w:rsidRDefault="005657F8" w:rsidP="005657F8">
      <w:pPr>
        <w:pStyle w:val="Note2"/>
        <w:ind w:left="1985" w:hanging="567"/>
      </w:pPr>
      <w:r>
        <w:t xml:space="preserve">Note 2: </w:t>
      </w:r>
      <w:r w:rsidRPr="005657F8">
        <w:rPr>
          <w:b/>
          <w:i/>
        </w:rPr>
        <w:t>cumulative equivalent dose</w:t>
      </w:r>
      <w:r w:rsidRPr="005657F8">
        <w:t xml:space="preserve"> is defined in the Schedule 1 </w:t>
      </w:r>
      <w:r>
        <w:t>-</w:t>
      </w:r>
      <w:r w:rsidRPr="005657F8">
        <w:t xml:space="preserve"> Dictionary.</w:t>
      </w:r>
    </w:p>
    <w:p w14:paraId="5CD90D8C" w14:textId="56335A7A" w:rsidR="00BE524A" w:rsidRDefault="00BE524A" w:rsidP="00BE524A">
      <w:pPr>
        <w:pStyle w:val="LV2"/>
      </w:pPr>
      <w:r w:rsidRPr="00BE524A">
        <w:t>for thyrotoxic crisis only, having an acute</w:t>
      </w:r>
      <w:r w:rsidR="0021006C">
        <w:t xml:space="preserve"> precipitating event</w:t>
      </w:r>
      <w:r w:rsidRPr="00BE524A">
        <w:t xml:space="preserve"> within the 48</w:t>
      </w:r>
      <w:r w:rsidR="00465159">
        <w:t> </w:t>
      </w:r>
      <w:r w:rsidRPr="00BE524A">
        <w:t>hours before that clinical worsening of toxic goitre;</w:t>
      </w:r>
    </w:p>
    <w:p w14:paraId="0DE99C63" w14:textId="71F4AD39" w:rsidR="00BE524A" w:rsidRDefault="00BE524A" w:rsidP="00BC74D8">
      <w:pPr>
        <w:pStyle w:val="Note2"/>
        <w:ind w:left="1872" w:hanging="454"/>
      </w:pPr>
      <w:r>
        <w:t xml:space="preserve">Note: </w:t>
      </w:r>
      <w:r w:rsidRPr="00000E52">
        <w:rPr>
          <w:b/>
          <w:i/>
        </w:rPr>
        <w:t>acute</w:t>
      </w:r>
      <w:r w:rsidR="00EF3EC1">
        <w:rPr>
          <w:b/>
          <w:i/>
        </w:rPr>
        <w:t xml:space="preserve"> precipitating event</w:t>
      </w:r>
      <w:r w:rsidRPr="00000E52">
        <w:t xml:space="preserve"> and </w:t>
      </w:r>
      <w:r w:rsidRPr="00000E52">
        <w:rPr>
          <w:b/>
          <w:i/>
        </w:rPr>
        <w:t>thyrotoxic crisis</w:t>
      </w:r>
      <w:r w:rsidRPr="00000E52">
        <w:t xml:space="preserve"> are defined in the Schedule</w:t>
      </w:r>
      <w:r w:rsidR="00BC74D8">
        <w:t> </w:t>
      </w:r>
      <w:r w:rsidRPr="00000E52">
        <w:t>1</w:t>
      </w:r>
      <w:r w:rsidR="00BC74D8">
        <w:t> </w:t>
      </w:r>
      <w:r>
        <w:t>-</w:t>
      </w:r>
      <w:r w:rsidR="00BC74D8">
        <w:t> </w:t>
      </w:r>
      <w:r w:rsidRPr="00000E52">
        <w:t>Dictionary.</w:t>
      </w:r>
    </w:p>
    <w:p w14:paraId="5621445A" w14:textId="168C662E" w:rsidR="007C7DEE" w:rsidRPr="008D1B8B" w:rsidRDefault="007C7DEE" w:rsidP="005D6D98">
      <w:pPr>
        <w:pStyle w:val="LV2"/>
      </w:pPr>
      <w:proofErr w:type="gramStart"/>
      <w:r w:rsidRPr="008D1B8B">
        <w:t>inability</w:t>
      </w:r>
      <w:proofErr w:type="gramEnd"/>
      <w:r w:rsidRPr="008D1B8B">
        <w:t xml:space="preserve"> to obtain appropriate clinical management for</w:t>
      </w:r>
      <w:bookmarkEnd w:id="27"/>
      <w:r w:rsidR="007A3989">
        <w:t xml:space="preserve"> </w:t>
      </w:r>
      <w:r w:rsidR="00DB3E69" w:rsidRPr="00DB3E69">
        <w:t>goitre</w:t>
      </w:r>
      <w:r w:rsidR="00D5620B" w:rsidRPr="008D1B8B">
        <w:t>.</w:t>
      </w:r>
      <w:bookmarkEnd w:id="28"/>
    </w:p>
    <w:p w14:paraId="554807FC" w14:textId="77777777" w:rsidR="000C21A3" w:rsidRPr="00684C0E" w:rsidRDefault="00D32F71" w:rsidP="005D6D98">
      <w:pPr>
        <w:pStyle w:val="LV1"/>
      </w:pPr>
      <w:bookmarkStart w:id="29" w:name="_Toc84579670"/>
      <w:bookmarkStart w:id="30" w:name="_Ref402530057"/>
      <w:r>
        <w:t>Relationship to s</w:t>
      </w:r>
      <w:r w:rsidR="000C21A3" w:rsidRPr="00684C0E">
        <w:t>ervice</w:t>
      </w:r>
      <w:bookmarkEnd w:id="29"/>
    </w:p>
    <w:p w14:paraId="47673FD7" w14:textId="77777777" w:rsidR="00F03C06" w:rsidRPr="00187DE1" w:rsidRDefault="00F03C06" w:rsidP="005D6D98">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14:paraId="5F08E728" w14:textId="378A73CE" w:rsidR="00CF2367" w:rsidRPr="00187DE1" w:rsidRDefault="00F03C06" w:rsidP="005D6D98">
      <w:pPr>
        <w:pStyle w:val="LV2"/>
      </w:pPr>
      <w:r w:rsidRPr="00187DE1">
        <w:t>The factor</w:t>
      </w:r>
      <w:r w:rsidR="00FF1D47">
        <w:t>s</w:t>
      </w:r>
      <w:r w:rsidRPr="00187DE1">
        <w:t xml:space="preserve"> set out in </w:t>
      </w:r>
      <w:r w:rsidR="001D0699">
        <w:t>subsection</w:t>
      </w:r>
      <w:r w:rsidR="009056AF">
        <w:t>s</w:t>
      </w:r>
      <w:r w:rsidR="00FF1D47">
        <w:t xml:space="preserve"> </w:t>
      </w:r>
      <w:r w:rsidR="00DA3996">
        <w:t>9</w:t>
      </w:r>
      <w:r w:rsidR="00FF1D47">
        <w:t>(</w:t>
      </w:r>
      <w:r w:rsidR="001D0699">
        <w:t>1</w:t>
      </w:r>
      <w:r w:rsidR="00FA54A3">
        <w:t>4</w:t>
      </w:r>
      <w:r w:rsidR="00FF1D47">
        <w:t>)</w:t>
      </w:r>
      <w:r w:rsidR="001D0699">
        <w:t xml:space="preserve"> to 9(2</w:t>
      </w:r>
      <w:r w:rsidR="00FA54A3">
        <w:t>7</w:t>
      </w:r>
      <w:r w:rsidR="001D0699">
        <w:t>)</w:t>
      </w:r>
      <w:r w:rsidR="00FF1D47">
        <w:t xml:space="preserve"> </w:t>
      </w:r>
      <w:r w:rsidRPr="00187DE1">
        <w:t>appl</w:t>
      </w:r>
      <w:r w:rsidR="001D0699">
        <w:t>y</w:t>
      </w:r>
      <w:r w:rsidRPr="00187DE1">
        <w:t xml:space="preserve"> only to material contribution to, or aggravation of, </w:t>
      </w:r>
      <w:r w:rsidR="00DB3E69" w:rsidRPr="00DB3E69">
        <w:t>goitre</w:t>
      </w:r>
      <w:r w:rsidR="007A3989">
        <w:t xml:space="preserve"> </w:t>
      </w:r>
      <w:r w:rsidRPr="00187DE1">
        <w:t>where the person</w:t>
      </w:r>
      <w:r w:rsidR="002A3353">
        <w:t>'</w:t>
      </w:r>
      <w:r w:rsidRPr="00187DE1">
        <w:t xml:space="preserve">s </w:t>
      </w:r>
      <w:r w:rsidR="00DB3E69" w:rsidRPr="00DB3E69">
        <w:t>goitre</w:t>
      </w:r>
      <w:r w:rsidR="007A3989">
        <w:t xml:space="preserve"> </w:t>
      </w:r>
      <w:r w:rsidRPr="00187DE1">
        <w:t>was suffered or contracted before or during (but did not arise out of) the person</w:t>
      </w:r>
      <w:r w:rsidR="002A3353">
        <w:t>'</w:t>
      </w:r>
      <w:r w:rsidRPr="00187DE1">
        <w:t xml:space="preserve">s relevant service. </w:t>
      </w:r>
    </w:p>
    <w:p w14:paraId="7398D161" w14:textId="77777777" w:rsidR="00774897" w:rsidRPr="00301C54" w:rsidRDefault="00774897" w:rsidP="005D6D98">
      <w:pPr>
        <w:pStyle w:val="LV1"/>
      </w:pPr>
      <w:bookmarkStart w:id="31" w:name="_Toc84579671"/>
      <w:r w:rsidRPr="00301C54">
        <w:t>Factors referring to an injury or disea</w:t>
      </w:r>
      <w:r w:rsidR="008B2204">
        <w:t>se covered by another Statement</w:t>
      </w:r>
      <w:r w:rsidRPr="00301C54">
        <w:t xml:space="preserve"> of Principles</w:t>
      </w:r>
      <w:bookmarkEnd w:id="31"/>
    </w:p>
    <w:p w14:paraId="48A56D00" w14:textId="77777777" w:rsidR="00F03C06" w:rsidRPr="00E64EE4" w:rsidRDefault="00F03C06" w:rsidP="005D6D98">
      <w:pPr>
        <w:pStyle w:val="PlainIndent"/>
      </w:pPr>
      <w:r w:rsidRPr="00E64EE4">
        <w:t>In this Statement of Principles:</w:t>
      </w:r>
    </w:p>
    <w:p w14:paraId="0D536F19" w14:textId="77777777" w:rsidR="00F03C06" w:rsidRPr="00E64EE4" w:rsidRDefault="00F03C06" w:rsidP="005D6D98">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14:paraId="54D9BA3E" w14:textId="77777777" w:rsidR="00733269" w:rsidRPr="00E64EE4" w:rsidRDefault="00F03C06" w:rsidP="005D6D98">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14:paraId="3FCAC426" w14:textId="77777777" w:rsidR="00F03C06" w:rsidRDefault="00733269" w:rsidP="005D6D98">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14:paraId="60D3C7A9" w14:textId="77777777" w:rsidR="00782F4E" w:rsidRPr="00E64EE4" w:rsidRDefault="00782F4E" w:rsidP="005D6D98">
      <w:pPr>
        <w:pStyle w:val="PlainIndent"/>
      </w:pPr>
    </w:p>
    <w:p w14:paraId="379F80C7" w14:textId="77777777" w:rsidR="00081B7C" w:rsidRPr="00FA33FB" w:rsidRDefault="00081B7C" w:rsidP="005D6D98">
      <w:pPr>
        <w:pStyle w:val="PlainIndent"/>
        <w:sectPr w:rsidR="00081B7C" w:rsidRPr="00FA33FB" w:rsidSect="00B846A0">
          <w:footerReference w:type="default" r:id="rId9"/>
          <w:footerReference w:type="first" r:id="rId10"/>
          <w:pgSz w:w="11907" w:h="16839" w:code="9"/>
          <w:pgMar w:top="1843" w:right="1797" w:bottom="1440" w:left="1797" w:header="720" w:footer="709" w:gutter="0"/>
          <w:pgNumType w:start="1"/>
          <w:cols w:space="708"/>
          <w:titlePg/>
          <w:docGrid w:linePitch="360"/>
        </w:sectPr>
      </w:pPr>
    </w:p>
    <w:p w14:paraId="7D1C18B9" w14:textId="77777777" w:rsidR="00F03C06" w:rsidRDefault="00F03C06" w:rsidP="005D6D98">
      <w:pPr>
        <w:pStyle w:val="PlainIndent"/>
      </w:pPr>
    </w:p>
    <w:p w14:paraId="39ED6785" w14:textId="77777777" w:rsidR="00CF2367" w:rsidRPr="00FA33FB" w:rsidRDefault="00CF2367" w:rsidP="002A3436">
      <w:pPr>
        <w:pStyle w:val="SHHeader"/>
      </w:pPr>
      <w:bookmarkStart w:id="32" w:name="opcAmSched"/>
      <w:bookmarkStart w:id="33" w:name="opcCurrentFind"/>
      <w:bookmarkStart w:id="34" w:name="_Toc84579672"/>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14:paraId="63A92BF6" w14:textId="77777777"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14:paraId="6C08639E" w14:textId="77777777" w:rsidR="00BD3334" w:rsidRDefault="00702C42" w:rsidP="00516768">
      <w:pPr>
        <w:pStyle w:val="SH1"/>
      </w:pPr>
      <w:bookmarkStart w:id="35" w:name="_Toc405472918"/>
      <w:bookmarkStart w:id="36" w:name="_Toc84579673"/>
      <w:r w:rsidRPr="00D97BB3">
        <w:t>Definitions</w:t>
      </w:r>
      <w:bookmarkEnd w:id="35"/>
      <w:bookmarkEnd w:id="36"/>
    </w:p>
    <w:p w14:paraId="18E289C7" w14:textId="77777777" w:rsidR="00702C42" w:rsidRPr="00516768" w:rsidRDefault="00702C42" w:rsidP="005D6D98">
      <w:pPr>
        <w:pStyle w:val="SH2"/>
      </w:pPr>
      <w:r w:rsidRPr="00516768">
        <w:t>In this instrument:</w:t>
      </w:r>
    </w:p>
    <w:p w14:paraId="45CC67FE" w14:textId="62478502" w:rsidR="00BE524A" w:rsidRDefault="00BE524A" w:rsidP="00BE524A">
      <w:pPr>
        <w:pStyle w:val="SH3"/>
        <w:ind w:left="851" w:hanging="851"/>
      </w:pPr>
      <w:bookmarkStart w:id="37" w:name="_Ref402530810"/>
      <w:proofErr w:type="gramStart"/>
      <w:r w:rsidRPr="00BE524A">
        <w:rPr>
          <w:b/>
          <w:i/>
        </w:rPr>
        <w:t>acute</w:t>
      </w:r>
      <w:proofErr w:type="gramEnd"/>
      <w:r w:rsidR="00EF3EC1">
        <w:rPr>
          <w:b/>
          <w:i/>
        </w:rPr>
        <w:t xml:space="preserve"> precipitating event</w:t>
      </w:r>
      <w:r w:rsidRPr="00BE524A">
        <w:t xml:space="preserve"> means a physical or psychological stimulus or event that causes a sudden, intense psychological or physical response.</w:t>
      </w:r>
    </w:p>
    <w:p w14:paraId="4DBE46CD" w14:textId="6CC6807B" w:rsidR="00BE524A" w:rsidRDefault="00BE524A" w:rsidP="00BE524A">
      <w:pPr>
        <w:pStyle w:val="ScheduleNote"/>
      </w:pPr>
      <w:r>
        <w:t>Note: Examples of an acute</w:t>
      </w:r>
      <w:r w:rsidR="00EF3EC1">
        <w:t xml:space="preserve"> precipitating event</w:t>
      </w:r>
      <w:r>
        <w:t xml:space="preserve"> include:</w:t>
      </w:r>
    </w:p>
    <w:p w14:paraId="7CCF064E" w14:textId="77777777" w:rsidR="00ED509A" w:rsidRPr="004A25A9" w:rsidRDefault="00ED509A" w:rsidP="00ED509A">
      <w:pPr>
        <w:pStyle w:val="LV3"/>
        <w:spacing w:before="100"/>
        <w:ind w:left="1729" w:hanging="425"/>
        <w:rPr>
          <w:sz w:val="18"/>
          <w:szCs w:val="18"/>
        </w:rPr>
      </w:pPr>
      <w:r w:rsidRPr="004A25A9">
        <w:rPr>
          <w:sz w:val="18"/>
          <w:szCs w:val="18"/>
        </w:rPr>
        <w:tab/>
      </w:r>
      <w:r w:rsidRPr="004A25A9">
        <w:rPr>
          <w:sz w:val="18"/>
          <w:szCs w:val="18"/>
        </w:rPr>
        <w:tab/>
      </w:r>
      <w:r w:rsidRPr="004A25A9">
        <w:rPr>
          <w:sz w:val="18"/>
          <w:szCs w:val="18"/>
        </w:rPr>
        <w:tab/>
      </w:r>
      <w:r w:rsidRPr="004A25A9">
        <w:rPr>
          <w:sz w:val="18"/>
          <w:szCs w:val="18"/>
        </w:rPr>
        <w:tab/>
        <w:t>abrupt cessation or lowering of anti-thyroid therapy;</w:t>
      </w:r>
    </w:p>
    <w:p w14:paraId="2D31EA01" w14:textId="77777777" w:rsidR="00ED509A" w:rsidRPr="004A25A9" w:rsidRDefault="00ED509A" w:rsidP="00ED509A">
      <w:pPr>
        <w:pStyle w:val="LV3"/>
        <w:spacing w:before="100"/>
        <w:ind w:left="1729" w:hanging="425"/>
        <w:rPr>
          <w:sz w:val="18"/>
          <w:szCs w:val="18"/>
        </w:rPr>
      </w:pPr>
      <w:r w:rsidRPr="004A25A9">
        <w:rPr>
          <w:sz w:val="18"/>
          <w:szCs w:val="18"/>
        </w:rPr>
        <w:tab/>
        <w:t xml:space="preserve">acute illness such as acute myocardial infarction, stroke and congestive heart failure; </w:t>
      </w:r>
    </w:p>
    <w:p w14:paraId="6EEAF204" w14:textId="77777777" w:rsidR="00ED509A" w:rsidRPr="004A25A9" w:rsidRDefault="00ED509A" w:rsidP="00ED509A">
      <w:pPr>
        <w:pStyle w:val="LV3"/>
        <w:spacing w:before="100"/>
        <w:ind w:left="1729" w:hanging="425"/>
        <w:rPr>
          <w:sz w:val="18"/>
          <w:szCs w:val="18"/>
        </w:rPr>
      </w:pPr>
      <w:r w:rsidRPr="004A25A9">
        <w:rPr>
          <w:sz w:val="18"/>
          <w:szCs w:val="18"/>
        </w:rPr>
        <w:tab/>
        <w:t>acute iodine load;</w:t>
      </w:r>
    </w:p>
    <w:p w14:paraId="4653727F" w14:textId="77777777" w:rsidR="00ED509A" w:rsidRPr="004A25A9" w:rsidRDefault="00ED509A" w:rsidP="00ED509A">
      <w:pPr>
        <w:pStyle w:val="LV3"/>
        <w:spacing w:before="100"/>
        <w:ind w:left="1729" w:hanging="425"/>
        <w:rPr>
          <w:sz w:val="18"/>
          <w:szCs w:val="18"/>
        </w:rPr>
      </w:pPr>
      <w:r w:rsidRPr="004A25A9">
        <w:rPr>
          <w:sz w:val="18"/>
          <w:szCs w:val="18"/>
        </w:rPr>
        <w:tab/>
        <w:t>experiencing an acute, severe, emotional stressor;</w:t>
      </w:r>
    </w:p>
    <w:p w14:paraId="0A5C5379" w14:textId="77777777" w:rsidR="00ED509A" w:rsidRPr="004A25A9" w:rsidRDefault="00ED509A" w:rsidP="00ED509A">
      <w:pPr>
        <w:pStyle w:val="LV3"/>
        <w:spacing w:before="100"/>
        <w:ind w:left="1729" w:hanging="425"/>
        <w:rPr>
          <w:sz w:val="18"/>
          <w:szCs w:val="18"/>
        </w:rPr>
      </w:pPr>
      <w:r w:rsidRPr="004A25A9">
        <w:rPr>
          <w:sz w:val="18"/>
          <w:szCs w:val="18"/>
        </w:rPr>
        <w:tab/>
        <w:t>infection;</w:t>
      </w:r>
    </w:p>
    <w:p w14:paraId="12FAFA90" w14:textId="77777777" w:rsidR="00ED509A" w:rsidRPr="004A25A9" w:rsidRDefault="00ED509A" w:rsidP="00ED509A">
      <w:pPr>
        <w:pStyle w:val="LV3"/>
        <w:spacing w:before="100"/>
        <w:ind w:left="1729" w:hanging="425"/>
        <w:rPr>
          <w:sz w:val="18"/>
          <w:szCs w:val="18"/>
        </w:rPr>
      </w:pPr>
      <w:r w:rsidRPr="004A25A9">
        <w:rPr>
          <w:sz w:val="18"/>
          <w:szCs w:val="18"/>
        </w:rPr>
        <w:tab/>
        <w:t xml:space="preserve">parturition; </w:t>
      </w:r>
    </w:p>
    <w:p w14:paraId="416B233B" w14:textId="77777777" w:rsidR="00ED509A" w:rsidRPr="004A25A9" w:rsidRDefault="00ED509A" w:rsidP="00ED509A">
      <w:pPr>
        <w:pStyle w:val="LV3"/>
        <w:spacing w:before="100"/>
        <w:ind w:left="1729" w:hanging="425"/>
        <w:rPr>
          <w:sz w:val="18"/>
          <w:szCs w:val="18"/>
        </w:rPr>
      </w:pPr>
      <w:r w:rsidRPr="004A25A9">
        <w:rPr>
          <w:sz w:val="18"/>
          <w:szCs w:val="18"/>
        </w:rPr>
        <w:t>physical trauma or injury; and</w:t>
      </w:r>
    </w:p>
    <w:p w14:paraId="46335BC2" w14:textId="77777777" w:rsidR="00ED509A" w:rsidRPr="004A25A9" w:rsidRDefault="00ED509A" w:rsidP="00ED509A">
      <w:pPr>
        <w:pStyle w:val="LV3"/>
        <w:spacing w:before="100"/>
        <w:ind w:left="1729" w:hanging="425"/>
        <w:rPr>
          <w:sz w:val="18"/>
          <w:szCs w:val="18"/>
        </w:rPr>
      </w:pPr>
      <w:r w:rsidRPr="004A25A9">
        <w:rPr>
          <w:sz w:val="18"/>
          <w:szCs w:val="18"/>
        </w:rPr>
        <w:tab/>
      </w:r>
      <w:proofErr w:type="gramStart"/>
      <w:r w:rsidRPr="004A25A9">
        <w:rPr>
          <w:sz w:val="18"/>
          <w:szCs w:val="18"/>
        </w:rPr>
        <w:t>surgery</w:t>
      </w:r>
      <w:proofErr w:type="gramEnd"/>
      <w:r w:rsidRPr="004A25A9">
        <w:rPr>
          <w:sz w:val="18"/>
          <w:szCs w:val="18"/>
        </w:rPr>
        <w:t>.</w:t>
      </w:r>
    </w:p>
    <w:p w14:paraId="58988D08" w14:textId="77777777" w:rsidR="0055059E" w:rsidRDefault="0055059E" w:rsidP="0055059E">
      <w:pPr>
        <w:pStyle w:val="SH3"/>
        <w:ind w:left="851" w:hanging="851"/>
      </w:pPr>
      <w:r w:rsidRPr="0055059E">
        <w:rPr>
          <w:b/>
          <w:i/>
        </w:rPr>
        <w:t>chronic renal failure</w:t>
      </w:r>
      <w:r w:rsidRPr="0055059E">
        <w:t xml:space="preserve"> means:</w:t>
      </w:r>
    </w:p>
    <w:p w14:paraId="6F67528E" w14:textId="77777777" w:rsidR="0055059E" w:rsidRDefault="0055059E" w:rsidP="0055059E">
      <w:pPr>
        <w:pStyle w:val="SH4"/>
      </w:pPr>
      <w:r>
        <w:t>having a glomerular filtration rate of less than 15 mL/min/1.73 m</w:t>
      </w:r>
      <w:r w:rsidRPr="0055059E">
        <w:rPr>
          <w:vertAlign w:val="superscript"/>
        </w:rPr>
        <w:t>2</w:t>
      </w:r>
      <w:r>
        <w:t xml:space="preserve"> for a period of at least 3 months; or </w:t>
      </w:r>
    </w:p>
    <w:p w14:paraId="69D70BF1" w14:textId="77777777" w:rsidR="0055059E" w:rsidRDefault="0055059E" w:rsidP="0055059E">
      <w:pPr>
        <w:pStyle w:val="SH4"/>
      </w:pPr>
      <w:r>
        <w:t>a need for renal replacement therapy (dialysis or transplantation) for treatment of complications of decreased glomerular filtration rate which would otherwise increase the risk of morbidity and mortality; or</w:t>
      </w:r>
    </w:p>
    <w:p w14:paraId="79F20E37" w14:textId="77777777" w:rsidR="0055059E" w:rsidRPr="0055059E" w:rsidRDefault="0055059E" w:rsidP="0055059E">
      <w:pPr>
        <w:pStyle w:val="SH4"/>
      </w:pPr>
      <w:proofErr w:type="gramStart"/>
      <w:r>
        <w:t>undergoing</w:t>
      </w:r>
      <w:proofErr w:type="gramEnd"/>
      <w:r>
        <w:t xml:space="preserve"> chronic dialysis.</w:t>
      </w:r>
    </w:p>
    <w:p w14:paraId="561842E0" w14:textId="77777777" w:rsidR="005657F8" w:rsidRDefault="005657F8" w:rsidP="005657F8">
      <w:pPr>
        <w:pStyle w:val="SH3"/>
        <w:ind w:left="851" w:hanging="851"/>
      </w:pPr>
      <w:r w:rsidRPr="005657F8">
        <w:rPr>
          <w:b/>
          <w:i/>
        </w:rPr>
        <w:t>cumulative equivalent dose</w:t>
      </w:r>
      <w:r w:rsidRPr="005657F8">
        <w:t xml:space="preserve"> means the total dose of ionising radiation received by the particular organ or tissue from external exposure, internal exposure or both, apart from normal background radiation exposure in Australia, calculated in accordance with the methodology set out in </w:t>
      </w:r>
      <w:r w:rsidRPr="005657F8">
        <w:rPr>
          <w:i/>
        </w:rPr>
        <w:t>Guide to calculation of 'cumulative equivalent dose' for the purpose of applying ionising radiation factors contained in Statements of Principles determined under Part XIA of the Veterans' Entitlements Act 1986 (</w:t>
      </w:r>
      <w:proofErr w:type="spellStart"/>
      <w:r w:rsidRPr="005657F8">
        <w:rPr>
          <w:i/>
        </w:rPr>
        <w:t>Cth</w:t>
      </w:r>
      <w:proofErr w:type="spellEnd"/>
      <w:r w:rsidRPr="005657F8">
        <w:rPr>
          <w:i/>
        </w:rPr>
        <w:t>)</w:t>
      </w:r>
      <w:r w:rsidRPr="007D7FD2">
        <w:t>, Australian Radiation Protection and Nuclear Safety Agency</w:t>
      </w:r>
      <w:r w:rsidRPr="005657F8">
        <w:t>, as in force on 2 August 2017.</w:t>
      </w:r>
    </w:p>
    <w:p w14:paraId="7BCA5E9E" w14:textId="77777777" w:rsidR="005657F8" w:rsidRDefault="005657F8" w:rsidP="005657F8">
      <w:pPr>
        <w:pStyle w:val="ScheduleNote"/>
        <w:ind w:left="1418" w:hanging="567"/>
      </w:pPr>
      <w:r>
        <w:t xml:space="preserve">Note 1: </w:t>
      </w:r>
      <w:r w:rsidRPr="005657F8">
        <w:t>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w:t>
      </w:r>
    </w:p>
    <w:p w14:paraId="1D9CCC09" w14:textId="77777777" w:rsidR="005657F8" w:rsidRPr="005657F8" w:rsidRDefault="005657F8" w:rsidP="005657F8">
      <w:pPr>
        <w:pStyle w:val="ScheduleNote"/>
        <w:ind w:left="1418" w:hanging="567"/>
      </w:pPr>
      <w:r>
        <w:t xml:space="preserve">Note 2: </w:t>
      </w:r>
      <w:r w:rsidRPr="005657F8">
        <w:t>For the purpose of dose reconstruction, dose is calculated as an average over the mass of a specific tissue or organ. If a tissue is exposed to multiple sources of ionising radiation, the various dose estimates for each type of radiation must be combined.</w:t>
      </w:r>
    </w:p>
    <w:p w14:paraId="234C39D5" w14:textId="59C879C0" w:rsidR="00694DAE" w:rsidRPr="00513D05" w:rsidRDefault="00DB3E69" w:rsidP="00694DAE">
      <w:pPr>
        <w:pStyle w:val="SH3"/>
        <w:ind w:left="851" w:hanging="851"/>
      </w:pPr>
      <w:proofErr w:type="gramStart"/>
      <w:r w:rsidRPr="00DB3E69">
        <w:rPr>
          <w:b/>
          <w:i/>
        </w:rPr>
        <w:t>goitre</w:t>
      </w:r>
      <w:r w:rsidR="00694DAE" w:rsidRPr="00513D05">
        <w:t>—</w:t>
      </w:r>
      <w:proofErr w:type="gramEnd"/>
      <w:r w:rsidR="00694DAE" w:rsidRPr="00513D05">
        <w:t>see subsection</w:t>
      </w:r>
      <w:r w:rsidR="00694DAE">
        <w:t xml:space="preserve"> 7(2).</w:t>
      </w:r>
    </w:p>
    <w:p w14:paraId="3E535B93" w14:textId="77777777" w:rsidR="009C2DD5" w:rsidRDefault="009C2DD5" w:rsidP="009C2DD5">
      <w:pPr>
        <w:pStyle w:val="SH3"/>
        <w:ind w:left="851" w:hanging="851"/>
      </w:pPr>
      <w:r w:rsidRPr="009C2DD5">
        <w:rPr>
          <w:b/>
          <w:i/>
        </w:rPr>
        <w:t>iodine deficiency</w:t>
      </w:r>
      <w:r w:rsidRPr="009C2DD5">
        <w:t xml:space="preserve"> means:</w:t>
      </w:r>
    </w:p>
    <w:p w14:paraId="1EECDCEA" w14:textId="77777777" w:rsidR="009C2DD5" w:rsidRDefault="009C2DD5" w:rsidP="0001259A">
      <w:pPr>
        <w:pStyle w:val="SH4"/>
      </w:pPr>
      <w:r w:rsidRPr="009C2DD5">
        <w:tab/>
        <w:t xml:space="preserve">an average intake of iodine of less than 150 micrograms of iodine per day, or </w:t>
      </w:r>
      <w:r w:rsidR="00465159">
        <w:t xml:space="preserve">less than </w:t>
      </w:r>
      <w:r w:rsidRPr="009C2DD5">
        <w:t>250 micrograms per day for pregnant or lactating women, for a continuous period of at least 30 days; or</w:t>
      </w:r>
    </w:p>
    <w:p w14:paraId="7FE3AD8F" w14:textId="77777777" w:rsidR="009C2DD5" w:rsidRPr="009C2DD5" w:rsidRDefault="009C2DD5" w:rsidP="0001259A">
      <w:pPr>
        <w:pStyle w:val="SH4"/>
      </w:pPr>
      <w:r w:rsidRPr="009C2DD5">
        <w:tab/>
      </w:r>
      <w:proofErr w:type="gramStart"/>
      <w:r w:rsidRPr="009C2DD5">
        <w:t>having</w:t>
      </w:r>
      <w:proofErr w:type="gramEnd"/>
      <w:r w:rsidRPr="009C2DD5">
        <w:t xml:space="preserve"> a urinary iodine concentration of less </w:t>
      </w:r>
      <w:r w:rsidR="003F4B61">
        <w:t xml:space="preserve">than </w:t>
      </w:r>
      <w:r w:rsidRPr="009C2DD5">
        <w:t>100 micrograms per litre, or less than 150 micrograms per litre for pregnant women.</w:t>
      </w:r>
    </w:p>
    <w:p w14:paraId="5C863BC3" w14:textId="77777777" w:rsidR="003F03F8" w:rsidRDefault="003F03F8" w:rsidP="003F03F8">
      <w:pPr>
        <w:pStyle w:val="SH3"/>
        <w:ind w:left="851" w:hanging="851"/>
      </w:pPr>
      <w:r w:rsidRPr="003F03F8">
        <w:rPr>
          <w:b/>
          <w:i/>
        </w:rPr>
        <w:lastRenderedPageBreak/>
        <w:t>iodine excess</w:t>
      </w:r>
      <w:r w:rsidRPr="003F03F8">
        <w:t xml:space="preserve"> means:</w:t>
      </w:r>
    </w:p>
    <w:p w14:paraId="24AF8893" w14:textId="77777777" w:rsidR="003F03F8" w:rsidRDefault="003F03F8" w:rsidP="0001259A">
      <w:pPr>
        <w:pStyle w:val="SH4"/>
      </w:pPr>
      <w:r w:rsidRPr="003F03F8">
        <w:tab/>
        <w:t xml:space="preserve">an average intake of more than 1,100 micrograms of iodine per day for adults, or </w:t>
      </w:r>
      <w:r w:rsidR="00465159">
        <w:t xml:space="preserve">more than </w:t>
      </w:r>
      <w:r w:rsidRPr="003F03F8">
        <w:t>900 micrograms per day for those aged 18 years and under, for a continuous period of at least 3 months; or</w:t>
      </w:r>
    </w:p>
    <w:p w14:paraId="7D1735FB" w14:textId="77777777" w:rsidR="003F03F8" w:rsidRPr="003F03F8" w:rsidRDefault="003F03F8" w:rsidP="0001259A">
      <w:pPr>
        <w:pStyle w:val="SH4"/>
      </w:pPr>
      <w:proofErr w:type="gramStart"/>
      <w:r w:rsidRPr="003F03F8">
        <w:t>having</w:t>
      </w:r>
      <w:proofErr w:type="gramEnd"/>
      <w:r w:rsidRPr="003F03F8">
        <w:t xml:space="preserve"> a urinary iodine concentration of greater than 300 micrograms per litre, or greater than 500 micrograms per litre for pregnant women.</w:t>
      </w:r>
    </w:p>
    <w:p w14:paraId="7E7EE26E" w14:textId="77777777"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14:paraId="64C186BA" w14:textId="6223F038" w:rsidR="00397ADF" w:rsidRDefault="00397ADF" w:rsidP="00397ADF">
      <w:pPr>
        <w:pStyle w:val="SH3"/>
        <w:ind w:left="851" w:hanging="851"/>
      </w:pPr>
      <w:bookmarkStart w:id="38" w:name="_Ref402529607"/>
      <w:bookmarkEnd w:id="37"/>
      <w:proofErr w:type="gramStart"/>
      <w:r w:rsidRPr="00397ADF">
        <w:rPr>
          <w:b/>
          <w:i/>
        </w:rPr>
        <w:t>one</w:t>
      </w:r>
      <w:proofErr w:type="gramEnd"/>
      <w:r w:rsidRPr="00397ADF">
        <w:rPr>
          <w:b/>
          <w:i/>
        </w:rPr>
        <w:t xml:space="preserve"> pack-year</w:t>
      </w:r>
      <w:r w:rsidRPr="00397ADF">
        <w:t xml:space="preserve"> means the amount of tobacco consumed in smoking 20</w:t>
      </w:r>
      <w:r w:rsidR="001549AE">
        <w:t> </w:t>
      </w:r>
      <w:r w:rsidRPr="00397ADF">
        <w:t>cigarettes per day for a period of 1 year, or an equivalent amount of tobacco products.</w:t>
      </w:r>
    </w:p>
    <w:p w14:paraId="6F5A75A5" w14:textId="77777777" w:rsidR="00397ADF" w:rsidRDefault="00397ADF" w:rsidP="00397ADF">
      <w:pPr>
        <w:pStyle w:val="ScheduleNote"/>
        <w:ind w:left="1418" w:hanging="567"/>
      </w:pPr>
      <w:r>
        <w:t xml:space="preserve">Note 1: </w:t>
      </w:r>
      <w:r w:rsidRPr="00397ADF">
        <w:t>An equivalent amount of tobacco products is 7,300 grams of smoking tobacco by weight, either in cigarettes, pipe tobacco or cigars, or a combination of same. For pipe tobacco, cigars or combinations of multiple tobacco types, 1 gram of tobacco is considered to be equal to one cigarette.</w:t>
      </w:r>
    </w:p>
    <w:p w14:paraId="7C60203E" w14:textId="77777777" w:rsidR="00397ADF" w:rsidRPr="00397ADF" w:rsidRDefault="00397ADF" w:rsidP="00397ADF">
      <w:pPr>
        <w:pStyle w:val="ScheduleNote"/>
        <w:ind w:left="1418" w:hanging="567"/>
      </w:pPr>
      <w:r>
        <w:t xml:space="preserve">Note 2: </w:t>
      </w:r>
      <w:r w:rsidRPr="00397ADF">
        <w:t>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14:paraId="0EC1DA8B" w14:textId="77777777" w:rsidR="0090262E" w:rsidRPr="0090262E" w:rsidRDefault="0090262E" w:rsidP="0090262E">
      <w:pPr>
        <w:pStyle w:val="SH3"/>
        <w:ind w:left="851" w:hanging="851"/>
      </w:pPr>
      <w:r w:rsidRPr="0090262E">
        <w:rPr>
          <w:b/>
          <w:i/>
        </w:rPr>
        <w:t>relevant service</w:t>
      </w:r>
      <w:r w:rsidRPr="0090262E">
        <w:t xml:space="preserve"> means:</w:t>
      </w:r>
    </w:p>
    <w:p w14:paraId="3DE9CF40" w14:textId="77777777" w:rsidR="0090262E" w:rsidRPr="0090262E" w:rsidRDefault="0090262E" w:rsidP="0001259A">
      <w:pPr>
        <w:pStyle w:val="SH4"/>
      </w:pPr>
      <w:r w:rsidRPr="0090262E">
        <w:t xml:space="preserve">operational service under the VEA; </w:t>
      </w:r>
    </w:p>
    <w:p w14:paraId="4DC0B266" w14:textId="77777777" w:rsidR="0090262E" w:rsidRPr="0090262E" w:rsidRDefault="0090262E" w:rsidP="0001259A">
      <w:pPr>
        <w:pStyle w:val="SH4"/>
      </w:pPr>
      <w:r w:rsidRPr="0090262E">
        <w:t xml:space="preserve">peacekeeping service under the VEA; </w:t>
      </w:r>
    </w:p>
    <w:p w14:paraId="7488DF53" w14:textId="77777777" w:rsidR="0090262E" w:rsidRPr="0090262E" w:rsidRDefault="0090262E" w:rsidP="0001259A">
      <w:pPr>
        <w:pStyle w:val="SH4"/>
      </w:pPr>
      <w:r w:rsidRPr="0090262E">
        <w:t xml:space="preserve">hazardous service under the VEA; </w:t>
      </w:r>
    </w:p>
    <w:p w14:paraId="41EC5F0D" w14:textId="77777777" w:rsidR="0090262E" w:rsidRPr="0090262E" w:rsidRDefault="0090262E" w:rsidP="0001259A">
      <w:pPr>
        <w:pStyle w:val="SH4"/>
      </w:pPr>
      <w:r w:rsidRPr="0090262E">
        <w:t>British nuclear test defence service under the VEA;</w:t>
      </w:r>
    </w:p>
    <w:p w14:paraId="24073EC8" w14:textId="77777777" w:rsidR="0090262E" w:rsidRPr="0090262E" w:rsidRDefault="0090262E" w:rsidP="0001259A">
      <w:pPr>
        <w:pStyle w:val="SH4"/>
      </w:pPr>
      <w:r w:rsidRPr="0090262E">
        <w:t>warlike service under the MRCA; or</w:t>
      </w:r>
    </w:p>
    <w:p w14:paraId="450035F4" w14:textId="77777777" w:rsidR="00885EAB" w:rsidRPr="0090262E" w:rsidRDefault="0090262E" w:rsidP="0001259A">
      <w:pPr>
        <w:pStyle w:val="SH4"/>
      </w:pPr>
      <w:proofErr w:type="gramStart"/>
      <w:r w:rsidRPr="0090262E">
        <w:t>non-warlike</w:t>
      </w:r>
      <w:proofErr w:type="gramEnd"/>
      <w:r w:rsidRPr="0090262E">
        <w:t xml:space="preserve"> service under the MRCA.</w:t>
      </w:r>
    </w:p>
    <w:p w14:paraId="3422AD6E" w14:textId="77777777" w:rsidR="007C627D" w:rsidRPr="007C627D" w:rsidRDefault="007C627D" w:rsidP="005D6D98">
      <w:pPr>
        <w:pStyle w:val="ScheduleNote"/>
      </w:pPr>
      <w:r w:rsidRPr="007C627D">
        <w:t xml:space="preserve">Note: </w:t>
      </w:r>
      <w:r w:rsidRPr="007C627D">
        <w:rPr>
          <w:b/>
          <w:i/>
        </w:rPr>
        <w:t>MRCA</w:t>
      </w:r>
      <w:r w:rsidRPr="007C627D">
        <w:t xml:space="preserve"> and </w:t>
      </w:r>
      <w:r w:rsidRPr="007C627D">
        <w:rPr>
          <w:b/>
          <w:i/>
        </w:rPr>
        <w:t>VEA</w:t>
      </w:r>
      <w:r w:rsidRPr="007C627D">
        <w:t xml:space="preserve"> are also defined in the Schedule 1 - Dictionary.</w:t>
      </w:r>
    </w:p>
    <w:p w14:paraId="31641BFF" w14:textId="77777777" w:rsidR="00DF6A21" w:rsidRDefault="00DF6A21" w:rsidP="00DF6A21">
      <w:pPr>
        <w:pStyle w:val="SH3"/>
        <w:ind w:left="851" w:hanging="851"/>
      </w:pPr>
      <w:r w:rsidRPr="00DF6A21">
        <w:rPr>
          <w:b/>
          <w:i/>
        </w:rPr>
        <w:t>specified list of diseases</w:t>
      </w:r>
      <w:r w:rsidRPr="00DF6A21">
        <w:t xml:space="preserve"> means:</w:t>
      </w:r>
    </w:p>
    <w:p w14:paraId="6892C09A" w14:textId="77777777" w:rsidR="00DF6A21" w:rsidRDefault="00DF6A21" w:rsidP="00DF6A21">
      <w:pPr>
        <w:pStyle w:val="SH4"/>
      </w:pPr>
      <w:r>
        <w:t>amyloidosis;</w:t>
      </w:r>
    </w:p>
    <w:p w14:paraId="60F3D246" w14:textId="77777777" w:rsidR="00DF6A21" w:rsidRDefault="00DF6A21" w:rsidP="00DF6A21">
      <w:pPr>
        <w:pStyle w:val="SH4"/>
      </w:pPr>
      <w:r>
        <w:t>hereditary haemochromatosis;</w:t>
      </w:r>
    </w:p>
    <w:p w14:paraId="04D6AAB7" w14:textId="73542658" w:rsidR="00DF6A21" w:rsidRDefault="00DF6A21" w:rsidP="00DF6A21">
      <w:pPr>
        <w:pStyle w:val="SH4"/>
      </w:pPr>
      <w:proofErr w:type="spellStart"/>
      <w:r>
        <w:t>Langerhan</w:t>
      </w:r>
      <w:proofErr w:type="spellEnd"/>
      <w:r>
        <w:t xml:space="preserve"> cell histiocytosis;</w:t>
      </w:r>
    </w:p>
    <w:p w14:paraId="1B78CDAA" w14:textId="69FB624C" w:rsidR="00EF3EC1" w:rsidRDefault="00EF3EC1" w:rsidP="00DF6A21">
      <w:pPr>
        <w:pStyle w:val="SH4"/>
      </w:pPr>
      <w:r w:rsidRPr="00EF3EC1">
        <w:rPr>
          <w:i/>
        </w:rPr>
        <w:t>Pneumocystis jirovecii</w:t>
      </w:r>
      <w:r>
        <w:t xml:space="preserve"> infection;</w:t>
      </w:r>
    </w:p>
    <w:p w14:paraId="3A5FD572" w14:textId="22C5DB3F" w:rsidR="00DF6A21" w:rsidRDefault="00DF6A21" w:rsidP="00DF6A21">
      <w:pPr>
        <w:pStyle w:val="SH4"/>
      </w:pPr>
      <w:r>
        <w:t>sarcoidosis;</w:t>
      </w:r>
    </w:p>
    <w:p w14:paraId="63CAC37F" w14:textId="6476016E" w:rsidR="00DF6A21" w:rsidRDefault="00DF6A21" w:rsidP="00DF6A21">
      <w:pPr>
        <w:pStyle w:val="SH4"/>
      </w:pPr>
      <w:r>
        <w:t>systemic lupus erythematosus</w:t>
      </w:r>
      <w:r w:rsidR="00EF3EC1">
        <w:t xml:space="preserve">; </w:t>
      </w:r>
    </w:p>
    <w:p w14:paraId="1EECCCCA" w14:textId="1691E399" w:rsidR="00D15648" w:rsidRDefault="00D15648" w:rsidP="00DF6A21">
      <w:pPr>
        <w:pStyle w:val="SH4"/>
      </w:pPr>
      <w:r>
        <w:t>systemic sclerosis (scleroderma); or</w:t>
      </w:r>
    </w:p>
    <w:p w14:paraId="0EA698A2" w14:textId="3953B583" w:rsidR="00EF3EC1" w:rsidRPr="00DF6A21" w:rsidRDefault="00EF3EC1" w:rsidP="00DF6A21">
      <w:pPr>
        <w:pStyle w:val="SH4"/>
      </w:pPr>
      <w:proofErr w:type="gramStart"/>
      <w:r>
        <w:t>tuberculosis</w:t>
      </w:r>
      <w:proofErr w:type="gramEnd"/>
      <w:r>
        <w:t>.</w:t>
      </w:r>
    </w:p>
    <w:p w14:paraId="74BABB85" w14:textId="77777777" w:rsidR="00366FA0" w:rsidRDefault="00366FA0" w:rsidP="00366FA0">
      <w:pPr>
        <w:pStyle w:val="SH3"/>
        <w:ind w:left="851" w:hanging="851"/>
      </w:pPr>
      <w:r w:rsidRPr="00366FA0">
        <w:rPr>
          <w:b/>
          <w:i/>
        </w:rPr>
        <w:t>specified list of drugs</w:t>
      </w:r>
      <w:r w:rsidRPr="00366FA0">
        <w:t xml:space="preserve"> means:</w:t>
      </w:r>
    </w:p>
    <w:p w14:paraId="3AB8DC19" w14:textId="77777777" w:rsidR="00366FA0" w:rsidRDefault="00366FA0" w:rsidP="0001259A">
      <w:pPr>
        <w:pStyle w:val="SH4"/>
      </w:pPr>
      <w:r>
        <w:t>carbamazepine;</w:t>
      </w:r>
    </w:p>
    <w:p w14:paraId="60E06B72" w14:textId="77777777" w:rsidR="00366FA0" w:rsidRDefault="00366FA0" w:rsidP="0001259A">
      <w:pPr>
        <w:pStyle w:val="SH4"/>
      </w:pPr>
      <w:r>
        <w:t xml:space="preserve">interferon alpha; </w:t>
      </w:r>
    </w:p>
    <w:p w14:paraId="1C86CF61" w14:textId="77777777" w:rsidR="00366FA0" w:rsidRDefault="00366FA0" w:rsidP="0001259A">
      <w:pPr>
        <w:pStyle w:val="SH4"/>
      </w:pPr>
      <w:r>
        <w:t xml:space="preserve">interleukin-2;  </w:t>
      </w:r>
    </w:p>
    <w:p w14:paraId="7ACE8358" w14:textId="77777777" w:rsidR="00366FA0" w:rsidRDefault="00366FA0" w:rsidP="0001259A">
      <w:pPr>
        <w:pStyle w:val="SH4"/>
      </w:pPr>
      <w:r>
        <w:t>lithium carbonate;</w:t>
      </w:r>
    </w:p>
    <w:p w14:paraId="5F91AF44" w14:textId="77777777" w:rsidR="00366FA0" w:rsidRDefault="00366FA0" w:rsidP="0001259A">
      <w:pPr>
        <w:pStyle w:val="SH4"/>
      </w:pPr>
      <w:r>
        <w:t>phenytoin;</w:t>
      </w:r>
    </w:p>
    <w:p w14:paraId="72FDBDE9" w14:textId="77777777" w:rsidR="00366FA0" w:rsidRDefault="00366FA0" w:rsidP="0001259A">
      <w:pPr>
        <w:pStyle w:val="SH4"/>
      </w:pPr>
      <w:r>
        <w:t>sorafenib;</w:t>
      </w:r>
    </w:p>
    <w:p w14:paraId="0B6B774D" w14:textId="77777777" w:rsidR="00366FA0" w:rsidRDefault="00366FA0" w:rsidP="0001259A">
      <w:pPr>
        <w:pStyle w:val="SH4"/>
      </w:pPr>
      <w:r>
        <w:t>sunitinib; or</w:t>
      </w:r>
    </w:p>
    <w:p w14:paraId="34CC8EEE" w14:textId="77777777" w:rsidR="00366FA0" w:rsidRPr="00366FA0" w:rsidRDefault="00366FA0" w:rsidP="0001259A">
      <w:pPr>
        <w:pStyle w:val="SH4"/>
      </w:pPr>
      <w:proofErr w:type="gramStart"/>
      <w:r>
        <w:t>valproic</w:t>
      </w:r>
      <w:proofErr w:type="gramEnd"/>
      <w:r>
        <w:t xml:space="preserve"> acid.</w:t>
      </w:r>
    </w:p>
    <w:p w14:paraId="2693FEA7" w14:textId="77777777" w:rsidR="0001259A" w:rsidRDefault="0001259A" w:rsidP="0013739D">
      <w:pPr>
        <w:pStyle w:val="SH3"/>
        <w:keepNext/>
        <w:ind w:left="850"/>
      </w:pPr>
      <w:r w:rsidRPr="0001259A">
        <w:rPr>
          <w:b/>
          <w:i/>
        </w:rPr>
        <w:lastRenderedPageBreak/>
        <w:t>specified list of forms of thyroiditis</w:t>
      </w:r>
      <w:r w:rsidRPr="0001259A">
        <w:t xml:space="preserve"> means:</w:t>
      </w:r>
    </w:p>
    <w:p w14:paraId="169D1D5E" w14:textId="77777777" w:rsidR="0001259A" w:rsidRDefault="0001259A" w:rsidP="0001259A">
      <w:pPr>
        <w:pStyle w:val="SH4"/>
      </w:pPr>
      <w:r>
        <w:t>infectious thyroiditis;</w:t>
      </w:r>
    </w:p>
    <w:p w14:paraId="247C6AAE" w14:textId="77777777" w:rsidR="0001259A" w:rsidRDefault="0001259A" w:rsidP="0001259A">
      <w:pPr>
        <w:pStyle w:val="SH4"/>
      </w:pPr>
      <w:r>
        <w:t>Riedel thyroiditis;</w:t>
      </w:r>
    </w:p>
    <w:p w14:paraId="54154C48" w14:textId="00735416" w:rsidR="0001259A" w:rsidRDefault="0001259A" w:rsidP="0001259A">
      <w:pPr>
        <w:pStyle w:val="SH4"/>
      </w:pPr>
      <w:r>
        <w:t>silent thyroiditis</w:t>
      </w:r>
      <w:r w:rsidR="00EF3EC1">
        <w:t>, including postpartum thyroiditis</w:t>
      </w:r>
      <w:r>
        <w:t>; or</w:t>
      </w:r>
    </w:p>
    <w:p w14:paraId="501C5367" w14:textId="77777777" w:rsidR="0001259A" w:rsidRDefault="0001259A" w:rsidP="0001259A">
      <w:pPr>
        <w:pStyle w:val="SH4"/>
      </w:pPr>
      <w:proofErr w:type="gramStart"/>
      <w:r>
        <w:t>subacute</w:t>
      </w:r>
      <w:proofErr w:type="gramEnd"/>
      <w:r>
        <w:t xml:space="preserve"> thyroiditis.</w:t>
      </w:r>
    </w:p>
    <w:p w14:paraId="0E7DFEEA" w14:textId="77777777" w:rsidR="007D7FD2" w:rsidRDefault="007D7FD2" w:rsidP="007D7FD2">
      <w:pPr>
        <w:pStyle w:val="ScheduleNote"/>
        <w:ind w:left="1418" w:hanging="567"/>
      </w:pPr>
      <w:r>
        <w:t xml:space="preserve">Note 1: </w:t>
      </w:r>
      <w:r w:rsidRPr="0001259A">
        <w:t>Infectious thyroiditis may be due to a bacterial, fungal or parasitic i</w:t>
      </w:r>
      <w:r>
        <w:t xml:space="preserve">nfection of the thyroid gland. </w:t>
      </w:r>
      <w:r w:rsidRPr="0001259A">
        <w:t>Organisms that can cause infectious thyroiditis include</w:t>
      </w:r>
      <w:r>
        <w:t>:</w:t>
      </w:r>
      <w:r w:rsidRPr="0001259A">
        <w:t xml:space="preserve"> </w:t>
      </w:r>
    </w:p>
    <w:p w14:paraId="42343330" w14:textId="77777777" w:rsidR="00ED509A" w:rsidRDefault="00ED509A" w:rsidP="00ED509A">
      <w:pPr>
        <w:pStyle w:val="ScheduleNote"/>
        <w:numPr>
          <w:ilvl w:val="0"/>
          <w:numId w:val="23"/>
        </w:numPr>
        <w:spacing w:before="100"/>
        <w:ind w:left="1843"/>
      </w:pPr>
      <w:r w:rsidRPr="0001259A">
        <w:rPr>
          <w:i/>
        </w:rPr>
        <w:t>Salmonella</w:t>
      </w:r>
      <w:r w:rsidRPr="0001259A">
        <w:t xml:space="preserve"> species; </w:t>
      </w:r>
    </w:p>
    <w:p w14:paraId="679C975F" w14:textId="77777777" w:rsidR="00ED509A" w:rsidRDefault="00ED509A" w:rsidP="00ED509A">
      <w:pPr>
        <w:pStyle w:val="ScheduleNote"/>
        <w:numPr>
          <w:ilvl w:val="0"/>
          <w:numId w:val="23"/>
        </w:numPr>
        <w:spacing w:before="0"/>
        <w:ind w:left="1843"/>
      </w:pPr>
      <w:r w:rsidRPr="0001259A">
        <w:t xml:space="preserve">bacteria belonging to the </w:t>
      </w:r>
      <w:r w:rsidRPr="0001259A">
        <w:rPr>
          <w:i/>
        </w:rPr>
        <w:t>Mycobacterium tuberculosis</w:t>
      </w:r>
      <w:r w:rsidRPr="0001259A">
        <w:t xml:space="preserve"> complex;</w:t>
      </w:r>
    </w:p>
    <w:p w14:paraId="7D67F6AB" w14:textId="77777777" w:rsidR="00ED509A" w:rsidRDefault="00ED509A" w:rsidP="00ED509A">
      <w:pPr>
        <w:pStyle w:val="ScheduleNote"/>
        <w:numPr>
          <w:ilvl w:val="0"/>
          <w:numId w:val="23"/>
        </w:numPr>
        <w:spacing w:before="0"/>
        <w:ind w:left="1843"/>
      </w:pPr>
      <w:r w:rsidRPr="0001259A">
        <w:rPr>
          <w:i/>
        </w:rPr>
        <w:t>Pneumocystis jirovecii</w:t>
      </w:r>
      <w:r w:rsidRPr="0001259A">
        <w:t xml:space="preserve"> and fungi </w:t>
      </w:r>
      <w:r>
        <w:t>belonging to</w:t>
      </w:r>
      <w:r w:rsidRPr="0001259A">
        <w:t xml:space="preserve"> the species </w:t>
      </w:r>
      <w:r w:rsidRPr="0001259A">
        <w:rPr>
          <w:i/>
        </w:rPr>
        <w:t>Aspergillus</w:t>
      </w:r>
      <w:r w:rsidRPr="0001259A">
        <w:t xml:space="preserve">, </w:t>
      </w:r>
      <w:r w:rsidRPr="0001259A">
        <w:rPr>
          <w:i/>
        </w:rPr>
        <w:t>Candida</w:t>
      </w:r>
      <w:r w:rsidRPr="0001259A">
        <w:t xml:space="preserve"> or </w:t>
      </w:r>
      <w:r w:rsidRPr="0001259A">
        <w:rPr>
          <w:i/>
        </w:rPr>
        <w:t>Coccidioides</w:t>
      </w:r>
      <w:r>
        <w:t>; and</w:t>
      </w:r>
    </w:p>
    <w:p w14:paraId="186EF230" w14:textId="77777777" w:rsidR="00ED509A" w:rsidRDefault="00ED509A" w:rsidP="00ED509A">
      <w:pPr>
        <w:pStyle w:val="ScheduleNote"/>
        <w:numPr>
          <w:ilvl w:val="0"/>
          <w:numId w:val="23"/>
        </w:numPr>
        <w:spacing w:before="0"/>
        <w:ind w:left="1843"/>
      </w:pPr>
      <w:proofErr w:type="gramStart"/>
      <w:r w:rsidRPr="0001259A">
        <w:t>parasites</w:t>
      </w:r>
      <w:proofErr w:type="gramEnd"/>
      <w:r w:rsidRPr="0001259A">
        <w:t xml:space="preserve"> </w:t>
      </w:r>
      <w:r w:rsidRPr="00CF48F2">
        <w:t>belonging</w:t>
      </w:r>
      <w:r w:rsidRPr="0001259A">
        <w:t xml:space="preserve"> to the genera </w:t>
      </w:r>
      <w:proofErr w:type="spellStart"/>
      <w:r w:rsidRPr="0001259A">
        <w:rPr>
          <w:i/>
        </w:rPr>
        <w:t>Echinocococcus</w:t>
      </w:r>
      <w:proofErr w:type="spellEnd"/>
      <w:r w:rsidRPr="0001259A">
        <w:t xml:space="preserve"> and </w:t>
      </w:r>
      <w:r w:rsidRPr="0001259A">
        <w:rPr>
          <w:i/>
        </w:rPr>
        <w:t>Strongyloides</w:t>
      </w:r>
      <w:r w:rsidRPr="0001259A">
        <w:t>.</w:t>
      </w:r>
    </w:p>
    <w:p w14:paraId="6C0DF726" w14:textId="77777777" w:rsidR="0001259A" w:rsidRPr="0001259A" w:rsidRDefault="0001259A" w:rsidP="0001259A">
      <w:pPr>
        <w:pStyle w:val="ScheduleNote"/>
        <w:ind w:left="1418" w:hanging="567"/>
      </w:pPr>
      <w:r>
        <w:t xml:space="preserve">Note 2: </w:t>
      </w:r>
      <w:r w:rsidRPr="0001259A">
        <w:t>Subacute thyroiditis is also known as de Quervain thyroiditis, granulomatous thyroiditis, giant cell thyroiditis or non-suppurative thyroiditis.</w:t>
      </w:r>
    </w:p>
    <w:p w14:paraId="6ECF503B" w14:textId="3009AB5F"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14:paraId="2245E923" w14:textId="77777777" w:rsidR="00885EAB" w:rsidRPr="00513D05" w:rsidRDefault="00513D05" w:rsidP="0001259A">
      <w:pPr>
        <w:pStyle w:val="SH4"/>
      </w:pPr>
      <w:r>
        <w:tab/>
      </w:r>
      <w:r w:rsidR="00885EAB" w:rsidRPr="00513D05">
        <w:t>pneumonia;</w:t>
      </w:r>
    </w:p>
    <w:p w14:paraId="6F0DA75F" w14:textId="77777777" w:rsidR="00885EAB" w:rsidRPr="00513D05" w:rsidRDefault="00885EAB" w:rsidP="0001259A">
      <w:pPr>
        <w:pStyle w:val="SH4"/>
      </w:pPr>
      <w:r w:rsidRPr="00513D05">
        <w:tab/>
        <w:t>respiratory failure;</w:t>
      </w:r>
    </w:p>
    <w:p w14:paraId="79DAE889" w14:textId="77777777" w:rsidR="00885EAB" w:rsidRPr="00513D05" w:rsidRDefault="00885EAB" w:rsidP="0001259A">
      <w:pPr>
        <w:pStyle w:val="SH4"/>
      </w:pPr>
      <w:r w:rsidRPr="00513D05">
        <w:tab/>
        <w:t>cardiac arrest;</w:t>
      </w:r>
    </w:p>
    <w:p w14:paraId="5E17C7E1" w14:textId="77777777" w:rsidR="00885EAB" w:rsidRPr="00513D05" w:rsidRDefault="00885EAB" w:rsidP="0001259A">
      <w:pPr>
        <w:pStyle w:val="SH4"/>
      </w:pPr>
      <w:r w:rsidRPr="00513D05">
        <w:tab/>
        <w:t>circulatory failure;</w:t>
      </w:r>
      <w:r w:rsidR="002376A0">
        <w:t xml:space="preserve"> or</w:t>
      </w:r>
    </w:p>
    <w:p w14:paraId="515BE32C" w14:textId="77777777" w:rsidR="00BD3334" w:rsidRPr="00BD3334" w:rsidRDefault="00885EAB" w:rsidP="0001259A">
      <w:pPr>
        <w:pStyle w:val="SH4"/>
      </w:pPr>
      <w:r w:rsidRPr="00513D05">
        <w:tab/>
      </w:r>
      <w:proofErr w:type="gramStart"/>
      <w:r w:rsidRPr="00513D05">
        <w:t>cessation</w:t>
      </w:r>
      <w:proofErr w:type="gramEnd"/>
      <w:r w:rsidRPr="00513D05">
        <w:t xml:space="preserve"> of brain function.</w:t>
      </w:r>
    </w:p>
    <w:p w14:paraId="4D26E00E" w14:textId="77777777" w:rsidR="003400BE" w:rsidRDefault="003400BE" w:rsidP="003400BE">
      <w:pPr>
        <w:pStyle w:val="SH3"/>
        <w:ind w:left="851" w:hanging="851"/>
      </w:pPr>
      <w:proofErr w:type="gramStart"/>
      <w:r w:rsidRPr="003400BE">
        <w:rPr>
          <w:b/>
          <w:i/>
        </w:rPr>
        <w:t>thyrotoxic</w:t>
      </w:r>
      <w:proofErr w:type="gramEnd"/>
      <w:r w:rsidRPr="003400BE">
        <w:rPr>
          <w:b/>
          <w:i/>
        </w:rPr>
        <w:t xml:space="preserve"> crisis</w:t>
      </w:r>
      <w:r w:rsidRPr="003400BE">
        <w:t xml:space="preserve"> means a constellation of severe and life-threatening symptoms of rapid onset in a patient with biochemical evidence of elevated thyroid hormones.  Characteristic symptoms and signs are fever, marked tachycardia, heart failure, tremor, nausea and vomiting, diarrhoea, dehydration, restlessness, extreme agitation, delirium and coma.</w:t>
      </w:r>
    </w:p>
    <w:p w14:paraId="676E6774" w14:textId="77777777" w:rsidR="002E75BD" w:rsidRDefault="002E75BD" w:rsidP="002E75BD">
      <w:pPr>
        <w:pStyle w:val="ScheduleNote"/>
      </w:pPr>
      <w:r>
        <w:t xml:space="preserve">Note 1: </w:t>
      </w:r>
      <w:r w:rsidRPr="002E75BD">
        <w:t>Thyrotoxic crisis is also known as thyroid storm.</w:t>
      </w:r>
    </w:p>
    <w:p w14:paraId="1183BC56" w14:textId="77777777" w:rsidR="002E75BD" w:rsidRPr="003400BE" w:rsidRDefault="002E75BD" w:rsidP="002E75BD">
      <w:pPr>
        <w:pStyle w:val="ScheduleNote"/>
        <w:ind w:left="1418" w:hanging="567"/>
      </w:pPr>
      <w:r>
        <w:t xml:space="preserve">Note 2: </w:t>
      </w:r>
      <w:r w:rsidRPr="002E75BD">
        <w:t>Thyrotoxic crisis may be the first presentation of undiagnosed toxic goitre or may complicate existing toxic goitre.</w:t>
      </w:r>
    </w:p>
    <w:p w14:paraId="05DCF800" w14:textId="77777777"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D0417B">
        <w:rPr>
          <w:i/>
        </w:rPr>
        <w:t>'</w:t>
      </w:r>
      <w:r w:rsidRPr="0019084F">
        <w:rPr>
          <w:i/>
        </w:rPr>
        <w:t xml:space="preserve"> Entitlements Act 1986</w:t>
      </w:r>
      <w:r w:rsidRPr="0019084F">
        <w:t>.</w:t>
      </w:r>
    </w:p>
    <w:p w14:paraId="0922D9CA" w14:textId="77777777" w:rsidR="00CF2367" w:rsidRPr="00FA33FB" w:rsidRDefault="00CF2367" w:rsidP="00CF2367"/>
    <w:p w14:paraId="1909E04B" w14:textId="77777777"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14:paraId="2AEE62C8" w14:textId="77777777" w:rsidR="00CF2367" w:rsidRPr="00FD775E" w:rsidRDefault="00CF2367" w:rsidP="00FD775E">
      <w:pPr>
        <w:tabs>
          <w:tab w:val="left" w:pos="7485"/>
        </w:tabs>
      </w:pPr>
    </w:p>
    <w:sectPr w:rsidR="00CF2367" w:rsidRP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3EE97" w14:textId="77777777" w:rsidR="008C7465" w:rsidRDefault="008C7465" w:rsidP="00715914">
      <w:pPr>
        <w:spacing w:line="240" w:lineRule="auto"/>
      </w:pPr>
      <w:r>
        <w:separator/>
      </w:r>
    </w:p>
  </w:endnote>
  <w:endnote w:type="continuationSeparator" w:id="0">
    <w:p w14:paraId="2EDF62A4"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9CF3E" w14:textId="77777777" w:rsidR="00BE28AA" w:rsidRPr="00E33C1C" w:rsidRDefault="00BE28AA" w:rsidP="00BE28AA">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BE28AA" w:rsidRPr="00C01863" w14:paraId="02DB24F4" w14:textId="77777777" w:rsidTr="005B312A">
      <w:tc>
        <w:tcPr>
          <w:tcW w:w="709" w:type="dxa"/>
          <w:tcBorders>
            <w:top w:val="nil"/>
            <w:left w:val="nil"/>
            <w:bottom w:val="nil"/>
            <w:right w:val="nil"/>
          </w:tcBorders>
          <w:shd w:val="clear" w:color="auto" w:fill="auto"/>
        </w:tcPr>
        <w:p w14:paraId="68205915" w14:textId="77777777" w:rsidR="00BE28AA" w:rsidRPr="00C01863" w:rsidRDefault="00BE28AA" w:rsidP="00BE28AA">
          <w:pPr>
            <w:spacing w:line="0" w:lineRule="atLeast"/>
            <w:rPr>
              <w:sz w:val="18"/>
            </w:rPr>
          </w:pPr>
        </w:p>
      </w:tc>
      <w:tc>
        <w:tcPr>
          <w:tcW w:w="7088" w:type="dxa"/>
          <w:tcBorders>
            <w:top w:val="nil"/>
            <w:left w:val="nil"/>
            <w:bottom w:val="nil"/>
            <w:right w:val="nil"/>
          </w:tcBorders>
          <w:shd w:val="clear" w:color="auto" w:fill="auto"/>
        </w:tcPr>
        <w:p w14:paraId="3C06797C" w14:textId="77777777" w:rsidR="00BE28AA" w:rsidRDefault="00BE28AA" w:rsidP="00BE28AA">
          <w:pPr>
            <w:spacing w:line="0" w:lineRule="atLeast"/>
            <w:jc w:val="center"/>
            <w:rPr>
              <w:i/>
              <w:sz w:val="18"/>
            </w:rPr>
          </w:pPr>
          <w:r w:rsidRPr="007C5CE0">
            <w:rPr>
              <w:i/>
              <w:sz w:val="18"/>
            </w:rPr>
            <w:t>Statement of Principles concerning</w:t>
          </w:r>
        </w:p>
        <w:p w14:paraId="5F6F5161" w14:textId="4E48F269" w:rsidR="00BE28AA" w:rsidRDefault="00DB3E69" w:rsidP="00BE28AA">
          <w:pPr>
            <w:spacing w:line="0" w:lineRule="atLeast"/>
            <w:jc w:val="center"/>
            <w:rPr>
              <w:i/>
              <w:sz w:val="18"/>
              <w:szCs w:val="18"/>
            </w:rPr>
          </w:pPr>
          <w:r w:rsidRPr="00DB3E69">
            <w:rPr>
              <w:i/>
              <w:sz w:val="18"/>
              <w:szCs w:val="18"/>
            </w:rPr>
            <w:t>Goitre</w:t>
          </w:r>
          <w:r w:rsidR="00BE28AA">
            <w:rPr>
              <w:i/>
              <w:sz w:val="18"/>
              <w:szCs w:val="18"/>
            </w:rPr>
            <w:t xml:space="preserve"> (Reasonable Hypothesis) </w:t>
          </w:r>
          <w:r w:rsidR="00BE28AA" w:rsidRPr="007C5CE0">
            <w:rPr>
              <w:i/>
              <w:sz w:val="18"/>
            </w:rPr>
            <w:t xml:space="preserve">(No. </w:t>
          </w:r>
          <w:r w:rsidR="00D949E5" w:rsidRPr="00D949E5">
            <w:rPr>
              <w:i/>
              <w:sz w:val="18"/>
              <w:szCs w:val="18"/>
            </w:rPr>
            <w:t>9</w:t>
          </w:r>
          <w:r w:rsidR="00BE28AA" w:rsidRPr="007C5CE0">
            <w:rPr>
              <w:i/>
              <w:sz w:val="18"/>
              <w:szCs w:val="18"/>
            </w:rPr>
            <w:t xml:space="preserve"> of </w:t>
          </w:r>
          <w:r w:rsidR="00D949E5" w:rsidRPr="00D949E5">
            <w:rPr>
              <w:i/>
              <w:sz w:val="18"/>
              <w:szCs w:val="18"/>
            </w:rPr>
            <w:t>2022</w:t>
          </w:r>
          <w:r w:rsidR="00BE28AA" w:rsidRPr="007C5CE0">
            <w:rPr>
              <w:i/>
              <w:sz w:val="18"/>
              <w:szCs w:val="18"/>
            </w:rPr>
            <w:t>)</w:t>
          </w:r>
        </w:p>
        <w:p w14:paraId="4C91CD14" w14:textId="77777777" w:rsidR="00BE28AA" w:rsidRPr="007C5CE0" w:rsidRDefault="00BE28AA" w:rsidP="00BE28AA">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14:paraId="1075661D" w14:textId="5430FA06" w:rsidR="00BE28AA" w:rsidRPr="00C01863" w:rsidRDefault="00BE28AA" w:rsidP="00BE28AA">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45A45">
            <w:rPr>
              <w:i/>
              <w:noProof/>
              <w:sz w:val="18"/>
            </w:rPr>
            <w:t>5</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45A45">
            <w:rPr>
              <w:i/>
              <w:noProof/>
              <w:sz w:val="18"/>
            </w:rPr>
            <w:t>10</w:t>
          </w:r>
          <w:r>
            <w:rPr>
              <w:i/>
              <w:sz w:val="18"/>
            </w:rPr>
            <w:fldChar w:fldCharType="end"/>
          </w:r>
        </w:p>
      </w:tc>
    </w:tr>
  </w:tbl>
  <w:p w14:paraId="2C2563E2" w14:textId="77777777" w:rsidR="00F03C06" w:rsidRPr="00BE28AA" w:rsidRDefault="00F03C06" w:rsidP="00BE2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A628E" w14:textId="77777777" w:rsidR="00BE28AA" w:rsidRPr="00E33C1C" w:rsidRDefault="00BE28AA" w:rsidP="00BE28AA">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BE28AA" w:rsidRPr="00C01863" w14:paraId="26FABFD6" w14:textId="77777777" w:rsidTr="005B312A">
      <w:tc>
        <w:tcPr>
          <w:tcW w:w="709" w:type="dxa"/>
          <w:tcBorders>
            <w:top w:val="nil"/>
            <w:left w:val="nil"/>
            <w:bottom w:val="nil"/>
            <w:right w:val="nil"/>
          </w:tcBorders>
          <w:shd w:val="clear" w:color="auto" w:fill="auto"/>
        </w:tcPr>
        <w:p w14:paraId="0643C76B" w14:textId="77777777" w:rsidR="00BE28AA" w:rsidRPr="00C01863" w:rsidRDefault="00BE28AA" w:rsidP="00BE28AA">
          <w:pPr>
            <w:spacing w:line="0" w:lineRule="atLeast"/>
            <w:rPr>
              <w:sz w:val="18"/>
            </w:rPr>
          </w:pPr>
        </w:p>
      </w:tc>
      <w:tc>
        <w:tcPr>
          <w:tcW w:w="7088" w:type="dxa"/>
          <w:tcBorders>
            <w:top w:val="nil"/>
            <w:left w:val="nil"/>
            <w:bottom w:val="nil"/>
            <w:right w:val="nil"/>
          </w:tcBorders>
          <w:shd w:val="clear" w:color="auto" w:fill="auto"/>
        </w:tcPr>
        <w:p w14:paraId="71460193" w14:textId="77777777" w:rsidR="00BE28AA" w:rsidRDefault="00BE28AA" w:rsidP="00BE28AA">
          <w:pPr>
            <w:spacing w:line="0" w:lineRule="atLeast"/>
            <w:jc w:val="center"/>
            <w:rPr>
              <w:i/>
              <w:sz w:val="18"/>
            </w:rPr>
          </w:pPr>
          <w:r w:rsidRPr="007C5CE0">
            <w:rPr>
              <w:i/>
              <w:sz w:val="18"/>
            </w:rPr>
            <w:t>Statement of Principles concerning</w:t>
          </w:r>
        </w:p>
        <w:p w14:paraId="25B75CF7" w14:textId="08C643F5" w:rsidR="00BE28AA" w:rsidRDefault="00DB3E69" w:rsidP="00BE28AA">
          <w:pPr>
            <w:spacing w:line="0" w:lineRule="atLeast"/>
            <w:jc w:val="center"/>
            <w:rPr>
              <w:i/>
              <w:sz w:val="18"/>
              <w:szCs w:val="18"/>
            </w:rPr>
          </w:pPr>
          <w:r w:rsidRPr="00DB3E69">
            <w:rPr>
              <w:i/>
              <w:sz w:val="18"/>
              <w:szCs w:val="18"/>
            </w:rPr>
            <w:t>Goitre</w:t>
          </w:r>
          <w:r w:rsidR="00BE28AA">
            <w:rPr>
              <w:i/>
              <w:sz w:val="18"/>
              <w:szCs w:val="18"/>
            </w:rPr>
            <w:t xml:space="preserve"> (Reasonable Hypothesis) </w:t>
          </w:r>
          <w:r w:rsidR="00BE28AA" w:rsidRPr="007C5CE0">
            <w:rPr>
              <w:i/>
              <w:sz w:val="18"/>
            </w:rPr>
            <w:t xml:space="preserve">(No. </w:t>
          </w:r>
          <w:r w:rsidR="00D949E5" w:rsidRPr="00D949E5">
            <w:rPr>
              <w:i/>
              <w:sz w:val="18"/>
              <w:szCs w:val="18"/>
            </w:rPr>
            <w:t>9</w:t>
          </w:r>
          <w:r w:rsidR="00BE28AA" w:rsidRPr="007C5CE0">
            <w:rPr>
              <w:i/>
              <w:sz w:val="18"/>
              <w:szCs w:val="18"/>
            </w:rPr>
            <w:t xml:space="preserve"> of </w:t>
          </w:r>
          <w:r w:rsidR="00D949E5" w:rsidRPr="00D949E5">
            <w:rPr>
              <w:i/>
              <w:sz w:val="18"/>
              <w:szCs w:val="18"/>
            </w:rPr>
            <w:t>2022</w:t>
          </w:r>
          <w:r w:rsidR="00BE28AA" w:rsidRPr="007C5CE0">
            <w:rPr>
              <w:i/>
              <w:sz w:val="18"/>
              <w:szCs w:val="18"/>
            </w:rPr>
            <w:t>)</w:t>
          </w:r>
        </w:p>
        <w:p w14:paraId="06762D40" w14:textId="77777777" w:rsidR="00BE28AA" w:rsidRPr="007C5CE0" w:rsidRDefault="00BE28AA" w:rsidP="00BE28AA">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14:paraId="7EB2A898" w14:textId="5397E208" w:rsidR="00BE28AA" w:rsidRPr="00C01863" w:rsidRDefault="00BE28AA" w:rsidP="00BE28AA">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45A45">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45A45">
            <w:rPr>
              <w:i/>
              <w:noProof/>
              <w:sz w:val="18"/>
            </w:rPr>
            <w:t>10</w:t>
          </w:r>
          <w:r>
            <w:rPr>
              <w:i/>
              <w:sz w:val="18"/>
            </w:rPr>
            <w:fldChar w:fldCharType="end"/>
          </w:r>
        </w:p>
      </w:tc>
    </w:tr>
  </w:tbl>
  <w:p w14:paraId="7C9E4EE1" w14:textId="77777777" w:rsidR="007F2378" w:rsidRPr="00BE28AA" w:rsidRDefault="007F2378" w:rsidP="00BE28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7D422" w14:textId="77777777" w:rsidR="00997416" w:rsidRPr="00BE28AA" w:rsidRDefault="00997416" w:rsidP="00BE28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F371D" w14:textId="77777777" w:rsidR="00885EAB" w:rsidRPr="00A66A6F" w:rsidRDefault="00885EAB" w:rsidP="00A66A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69FB0" w14:textId="77777777"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ABAE3" w14:textId="77777777" w:rsidR="00885EAB" w:rsidRPr="00BE28AA" w:rsidRDefault="00885EAB" w:rsidP="00BE28A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EB6FC" w14:textId="77777777" w:rsidR="00885EAB" w:rsidRPr="00BE28AA" w:rsidRDefault="00885EAB" w:rsidP="00BE2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0CC32" w14:textId="77777777" w:rsidR="008C7465" w:rsidRDefault="008C7465" w:rsidP="00715914">
      <w:pPr>
        <w:spacing w:line="240" w:lineRule="auto"/>
      </w:pPr>
      <w:r>
        <w:separator/>
      </w:r>
    </w:p>
  </w:footnote>
  <w:footnote w:type="continuationSeparator" w:id="0">
    <w:p w14:paraId="72CED7A3"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8E893" w14:textId="77777777" w:rsidR="00885EAB" w:rsidRPr="00BE28AA" w:rsidRDefault="00885EAB" w:rsidP="00BE2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09A9A" w14:textId="77777777" w:rsidR="00BE28AA" w:rsidRDefault="00BE28AA" w:rsidP="00BE28AA">
    <w:pPr>
      <w:rPr>
        <w:sz w:val="20"/>
      </w:rPr>
    </w:pPr>
    <w:r>
      <w:rPr>
        <w:b/>
        <w:noProof/>
        <w:sz w:val="20"/>
      </w:rPr>
      <w:t>Schedule 1</w:t>
    </w:r>
    <w:r>
      <w:rPr>
        <w:sz w:val="20"/>
      </w:rPr>
      <w:t xml:space="preserve"> - </w:t>
    </w:r>
    <w:r>
      <w:rPr>
        <w:noProof/>
        <w:sz w:val="20"/>
      </w:rPr>
      <w:t>Dictionary</w:t>
    </w:r>
  </w:p>
  <w:p w14:paraId="6417CCFA" w14:textId="77777777" w:rsidR="00BE28AA" w:rsidRDefault="00BE28AA" w:rsidP="00BE28AA">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8C591" w14:textId="77777777"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D516D" w14:textId="77777777" w:rsidR="00885EAB" w:rsidRPr="00BE28AA" w:rsidRDefault="00885EAB" w:rsidP="00BE28A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9B865" w14:textId="77777777" w:rsidR="00885EAB" w:rsidRPr="00BE28AA" w:rsidRDefault="00885EAB" w:rsidP="00BE28A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1B48A"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C9CC252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0FBD061D"/>
    <w:multiLevelType w:val="hybridMultilevel"/>
    <w:tmpl w:val="2C0AD12C"/>
    <w:lvl w:ilvl="0" w:tplc="DBF03226">
      <w:start w:val="1"/>
      <w:numFmt w:val="low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3" w15:restartNumberingAfterBreak="0">
    <w:nsid w:val="2B1A4159"/>
    <w:multiLevelType w:val="hybridMultilevel"/>
    <w:tmpl w:val="66CC3D8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5" w15:restartNumberingAfterBreak="0">
    <w:nsid w:val="31CF0228"/>
    <w:multiLevelType w:val="multilevel"/>
    <w:tmpl w:val="90520854"/>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6"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60B95976"/>
    <w:multiLevelType w:val="hybridMultilevel"/>
    <w:tmpl w:val="5C4437FE"/>
    <w:lvl w:ilvl="0" w:tplc="6428AE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4"/>
  </w:num>
  <w:num w:numId="3">
    <w:abstractNumId w:val="11"/>
  </w:num>
  <w:num w:numId="4">
    <w:abstractNumId w:val="10"/>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0"/>
  </w:num>
  <w:num w:numId="22">
    <w:abstractNumId w:val="13"/>
  </w:num>
  <w:num w:numId="2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0E52"/>
    <w:rsid w:val="00001EAA"/>
    <w:rsid w:val="00004470"/>
    <w:rsid w:val="0001259A"/>
    <w:rsid w:val="000136AF"/>
    <w:rsid w:val="00013D3A"/>
    <w:rsid w:val="0001587D"/>
    <w:rsid w:val="00021CE7"/>
    <w:rsid w:val="00024911"/>
    <w:rsid w:val="00032062"/>
    <w:rsid w:val="00032E05"/>
    <w:rsid w:val="000437C1"/>
    <w:rsid w:val="00046B3C"/>
    <w:rsid w:val="00046E67"/>
    <w:rsid w:val="00051B75"/>
    <w:rsid w:val="0005365D"/>
    <w:rsid w:val="000539B6"/>
    <w:rsid w:val="00054930"/>
    <w:rsid w:val="000614BF"/>
    <w:rsid w:val="00061E3E"/>
    <w:rsid w:val="00081B7C"/>
    <w:rsid w:val="00085567"/>
    <w:rsid w:val="0008674F"/>
    <w:rsid w:val="00086762"/>
    <w:rsid w:val="00097FDF"/>
    <w:rsid w:val="000A3D68"/>
    <w:rsid w:val="000B1350"/>
    <w:rsid w:val="000B58FA"/>
    <w:rsid w:val="000C21A3"/>
    <w:rsid w:val="000C664A"/>
    <w:rsid w:val="000C6D96"/>
    <w:rsid w:val="000D05EF"/>
    <w:rsid w:val="000D0A7E"/>
    <w:rsid w:val="000D4D03"/>
    <w:rsid w:val="000E2261"/>
    <w:rsid w:val="000E4183"/>
    <w:rsid w:val="000F21C1"/>
    <w:rsid w:val="000F76FA"/>
    <w:rsid w:val="00101F89"/>
    <w:rsid w:val="001058EA"/>
    <w:rsid w:val="0010745C"/>
    <w:rsid w:val="001327DB"/>
    <w:rsid w:val="00132CEB"/>
    <w:rsid w:val="0013739D"/>
    <w:rsid w:val="00137D25"/>
    <w:rsid w:val="00137FE9"/>
    <w:rsid w:val="00142B62"/>
    <w:rsid w:val="0015201F"/>
    <w:rsid w:val="001549AE"/>
    <w:rsid w:val="00154F46"/>
    <w:rsid w:val="00157B8B"/>
    <w:rsid w:val="00161A8E"/>
    <w:rsid w:val="001648F7"/>
    <w:rsid w:val="00166C2F"/>
    <w:rsid w:val="00167E0C"/>
    <w:rsid w:val="001809D7"/>
    <w:rsid w:val="001833C8"/>
    <w:rsid w:val="00187CA8"/>
    <w:rsid w:val="00187DE1"/>
    <w:rsid w:val="0019084F"/>
    <w:rsid w:val="001939E1"/>
    <w:rsid w:val="00194C3E"/>
    <w:rsid w:val="00195382"/>
    <w:rsid w:val="001A0BF4"/>
    <w:rsid w:val="001A1438"/>
    <w:rsid w:val="001A3746"/>
    <w:rsid w:val="001B0F26"/>
    <w:rsid w:val="001C2AD2"/>
    <w:rsid w:val="001C61C5"/>
    <w:rsid w:val="001C69C4"/>
    <w:rsid w:val="001C77EE"/>
    <w:rsid w:val="001D0699"/>
    <w:rsid w:val="001D2262"/>
    <w:rsid w:val="001D37EF"/>
    <w:rsid w:val="001D407A"/>
    <w:rsid w:val="001D67F6"/>
    <w:rsid w:val="001E3590"/>
    <w:rsid w:val="001E44BE"/>
    <w:rsid w:val="001E7407"/>
    <w:rsid w:val="001F5D5E"/>
    <w:rsid w:val="001F6219"/>
    <w:rsid w:val="001F6CD4"/>
    <w:rsid w:val="00201530"/>
    <w:rsid w:val="00206C4D"/>
    <w:rsid w:val="0021006C"/>
    <w:rsid w:val="0021053C"/>
    <w:rsid w:val="002109B9"/>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0B57"/>
    <w:rsid w:val="00281308"/>
    <w:rsid w:val="00281DF7"/>
    <w:rsid w:val="00284719"/>
    <w:rsid w:val="00285992"/>
    <w:rsid w:val="00297ECB"/>
    <w:rsid w:val="002A1ECC"/>
    <w:rsid w:val="002A3353"/>
    <w:rsid w:val="002A3436"/>
    <w:rsid w:val="002A7BCF"/>
    <w:rsid w:val="002B45FA"/>
    <w:rsid w:val="002B5188"/>
    <w:rsid w:val="002C7539"/>
    <w:rsid w:val="002D043A"/>
    <w:rsid w:val="002D2AA2"/>
    <w:rsid w:val="002D6224"/>
    <w:rsid w:val="002E35CD"/>
    <w:rsid w:val="002E3F4B"/>
    <w:rsid w:val="002E75BD"/>
    <w:rsid w:val="002F3C1B"/>
    <w:rsid w:val="002F5948"/>
    <w:rsid w:val="002F77A1"/>
    <w:rsid w:val="00301C54"/>
    <w:rsid w:val="00304166"/>
    <w:rsid w:val="00304D22"/>
    <w:rsid w:val="00304F8B"/>
    <w:rsid w:val="0031709F"/>
    <w:rsid w:val="0033221D"/>
    <w:rsid w:val="003354D2"/>
    <w:rsid w:val="00335BC6"/>
    <w:rsid w:val="003400BE"/>
    <w:rsid w:val="003415D3"/>
    <w:rsid w:val="00344701"/>
    <w:rsid w:val="00352B0F"/>
    <w:rsid w:val="00356690"/>
    <w:rsid w:val="00360459"/>
    <w:rsid w:val="00365E25"/>
    <w:rsid w:val="00366FA0"/>
    <w:rsid w:val="003734C6"/>
    <w:rsid w:val="003746D1"/>
    <w:rsid w:val="00375BB3"/>
    <w:rsid w:val="003802D6"/>
    <w:rsid w:val="00383536"/>
    <w:rsid w:val="00385187"/>
    <w:rsid w:val="00397ADF"/>
    <w:rsid w:val="003A189F"/>
    <w:rsid w:val="003A2FFE"/>
    <w:rsid w:val="003A5C26"/>
    <w:rsid w:val="003B3E42"/>
    <w:rsid w:val="003C4C02"/>
    <w:rsid w:val="003C6231"/>
    <w:rsid w:val="003D0BFE"/>
    <w:rsid w:val="003D380A"/>
    <w:rsid w:val="003D5700"/>
    <w:rsid w:val="003E341B"/>
    <w:rsid w:val="003F03F8"/>
    <w:rsid w:val="003F39C0"/>
    <w:rsid w:val="003F4535"/>
    <w:rsid w:val="003F4B61"/>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5159"/>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7BEC"/>
    <w:rsid w:val="004F23E0"/>
    <w:rsid w:val="0050244A"/>
    <w:rsid w:val="00505D3D"/>
    <w:rsid w:val="00506AF6"/>
    <w:rsid w:val="00513D05"/>
    <w:rsid w:val="00516768"/>
    <w:rsid w:val="00516B8D"/>
    <w:rsid w:val="005226B5"/>
    <w:rsid w:val="005268CF"/>
    <w:rsid w:val="0053697E"/>
    <w:rsid w:val="00537035"/>
    <w:rsid w:val="00537FBC"/>
    <w:rsid w:val="00545116"/>
    <w:rsid w:val="0055059E"/>
    <w:rsid w:val="0055330F"/>
    <w:rsid w:val="005574D1"/>
    <w:rsid w:val="005657F8"/>
    <w:rsid w:val="005676E6"/>
    <w:rsid w:val="00571FBB"/>
    <w:rsid w:val="00575A90"/>
    <w:rsid w:val="00584811"/>
    <w:rsid w:val="00585784"/>
    <w:rsid w:val="00587873"/>
    <w:rsid w:val="00593AA6"/>
    <w:rsid w:val="00594161"/>
    <w:rsid w:val="00594749"/>
    <w:rsid w:val="005B05D3"/>
    <w:rsid w:val="005B312A"/>
    <w:rsid w:val="005B4067"/>
    <w:rsid w:val="005C3F41"/>
    <w:rsid w:val="005C74AC"/>
    <w:rsid w:val="005C7B57"/>
    <w:rsid w:val="005D2D09"/>
    <w:rsid w:val="005D6D98"/>
    <w:rsid w:val="005E26FD"/>
    <w:rsid w:val="005E589B"/>
    <w:rsid w:val="005E7FC2"/>
    <w:rsid w:val="005F4EDC"/>
    <w:rsid w:val="00600219"/>
    <w:rsid w:val="006013B7"/>
    <w:rsid w:val="00603D01"/>
    <w:rsid w:val="00603DC4"/>
    <w:rsid w:val="00615B89"/>
    <w:rsid w:val="00616FF5"/>
    <w:rsid w:val="00617C4E"/>
    <w:rsid w:val="00620076"/>
    <w:rsid w:val="006314DD"/>
    <w:rsid w:val="00645A45"/>
    <w:rsid w:val="0066266D"/>
    <w:rsid w:val="006647B7"/>
    <w:rsid w:val="00667A4E"/>
    <w:rsid w:val="00670EA1"/>
    <w:rsid w:val="00677CC2"/>
    <w:rsid w:val="006840B0"/>
    <w:rsid w:val="00684C0E"/>
    <w:rsid w:val="006905DE"/>
    <w:rsid w:val="0069207B"/>
    <w:rsid w:val="0069220C"/>
    <w:rsid w:val="00694DAE"/>
    <w:rsid w:val="00695023"/>
    <w:rsid w:val="00695EFE"/>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3B76"/>
    <w:rsid w:val="00704703"/>
    <w:rsid w:val="007050A2"/>
    <w:rsid w:val="00705F40"/>
    <w:rsid w:val="00710EAC"/>
    <w:rsid w:val="00713084"/>
    <w:rsid w:val="007142FB"/>
    <w:rsid w:val="00714F20"/>
    <w:rsid w:val="0071590F"/>
    <w:rsid w:val="00715914"/>
    <w:rsid w:val="007178AB"/>
    <w:rsid w:val="00726366"/>
    <w:rsid w:val="00731E00"/>
    <w:rsid w:val="00733269"/>
    <w:rsid w:val="007413F3"/>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2F4E"/>
    <w:rsid w:val="00783E89"/>
    <w:rsid w:val="007904DB"/>
    <w:rsid w:val="00793915"/>
    <w:rsid w:val="007973D1"/>
    <w:rsid w:val="007A15B1"/>
    <w:rsid w:val="007A3989"/>
    <w:rsid w:val="007B132E"/>
    <w:rsid w:val="007C2253"/>
    <w:rsid w:val="007C5CE0"/>
    <w:rsid w:val="007C627D"/>
    <w:rsid w:val="007C7DEE"/>
    <w:rsid w:val="007D3BA2"/>
    <w:rsid w:val="007D7FD2"/>
    <w:rsid w:val="007E163D"/>
    <w:rsid w:val="007E667A"/>
    <w:rsid w:val="007F2378"/>
    <w:rsid w:val="007F28C9"/>
    <w:rsid w:val="00803587"/>
    <w:rsid w:val="00806368"/>
    <w:rsid w:val="008117E9"/>
    <w:rsid w:val="00824498"/>
    <w:rsid w:val="008321ED"/>
    <w:rsid w:val="00832C32"/>
    <w:rsid w:val="00841272"/>
    <w:rsid w:val="00842EA3"/>
    <w:rsid w:val="00850A63"/>
    <w:rsid w:val="0085384C"/>
    <w:rsid w:val="00856A31"/>
    <w:rsid w:val="0086644D"/>
    <w:rsid w:val="00867ABD"/>
    <w:rsid w:val="00867B37"/>
    <w:rsid w:val="00873081"/>
    <w:rsid w:val="008754D0"/>
    <w:rsid w:val="00877AE3"/>
    <w:rsid w:val="00877E65"/>
    <w:rsid w:val="008855C9"/>
    <w:rsid w:val="00885EAB"/>
    <w:rsid w:val="00886456"/>
    <w:rsid w:val="008A46E1"/>
    <w:rsid w:val="008A4F43"/>
    <w:rsid w:val="008B170B"/>
    <w:rsid w:val="008B2204"/>
    <w:rsid w:val="008B2706"/>
    <w:rsid w:val="008C7465"/>
    <w:rsid w:val="008D0EE0"/>
    <w:rsid w:val="008D16D3"/>
    <w:rsid w:val="008D1B8B"/>
    <w:rsid w:val="008E3F25"/>
    <w:rsid w:val="008E6067"/>
    <w:rsid w:val="008E76DC"/>
    <w:rsid w:val="008F48EC"/>
    <w:rsid w:val="008F4A11"/>
    <w:rsid w:val="008F54E7"/>
    <w:rsid w:val="008F572A"/>
    <w:rsid w:val="0090262E"/>
    <w:rsid w:val="00903422"/>
    <w:rsid w:val="00904761"/>
    <w:rsid w:val="009056AF"/>
    <w:rsid w:val="00912B55"/>
    <w:rsid w:val="00915DF9"/>
    <w:rsid w:val="00923098"/>
    <w:rsid w:val="009254C3"/>
    <w:rsid w:val="00925CA9"/>
    <w:rsid w:val="00932377"/>
    <w:rsid w:val="00941893"/>
    <w:rsid w:val="00947D5A"/>
    <w:rsid w:val="009532A5"/>
    <w:rsid w:val="00956922"/>
    <w:rsid w:val="009612CF"/>
    <w:rsid w:val="00971FEF"/>
    <w:rsid w:val="009724F4"/>
    <w:rsid w:val="00973808"/>
    <w:rsid w:val="00982242"/>
    <w:rsid w:val="00984EE9"/>
    <w:rsid w:val="009868E9"/>
    <w:rsid w:val="00997416"/>
    <w:rsid w:val="009A4373"/>
    <w:rsid w:val="009A7FBD"/>
    <w:rsid w:val="009B5A4E"/>
    <w:rsid w:val="009C2B65"/>
    <w:rsid w:val="009C2DD5"/>
    <w:rsid w:val="009C404D"/>
    <w:rsid w:val="009D0D6D"/>
    <w:rsid w:val="009D6BB0"/>
    <w:rsid w:val="009E5CFC"/>
    <w:rsid w:val="00A06E7A"/>
    <w:rsid w:val="00A079CB"/>
    <w:rsid w:val="00A11C0D"/>
    <w:rsid w:val="00A12128"/>
    <w:rsid w:val="00A137F8"/>
    <w:rsid w:val="00A20CA1"/>
    <w:rsid w:val="00A20FDB"/>
    <w:rsid w:val="00A22C98"/>
    <w:rsid w:val="00A231E2"/>
    <w:rsid w:val="00A30CE8"/>
    <w:rsid w:val="00A515BC"/>
    <w:rsid w:val="00A52ACF"/>
    <w:rsid w:val="00A56C3D"/>
    <w:rsid w:val="00A6070D"/>
    <w:rsid w:val="00A64912"/>
    <w:rsid w:val="00A64BA1"/>
    <w:rsid w:val="00A66A6F"/>
    <w:rsid w:val="00A70A74"/>
    <w:rsid w:val="00A7402A"/>
    <w:rsid w:val="00A77E0D"/>
    <w:rsid w:val="00A931D7"/>
    <w:rsid w:val="00AA64D6"/>
    <w:rsid w:val="00AA6D8B"/>
    <w:rsid w:val="00AA7E81"/>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43654"/>
    <w:rsid w:val="00B50826"/>
    <w:rsid w:val="00B50ADC"/>
    <w:rsid w:val="00B527C0"/>
    <w:rsid w:val="00B566B1"/>
    <w:rsid w:val="00B63834"/>
    <w:rsid w:val="00B664A3"/>
    <w:rsid w:val="00B67ED1"/>
    <w:rsid w:val="00B72734"/>
    <w:rsid w:val="00B72A5E"/>
    <w:rsid w:val="00B80199"/>
    <w:rsid w:val="00B83204"/>
    <w:rsid w:val="00B833B0"/>
    <w:rsid w:val="00B846A0"/>
    <w:rsid w:val="00B90372"/>
    <w:rsid w:val="00B90B8D"/>
    <w:rsid w:val="00B92A80"/>
    <w:rsid w:val="00B933A7"/>
    <w:rsid w:val="00B93894"/>
    <w:rsid w:val="00BA220B"/>
    <w:rsid w:val="00BA3A57"/>
    <w:rsid w:val="00BA691F"/>
    <w:rsid w:val="00BB040B"/>
    <w:rsid w:val="00BB4E1A"/>
    <w:rsid w:val="00BB78C9"/>
    <w:rsid w:val="00BC015E"/>
    <w:rsid w:val="00BC74D8"/>
    <w:rsid w:val="00BC76AC"/>
    <w:rsid w:val="00BD0ECB"/>
    <w:rsid w:val="00BD3334"/>
    <w:rsid w:val="00BD5C93"/>
    <w:rsid w:val="00BD6787"/>
    <w:rsid w:val="00BE2155"/>
    <w:rsid w:val="00BE2213"/>
    <w:rsid w:val="00BE28AA"/>
    <w:rsid w:val="00BE524A"/>
    <w:rsid w:val="00BE6EDA"/>
    <w:rsid w:val="00BE719A"/>
    <w:rsid w:val="00BE720A"/>
    <w:rsid w:val="00BF0D73"/>
    <w:rsid w:val="00BF2465"/>
    <w:rsid w:val="00BF43B4"/>
    <w:rsid w:val="00BF525F"/>
    <w:rsid w:val="00C01863"/>
    <w:rsid w:val="00C11D03"/>
    <w:rsid w:val="00C25E7F"/>
    <w:rsid w:val="00C2746F"/>
    <w:rsid w:val="00C31DF8"/>
    <w:rsid w:val="00C324A0"/>
    <w:rsid w:val="00C3300F"/>
    <w:rsid w:val="00C349C5"/>
    <w:rsid w:val="00C3520D"/>
    <w:rsid w:val="00C42BF8"/>
    <w:rsid w:val="00C50043"/>
    <w:rsid w:val="00C5731E"/>
    <w:rsid w:val="00C670B0"/>
    <w:rsid w:val="00C738B9"/>
    <w:rsid w:val="00C7573B"/>
    <w:rsid w:val="00C77046"/>
    <w:rsid w:val="00C93C03"/>
    <w:rsid w:val="00C960D6"/>
    <w:rsid w:val="00C96667"/>
    <w:rsid w:val="00C9794D"/>
    <w:rsid w:val="00CA61BB"/>
    <w:rsid w:val="00CA7414"/>
    <w:rsid w:val="00CB1DCB"/>
    <w:rsid w:val="00CB2C8E"/>
    <w:rsid w:val="00CB602E"/>
    <w:rsid w:val="00CC7039"/>
    <w:rsid w:val="00CD7B88"/>
    <w:rsid w:val="00CE051D"/>
    <w:rsid w:val="00CE0C53"/>
    <w:rsid w:val="00CE1335"/>
    <w:rsid w:val="00CE493D"/>
    <w:rsid w:val="00CF07FA"/>
    <w:rsid w:val="00CF0BB2"/>
    <w:rsid w:val="00CF2367"/>
    <w:rsid w:val="00CF3EE8"/>
    <w:rsid w:val="00D0417B"/>
    <w:rsid w:val="00D050E6"/>
    <w:rsid w:val="00D13441"/>
    <w:rsid w:val="00D150E7"/>
    <w:rsid w:val="00D15648"/>
    <w:rsid w:val="00D268C6"/>
    <w:rsid w:val="00D32F65"/>
    <w:rsid w:val="00D32F71"/>
    <w:rsid w:val="00D377E3"/>
    <w:rsid w:val="00D41817"/>
    <w:rsid w:val="00D50484"/>
    <w:rsid w:val="00D527C9"/>
    <w:rsid w:val="00D52DC2"/>
    <w:rsid w:val="00D53BCC"/>
    <w:rsid w:val="00D5599D"/>
    <w:rsid w:val="00D5620B"/>
    <w:rsid w:val="00D60FC8"/>
    <w:rsid w:val="00D70DFB"/>
    <w:rsid w:val="00D71633"/>
    <w:rsid w:val="00D766DF"/>
    <w:rsid w:val="00D93DA9"/>
    <w:rsid w:val="00D94857"/>
    <w:rsid w:val="00D949E5"/>
    <w:rsid w:val="00D95A3D"/>
    <w:rsid w:val="00D96383"/>
    <w:rsid w:val="00D97BB3"/>
    <w:rsid w:val="00DA186E"/>
    <w:rsid w:val="00DA3996"/>
    <w:rsid w:val="00DA4116"/>
    <w:rsid w:val="00DA7AC0"/>
    <w:rsid w:val="00DB15BB"/>
    <w:rsid w:val="00DB251C"/>
    <w:rsid w:val="00DB3E69"/>
    <w:rsid w:val="00DB3F17"/>
    <w:rsid w:val="00DB4162"/>
    <w:rsid w:val="00DB4630"/>
    <w:rsid w:val="00DC4F88"/>
    <w:rsid w:val="00DC6462"/>
    <w:rsid w:val="00DD2B43"/>
    <w:rsid w:val="00DD31AB"/>
    <w:rsid w:val="00DE587E"/>
    <w:rsid w:val="00DE59B7"/>
    <w:rsid w:val="00DF24DC"/>
    <w:rsid w:val="00DF5291"/>
    <w:rsid w:val="00DF6A21"/>
    <w:rsid w:val="00DF6D11"/>
    <w:rsid w:val="00E036A1"/>
    <w:rsid w:val="00E05704"/>
    <w:rsid w:val="00E11E44"/>
    <w:rsid w:val="00E31B09"/>
    <w:rsid w:val="00E3270E"/>
    <w:rsid w:val="00E338EF"/>
    <w:rsid w:val="00E35C4E"/>
    <w:rsid w:val="00E544BB"/>
    <w:rsid w:val="00E55F66"/>
    <w:rsid w:val="00E64EE4"/>
    <w:rsid w:val="00E65BB9"/>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D509A"/>
    <w:rsid w:val="00EE4950"/>
    <w:rsid w:val="00EF2E3A"/>
    <w:rsid w:val="00EF3EC1"/>
    <w:rsid w:val="00F03C06"/>
    <w:rsid w:val="00F072A7"/>
    <w:rsid w:val="00F078DC"/>
    <w:rsid w:val="00F32BA8"/>
    <w:rsid w:val="00F349F1"/>
    <w:rsid w:val="00F4350D"/>
    <w:rsid w:val="00F52A64"/>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A54A3"/>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08446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5D6D98"/>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5D6D98"/>
    <w:pPr>
      <w:numPr>
        <w:numId w:val="4"/>
      </w:numPr>
      <w:spacing w:before="200" w:line="280" w:lineRule="atLeast"/>
      <w:ind w:left="851"/>
      <w:outlineLvl w:val="1"/>
    </w:pPr>
    <w:rPr>
      <w:b/>
      <w:sz w:val="24"/>
      <w:szCs w:val="24"/>
      <w:lang w:eastAsia="en-US"/>
    </w:rPr>
  </w:style>
  <w:style w:type="paragraph" w:customStyle="1" w:styleId="LV2">
    <w:name w:val="LV 2"/>
    <w:basedOn w:val="PlainIndent"/>
    <w:autoRedefine/>
    <w:qFormat/>
    <w:rsid w:val="005D6D98"/>
    <w:pPr>
      <w:numPr>
        <w:ilvl w:val="1"/>
        <w:numId w:val="4"/>
      </w:numPr>
      <w:ind w:left="1418"/>
    </w:pPr>
  </w:style>
  <w:style w:type="paragraph" w:customStyle="1" w:styleId="LV3">
    <w:name w:val="LV 3"/>
    <w:basedOn w:val="PlainIndent"/>
    <w:autoRedefine/>
    <w:qFormat/>
    <w:rsid w:val="005D6D98"/>
    <w:pPr>
      <w:numPr>
        <w:ilvl w:val="2"/>
        <w:numId w:val="4"/>
      </w:numPr>
      <w:ind w:left="1985"/>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01259A"/>
    <w:pPr>
      <w:numPr>
        <w:ilvl w:val="3"/>
        <w:numId w:val="5"/>
      </w:numPr>
      <w:spacing w:before="100"/>
      <w:ind w:left="1418"/>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5B312A"/>
    <w:pPr>
      <w:spacing w:before="200"/>
      <w:jc w:val="center"/>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5D6D98"/>
    <w:pPr>
      <w:ind w:left="1985" w:firstLine="0"/>
    </w:pPr>
  </w:style>
  <w:style w:type="paragraph" w:customStyle="1" w:styleId="Note2">
    <w:name w:val="Note 2"/>
    <w:basedOn w:val="NOTE"/>
    <w:link w:val="Note2Char"/>
    <w:uiPriority w:val="2"/>
    <w:qFormat/>
    <w:rsid w:val="005D6D98"/>
    <w:pPr>
      <w:ind w:hanging="510"/>
    </w:pPr>
  </w:style>
  <w:style w:type="character" w:customStyle="1" w:styleId="Note1Char">
    <w:name w:val="Note 1 Char"/>
    <w:basedOn w:val="DefaultParagraphFont"/>
    <w:link w:val="Note1"/>
    <w:uiPriority w:val="2"/>
    <w:rsid w:val="005D6D98"/>
    <w:rPr>
      <w:rFonts w:eastAsia="Times New Roman"/>
      <w:sz w:val="18"/>
    </w:rPr>
  </w:style>
  <w:style w:type="character" w:customStyle="1" w:styleId="Note2Char">
    <w:name w:val="Note 2 Char"/>
    <w:basedOn w:val="DefaultParagraphFont"/>
    <w:link w:val="Note2"/>
    <w:uiPriority w:val="2"/>
    <w:rsid w:val="005D6D98"/>
    <w:rPr>
      <w:rFonts w:eastAsia="Times New Roman"/>
      <w:sz w:val="18"/>
    </w:rPr>
  </w:style>
  <w:style w:type="paragraph" w:customStyle="1" w:styleId="ScheduleNote">
    <w:name w:val="Schedule Note"/>
    <w:basedOn w:val="NOTE"/>
    <w:link w:val="ScheduleNoteChar"/>
    <w:uiPriority w:val="2"/>
    <w:qFormat/>
    <w:rsid w:val="005D6D98"/>
    <w:pPr>
      <w:ind w:left="851" w:firstLine="0"/>
    </w:pPr>
  </w:style>
  <w:style w:type="character" w:customStyle="1" w:styleId="ScheduleNoteChar">
    <w:name w:val="Schedule Note Char"/>
    <w:basedOn w:val="DefaultParagraphFont"/>
    <w:link w:val="ScheduleNote"/>
    <w:uiPriority w:val="2"/>
    <w:rsid w:val="005D6D98"/>
    <w:rPr>
      <w:rFonts w:eastAsia="Times New Roman"/>
      <w:sz w:val="18"/>
    </w:rPr>
  </w:style>
  <w:style w:type="paragraph" w:customStyle="1" w:styleId="Note3">
    <w:name w:val="Note 3"/>
    <w:basedOn w:val="NOTE"/>
    <w:link w:val="Note3Char"/>
    <w:uiPriority w:val="2"/>
    <w:qFormat/>
    <w:rsid w:val="005D6D98"/>
    <w:pPr>
      <w:ind w:left="2977" w:hanging="425"/>
    </w:pPr>
  </w:style>
  <w:style w:type="character" w:customStyle="1" w:styleId="Note3Char">
    <w:name w:val="Note 3 Char"/>
    <w:basedOn w:val="DefaultParagraphFont"/>
    <w:link w:val="Note3"/>
    <w:uiPriority w:val="2"/>
    <w:rsid w:val="005D6D98"/>
    <w:rPr>
      <w:rFonts w:eastAsia="Times New Roman"/>
      <w:sz w:val="18"/>
    </w:rPr>
  </w:style>
  <w:style w:type="paragraph" w:styleId="Revision">
    <w:name w:val="Revision"/>
    <w:hidden/>
    <w:uiPriority w:val="99"/>
    <w:semiHidden/>
    <w:rsid w:val="005B312A"/>
    <w:rPr>
      <w:sz w:val="22"/>
      <w:lang w:eastAsia="en-US"/>
    </w:rPr>
  </w:style>
  <w:style w:type="character" w:styleId="CommentReference">
    <w:name w:val="annotation reference"/>
    <w:basedOn w:val="DefaultParagraphFont"/>
    <w:uiPriority w:val="99"/>
    <w:semiHidden/>
    <w:unhideWhenUsed/>
    <w:rsid w:val="00465159"/>
    <w:rPr>
      <w:sz w:val="16"/>
      <w:szCs w:val="16"/>
    </w:rPr>
  </w:style>
  <w:style w:type="paragraph" w:styleId="CommentText">
    <w:name w:val="annotation text"/>
    <w:basedOn w:val="Normal"/>
    <w:link w:val="CommentTextChar"/>
    <w:uiPriority w:val="99"/>
    <w:semiHidden/>
    <w:unhideWhenUsed/>
    <w:rsid w:val="00465159"/>
    <w:pPr>
      <w:spacing w:line="240" w:lineRule="auto"/>
    </w:pPr>
    <w:rPr>
      <w:sz w:val="20"/>
    </w:rPr>
  </w:style>
  <w:style w:type="character" w:customStyle="1" w:styleId="CommentTextChar">
    <w:name w:val="Comment Text Char"/>
    <w:basedOn w:val="DefaultParagraphFont"/>
    <w:link w:val="CommentText"/>
    <w:uiPriority w:val="99"/>
    <w:semiHidden/>
    <w:rsid w:val="00465159"/>
    <w:rPr>
      <w:lang w:eastAsia="en-US"/>
    </w:rPr>
  </w:style>
  <w:style w:type="paragraph" w:styleId="CommentSubject">
    <w:name w:val="annotation subject"/>
    <w:basedOn w:val="CommentText"/>
    <w:next w:val="CommentText"/>
    <w:link w:val="CommentSubjectChar"/>
    <w:uiPriority w:val="99"/>
    <w:semiHidden/>
    <w:unhideWhenUsed/>
    <w:rsid w:val="00465159"/>
    <w:rPr>
      <w:b/>
      <w:bCs/>
    </w:rPr>
  </w:style>
  <w:style w:type="character" w:customStyle="1" w:styleId="CommentSubjectChar">
    <w:name w:val="Comment Subject Char"/>
    <w:basedOn w:val="CommentTextChar"/>
    <w:link w:val="CommentSubject"/>
    <w:uiPriority w:val="99"/>
    <w:semiHidden/>
    <w:rsid w:val="0046515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FEE2F-6A83-4D9B-99D1-16E606215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2476</Words>
  <Characters>14114</Characters>
  <Application>Microsoft Office Word</Application>
  <DocSecurity>0</DocSecurity>
  <PresentationFormat/>
  <Lines>117</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2021-07-21T07:56:00Z</dcterms:created>
  <dcterms:modified xsi:type="dcterms:W3CDTF">2021-12-23T00:51:00Z</dcterms:modified>
  <cp:category/>
  <cp:contentStatus/>
  <dc:language/>
  <cp:version/>
</cp:coreProperties>
</file>