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4D5872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84E4A" w:rsidP="006647B7">
      <w:pPr>
        <w:pStyle w:val="Plainheader"/>
      </w:pPr>
      <w:bookmarkStart w:id="0" w:name="SoP_Name_Title"/>
      <w:proofErr w:type="gramStart"/>
      <w:r>
        <w:t>HYPERACUSIS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34540">
        <w:t>28</w:t>
      </w:r>
      <w:r w:rsidRPr="00024911">
        <w:t xml:space="preserve"> of</w:t>
      </w:r>
      <w:r w:rsidR="00085567">
        <w:t xml:space="preserve"> </w:t>
      </w:r>
      <w:bookmarkStart w:id="1" w:name="year"/>
      <w:r w:rsidR="00F84E4A">
        <w:t>2021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4D5872">
      <w:pPr>
        <w:pStyle w:val="Plain"/>
        <w:jc w:val="left"/>
      </w:pPr>
      <w:r w:rsidRPr="007527C1">
        <w:t>Dated</w:t>
      </w:r>
      <w:r w:rsidR="004D5872">
        <w:t xml:space="preserve">   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3F3C19">
        <w:t>24 December 2020</w:t>
      </w:r>
    </w:p>
    <w:p w:rsidR="00D93DA9" w:rsidRDefault="00D93DA9" w:rsidP="004D5872">
      <w:pPr>
        <w:pStyle w:val="Plain"/>
      </w:pPr>
    </w:p>
    <w:p w:rsidR="00D93DA9" w:rsidRDefault="00D93DA9" w:rsidP="004D5872">
      <w:pPr>
        <w:pStyle w:val="Plain"/>
        <w:jc w:val="left"/>
      </w:pPr>
    </w:p>
    <w:p w:rsidR="00D93DA9" w:rsidRDefault="00D93DA9" w:rsidP="004D5872">
      <w:pPr>
        <w:pStyle w:val="Plain"/>
        <w:jc w:val="left"/>
      </w:pPr>
    </w:p>
    <w:p w:rsidR="00D93DA9" w:rsidRDefault="00D93DA9" w:rsidP="004D5872">
      <w:pPr>
        <w:pStyle w:val="Plain"/>
        <w:jc w:val="left"/>
      </w:pPr>
    </w:p>
    <w:p w:rsidR="00D93DA9" w:rsidRPr="007527C1" w:rsidRDefault="00D93DA9" w:rsidP="004D5872">
      <w:pPr>
        <w:pStyle w:val="Plain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516A3" w:rsidTr="00551182">
        <w:tc>
          <w:tcPr>
            <w:tcW w:w="4116" w:type="dxa"/>
          </w:tcPr>
          <w:p w:rsidR="00E516A3" w:rsidRDefault="00E516A3" w:rsidP="004D5872">
            <w:pPr>
              <w:pStyle w:val="Plain"/>
              <w:jc w:val="left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516A3" w:rsidRDefault="00E516A3" w:rsidP="004D5872">
            <w:pPr>
              <w:pStyle w:val="Plain"/>
              <w:jc w:val="left"/>
            </w:pPr>
          </w:p>
        </w:tc>
      </w:tr>
      <w:tr w:rsidR="00E516A3" w:rsidTr="00551182">
        <w:tc>
          <w:tcPr>
            <w:tcW w:w="4116" w:type="dxa"/>
          </w:tcPr>
          <w:p w:rsidR="00E516A3" w:rsidRDefault="00E516A3" w:rsidP="004D5872">
            <w:pPr>
              <w:pStyle w:val="Plain"/>
              <w:jc w:val="left"/>
            </w:pPr>
          </w:p>
          <w:p w:rsidR="00E516A3" w:rsidRDefault="00E516A3" w:rsidP="004D5872">
            <w:pPr>
              <w:pStyle w:val="Plain"/>
              <w:jc w:val="left"/>
            </w:pPr>
          </w:p>
          <w:p w:rsidR="00E516A3" w:rsidRPr="007527C1" w:rsidRDefault="00E516A3" w:rsidP="004D5872">
            <w:pPr>
              <w:pStyle w:val="Plain"/>
              <w:jc w:val="left"/>
            </w:pPr>
            <w:r w:rsidRPr="007527C1">
              <w:t>Professor Nicholas Saunders AO</w:t>
            </w:r>
          </w:p>
          <w:p w:rsidR="00E516A3" w:rsidRDefault="00E516A3" w:rsidP="004D5872">
            <w:pPr>
              <w:pStyle w:val="Plain"/>
              <w:jc w:val="left"/>
            </w:pPr>
            <w:r w:rsidRPr="007527C1">
              <w:t>Chairperson</w:t>
            </w:r>
          </w:p>
          <w:p w:rsidR="00E516A3" w:rsidRDefault="00E516A3" w:rsidP="004D5872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0C37C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3" w:name="_GoBack"/>
      <w:bookmarkEnd w:id="3"/>
      <w:r w:rsidR="000C37C3">
        <w:rPr>
          <w:noProof/>
        </w:rPr>
        <w:t>1</w:t>
      </w:r>
      <w:r w:rsidR="000C37C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C37C3">
        <w:rPr>
          <w:noProof/>
        </w:rPr>
        <w:t>Name</w:t>
      </w:r>
      <w:r w:rsidR="000C37C3">
        <w:rPr>
          <w:noProof/>
        </w:rPr>
        <w:tab/>
      </w:r>
      <w:r w:rsidR="000C37C3">
        <w:rPr>
          <w:noProof/>
        </w:rPr>
        <w:fldChar w:fldCharType="begin"/>
      </w:r>
      <w:r w:rsidR="000C37C3">
        <w:rPr>
          <w:noProof/>
        </w:rPr>
        <w:instrText xml:space="preserve"> PAGEREF _Toc59186676 \h </w:instrText>
      </w:r>
      <w:r w:rsidR="000C37C3">
        <w:rPr>
          <w:noProof/>
        </w:rPr>
      </w:r>
      <w:r w:rsidR="000C37C3">
        <w:rPr>
          <w:noProof/>
        </w:rPr>
        <w:fldChar w:fldCharType="separate"/>
      </w:r>
      <w:r w:rsidR="000C37C3">
        <w:rPr>
          <w:noProof/>
        </w:rPr>
        <w:t>3</w:t>
      </w:r>
      <w:r w:rsidR="000C37C3"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C37C3" w:rsidRDefault="000C37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C37C3" w:rsidRDefault="000C37C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9186676"/>
      <w:r>
        <w:lastRenderedPageBreak/>
        <w:t>Name</w:t>
      </w:r>
      <w:bookmarkEnd w:id="4"/>
    </w:p>
    <w:p w:rsidR="00237471" w:rsidRPr="00F97A62" w:rsidRDefault="00715914" w:rsidP="0043160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84E4A">
        <w:rPr>
          <w:i/>
        </w:rPr>
        <w:t>hyperacusis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34540">
        <w:t xml:space="preserve">28 </w:t>
      </w:r>
      <w:r w:rsidR="00E55F66" w:rsidRPr="00F97A62">
        <w:t>of</w:t>
      </w:r>
      <w:r w:rsidR="00085567">
        <w:t xml:space="preserve"> </w:t>
      </w:r>
      <w:r w:rsidR="00F84E4A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9186677"/>
      <w:r w:rsidRPr="00684C0E">
        <w:t>Commencement</w:t>
      </w:r>
      <w:bookmarkEnd w:id="7"/>
    </w:p>
    <w:p w:rsidR="00F67B67" w:rsidRPr="007527C1" w:rsidRDefault="007527C1" w:rsidP="0043160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34540" w:rsidRPr="00C34540">
        <w:t>25 January 2021.</w:t>
      </w:r>
    </w:p>
    <w:p w:rsidR="00F67B67" w:rsidRPr="00684C0E" w:rsidRDefault="00F67B67" w:rsidP="00C96667">
      <w:pPr>
        <w:pStyle w:val="LV1"/>
      </w:pPr>
      <w:bookmarkStart w:id="8" w:name="_Toc59186678"/>
      <w:r w:rsidRPr="00684C0E">
        <w:t>Authority</w:t>
      </w:r>
      <w:bookmarkEnd w:id="8"/>
    </w:p>
    <w:p w:rsidR="00F67B67" w:rsidRPr="007527C1" w:rsidRDefault="00F67B67" w:rsidP="00431603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59186679"/>
      <w:r w:rsidRPr="00684C0E">
        <w:t>Application</w:t>
      </w:r>
      <w:bookmarkEnd w:id="9"/>
    </w:p>
    <w:p w:rsidR="007C7DEE" w:rsidRPr="007527C1" w:rsidRDefault="007C7DEE" w:rsidP="0043160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59186680"/>
      <w:r w:rsidRPr="00684C0E">
        <w:t>Definitions</w:t>
      </w:r>
      <w:bookmarkEnd w:id="10"/>
      <w:bookmarkEnd w:id="11"/>
    </w:p>
    <w:p w:rsidR="00237471" w:rsidRPr="00D5620B" w:rsidRDefault="007142FB" w:rsidP="00431603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918668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431603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F84E4A" w:rsidRPr="00F84E4A">
        <w:t>hyperacusis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F84E4A" w:rsidRPr="00F84E4A">
        <w:t>hyperacusis</w:t>
      </w:r>
      <w:proofErr w:type="spellEnd"/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F84E4A" w:rsidRPr="00F84E4A">
        <w:rPr>
          <w:b/>
        </w:rPr>
        <w:t>hyperacusis</w:t>
      </w:r>
      <w:proofErr w:type="spellEnd"/>
    </w:p>
    <w:p w:rsidR="002716E4" w:rsidRPr="00237BAF" w:rsidRDefault="007C7DEE" w:rsidP="00431603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F84E4A" w:rsidRPr="00F84E4A">
        <w:t>hyperacusis</w:t>
      </w:r>
      <w:proofErr w:type="spellEnd"/>
      <w:r w:rsidR="002716E4" w:rsidRPr="00237BAF">
        <w:t>:</w:t>
      </w:r>
      <w:bookmarkEnd w:id="17"/>
    </w:p>
    <w:bookmarkEnd w:id="18"/>
    <w:p w:rsidR="00F84E4A" w:rsidRPr="008E76DC" w:rsidRDefault="00F84E4A" w:rsidP="00F84E4A">
      <w:pPr>
        <w:pStyle w:val="LV3"/>
      </w:pPr>
      <w:r w:rsidRPr="00E21097">
        <w:t>means a disorder of sound tolerance or perception in which there is increased sensitivity or decreased tolerance to certain everyday sounds at levels that would not disturb most individuals; and</w:t>
      </w:r>
    </w:p>
    <w:p w:rsidR="00F84E4A" w:rsidRDefault="00F84E4A" w:rsidP="00F84E4A">
      <w:pPr>
        <w:pStyle w:val="LV3"/>
      </w:pPr>
      <w:r w:rsidRPr="00E21097">
        <w:tab/>
        <w:t>causes significant distress and impairment in social, occupational, recreational, and other day-to-day activities; and</w:t>
      </w:r>
    </w:p>
    <w:p w:rsidR="00F84E4A" w:rsidRDefault="00F84E4A" w:rsidP="00F84E4A">
      <w:pPr>
        <w:pStyle w:val="LV3"/>
      </w:pPr>
      <w:r w:rsidRPr="00E21097">
        <w:tab/>
      </w:r>
      <w:proofErr w:type="gramStart"/>
      <w:r w:rsidRPr="00E21097">
        <w:t>must</w:t>
      </w:r>
      <w:proofErr w:type="gramEnd"/>
      <w:r w:rsidRPr="00E21097">
        <w:t xml:space="preserve"> have persisted for at least three months.</w:t>
      </w:r>
    </w:p>
    <w:p w:rsidR="00F84E4A" w:rsidRDefault="00F84E4A" w:rsidP="00F84E4A">
      <w:pPr>
        <w:pStyle w:val="Note2"/>
        <w:ind w:left="1985" w:hanging="567"/>
      </w:pPr>
      <w:r>
        <w:t xml:space="preserve">Note 1: </w:t>
      </w:r>
      <w:r w:rsidRPr="00E21097">
        <w:t>The sounds may be perceived as uncomfortably loud, unpleasant, frightening or painful.</w:t>
      </w:r>
    </w:p>
    <w:p w:rsidR="00431603" w:rsidRPr="008E76DC" w:rsidRDefault="00F84E4A" w:rsidP="00F84E4A">
      <w:pPr>
        <w:pStyle w:val="Note2"/>
      </w:pPr>
      <w:r>
        <w:t xml:space="preserve">Note 2: </w:t>
      </w:r>
      <w:r w:rsidRPr="00E21097">
        <w:t>Sounds generated within the body may also cause hyperacusis.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F84E4A" w:rsidRPr="00F84E4A">
        <w:rPr>
          <w:b/>
        </w:rPr>
        <w:t>hyperacusis</w:t>
      </w:r>
      <w:proofErr w:type="spellEnd"/>
    </w:p>
    <w:p w:rsidR="008F572A" w:rsidRPr="00237BAF" w:rsidRDefault="008F572A" w:rsidP="0043160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F84E4A" w:rsidRPr="00F84E4A">
        <w:t>hyperacusis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proofErr w:type="spellStart"/>
      <w:r w:rsidR="00F84E4A" w:rsidRPr="00F84E4A">
        <w:t>hyperacusis</w:t>
      </w:r>
      <w:proofErr w:type="spellEnd"/>
      <w:r w:rsidRPr="00D5620B">
        <w:t>.</w:t>
      </w:r>
    </w:p>
    <w:p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057D7">
        <w:t>-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:rsidR="007C7DEE" w:rsidRPr="00A20CA1" w:rsidRDefault="007C7DEE" w:rsidP="00C96667">
      <w:pPr>
        <w:pStyle w:val="LV1"/>
      </w:pPr>
      <w:bookmarkStart w:id="19" w:name="_Toc59186682"/>
      <w:r w:rsidRPr="00A20CA1">
        <w:lastRenderedPageBreak/>
        <w:t>Basis for determining the factors</w:t>
      </w:r>
      <w:bookmarkEnd w:id="19"/>
    </w:p>
    <w:p w:rsidR="007C7DEE" w:rsidRPr="00237BAF" w:rsidRDefault="007C7DEE" w:rsidP="00431603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F84E4A" w:rsidRPr="00F84E4A">
        <w:t>hyperacusis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F84E4A" w:rsidRPr="00F84E4A">
        <w:t>hyperacusis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31603" w:rsidRPr="00046E67" w:rsidRDefault="00431603" w:rsidP="00431603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057D7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9186683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431603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F84E4A" w:rsidRPr="00F84E4A">
        <w:t>hyperacusis</w:t>
      </w:r>
      <w:proofErr w:type="spellEnd"/>
      <w:r w:rsidR="007A3989">
        <w:t xml:space="preserve"> </w:t>
      </w:r>
      <w:r w:rsidR="007C7DEE" w:rsidRPr="00AA6D8B">
        <w:t xml:space="preserve">or death from </w:t>
      </w:r>
      <w:proofErr w:type="spellStart"/>
      <w:r w:rsidR="00F84E4A" w:rsidRPr="00F84E4A">
        <w:t>hyperacusis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4057D7" w:rsidRDefault="004057D7" w:rsidP="004057D7">
      <w:pPr>
        <w:pStyle w:val="LV2"/>
      </w:pPr>
      <w:bookmarkStart w:id="25" w:name="_Ref402530260"/>
      <w:bookmarkStart w:id="26" w:name="_Ref409598844"/>
      <w:r w:rsidRPr="00992510">
        <w:t>being exposed to a peak sound pressure level at the tympanic membrane of at least 140 dB(C) before the clinical onset of hyperacusis;</w:t>
      </w:r>
    </w:p>
    <w:p w:rsidR="004057D7" w:rsidRDefault="004057D7" w:rsidP="004057D7">
      <w:pPr>
        <w:pStyle w:val="Note2"/>
      </w:pPr>
      <w:r>
        <w:t xml:space="preserve">Note: </w:t>
      </w:r>
      <w:r w:rsidRPr="00992510">
        <w:rPr>
          <w:b/>
          <w:i/>
        </w:rPr>
        <w:t>dB(C)</w:t>
      </w:r>
      <w:r w:rsidRPr="00992510">
        <w:t xml:space="preserve"> is defined in the Schedule 1 </w:t>
      </w:r>
      <w:r>
        <w:t>-</w:t>
      </w:r>
      <w:r w:rsidRPr="00992510">
        <w:t xml:space="preserve"> Dictionary.</w:t>
      </w:r>
    </w:p>
    <w:p w:rsidR="004057D7" w:rsidRDefault="004057D7" w:rsidP="004057D7">
      <w:pPr>
        <w:pStyle w:val="LV2"/>
      </w:pPr>
      <w:r w:rsidRPr="000229CB">
        <w:t>being exposed to a sound pressure level at the tympanic membrane of at least 85 dB(A) as an 8-hour time-weighted average (TWA) with a 3</w:t>
      </w:r>
      <w:r w:rsidR="005A1EC4">
        <w:noBreakHyphen/>
      </w:r>
      <w:r w:rsidRPr="000229CB">
        <w:t xml:space="preserve">dB exchange rate for a cumulative period of at least </w:t>
      </w:r>
      <w:r w:rsidR="00C76F88">
        <w:t>one year</w:t>
      </w:r>
      <w:r w:rsidRPr="000229CB">
        <w:t xml:space="preserve"> before the clinical onset of hyperacusis;</w:t>
      </w:r>
    </w:p>
    <w:p w:rsidR="004057D7" w:rsidRPr="000229CB" w:rsidRDefault="004057D7" w:rsidP="004057D7">
      <w:pPr>
        <w:pStyle w:val="Note2"/>
        <w:ind w:left="1843" w:hanging="425"/>
      </w:pPr>
      <w:r>
        <w:t xml:space="preserve">Note: </w:t>
      </w:r>
      <w:proofErr w:type="gramStart"/>
      <w:r w:rsidRPr="00240846">
        <w:rPr>
          <w:b/>
          <w:i/>
        </w:rPr>
        <w:t>dB(</w:t>
      </w:r>
      <w:proofErr w:type="gramEnd"/>
      <w:r w:rsidRPr="00240846">
        <w:rPr>
          <w:b/>
          <w:i/>
        </w:rPr>
        <w:t>A)</w:t>
      </w:r>
      <w:r w:rsidRPr="00240846">
        <w:t xml:space="preserve"> and </w:t>
      </w:r>
      <w:r w:rsidRPr="00240846">
        <w:rPr>
          <w:b/>
          <w:i/>
        </w:rPr>
        <w:t xml:space="preserve">time-weighted average (TWA) with </w:t>
      </w:r>
      <w:r w:rsidR="005A1EC4">
        <w:rPr>
          <w:b/>
          <w:i/>
        </w:rPr>
        <w:t xml:space="preserve">a </w:t>
      </w:r>
      <w:r w:rsidRPr="00240846">
        <w:rPr>
          <w:b/>
          <w:i/>
        </w:rPr>
        <w:t>3</w:t>
      </w:r>
      <w:r w:rsidR="005A1EC4">
        <w:rPr>
          <w:b/>
          <w:i/>
        </w:rPr>
        <w:t>-</w:t>
      </w:r>
      <w:r w:rsidRPr="00240846">
        <w:rPr>
          <w:b/>
          <w:i/>
        </w:rPr>
        <w:t>dB exchange rate</w:t>
      </w:r>
      <w:r w:rsidRPr="00240846">
        <w:t xml:space="preserve"> are defined in the Schedule 1 </w:t>
      </w:r>
      <w:r>
        <w:t xml:space="preserve">- </w:t>
      </w:r>
      <w:r w:rsidRPr="00240846">
        <w:t>Dictionary.</w:t>
      </w:r>
    </w:p>
    <w:p w:rsidR="004057D7" w:rsidRDefault="004057D7" w:rsidP="004057D7">
      <w:pPr>
        <w:pStyle w:val="LV2"/>
      </w:pPr>
      <w:r w:rsidRPr="00E3578C">
        <w:t>having acoustic shock at the time of the clinical onset of hyperacusis</w:t>
      </w:r>
      <w:r>
        <w:t>;</w:t>
      </w:r>
    </w:p>
    <w:p w:rsidR="004057D7" w:rsidRPr="00E3578C" w:rsidRDefault="004057D7" w:rsidP="004057D7">
      <w:pPr>
        <w:pStyle w:val="Note2"/>
      </w:pPr>
      <w:r>
        <w:t xml:space="preserve">Note: </w:t>
      </w:r>
      <w:r>
        <w:rPr>
          <w:b/>
          <w:i/>
        </w:rPr>
        <w:t>acoustic shock</w:t>
      </w:r>
      <w:r>
        <w:t xml:space="preserve"> </w:t>
      </w:r>
      <w:r w:rsidRPr="00992510">
        <w:t xml:space="preserve">is defined in the Schedule 1 </w:t>
      </w:r>
      <w:r>
        <w:t>-</w:t>
      </w:r>
      <w:r w:rsidRPr="00992510">
        <w:t xml:space="preserve"> Dictionary.</w:t>
      </w:r>
    </w:p>
    <w:p w:rsidR="004057D7" w:rsidRDefault="004057D7" w:rsidP="004057D7">
      <w:pPr>
        <w:pStyle w:val="LV2"/>
      </w:pPr>
      <w:r w:rsidRPr="00C501EE">
        <w:t>having an episode of otitic barotrauma within the 30 days before the clinical onset of hyperacusis;</w:t>
      </w:r>
    </w:p>
    <w:p w:rsidR="004057D7" w:rsidRPr="00C501EE" w:rsidRDefault="004057D7" w:rsidP="004057D7">
      <w:pPr>
        <w:pStyle w:val="Note2"/>
      </w:pPr>
      <w:r>
        <w:t xml:space="preserve">Note: </w:t>
      </w:r>
      <w:r w:rsidRPr="00C501EE">
        <w:t>Otitic barotrauma is also known as otic barotrauma.</w:t>
      </w:r>
    </w:p>
    <w:p w:rsidR="004057D7" w:rsidRDefault="004057D7" w:rsidP="004057D7">
      <w:pPr>
        <w:pStyle w:val="LV2"/>
      </w:pPr>
      <w:r w:rsidRPr="00833F10">
        <w:t>being exposed to an explosive blast within the 30 days before the clinical onset of hyperacusis;</w:t>
      </w:r>
    </w:p>
    <w:p w:rsidR="004057D7" w:rsidRPr="00833F10" w:rsidRDefault="004057D7" w:rsidP="004057D7">
      <w:pPr>
        <w:pStyle w:val="LV2"/>
      </w:pPr>
      <w:r w:rsidRPr="00833F10">
        <w:t>having concussion or moderate to severe traumatic brain injury within the 30 days before the clinical onset of hyperacusis;</w:t>
      </w:r>
    </w:p>
    <w:p w:rsidR="004057D7" w:rsidRDefault="004057D7" w:rsidP="004057D7">
      <w:pPr>
        <w:pStyle w:val="LV2"/>
      </w:pPr>
      <w:r w:rsidRPr="00576459">
        <w:t>having blunt trauma to the head causing a fracture of the temporal bone within the 30 days before the clinical onset of hyperacusis;</w:t>
      </w:r>
    </w:p>
    <w:p w:rsidR="004057D7" w:rsidRDefault="004057D7" w:rsidP="004057D7">
      <w:pPr>
        <w:pStyle w:val="LV2"/>
      </w:pPr>
      <w:r w:rsidRPr="00576459">
        <w:t>having stapedectomy or surgery involving the insular cortex or another part of the brain involved in central auditory processing within the 30</w:t>
      </w:r>
      <w:r w:rsidR="009411DA">
        <w:t> </w:t>
      </w:r>
      <w:r w:rsidRPr="00576459">
        <w:t>days before the clinical onset of hyperacusis;</w:t>
      </w:r>
    </w:p>
    <w:p w:rsidR="004057D7" w:rsidRDefault="004057D7" w:rsidP="004057D7">
      <w:pPr>
        <w:pStyle w:val="LV2"/>
      </w:pPr>
      <w:r w:rsidRPr="00576459">
        <w:t>having an inner ear disorder of the affected ear from the specified list of inner ear disorders at the time of the clinical onset of hyperacusis;</w:t>
      </w:r>
    </w:p>
    <w:p w:rsidR="004057D7" w:rsidRPr="00576459" w:rsidRDefault="004057D7" w:rsidP="004057D7">
      <w:pPr>
        <w:pStyle w:val="Note2"/>
      </w:pPr>
      <w:r w:rsidRPr="00576459">
        <w:t xml:space="preserve">Note: </w:t>
      </w:r>
      <w:r w:rsidRPr="00576459">
        <w:rPr>
          <w:b/>
          <w:i/>
        </w:rPr>
        <w:t>specified list of inner ear disorders</w:t>
      </w:r>
      <w:r w:rsidRPr="00576459">
        <w:t xml:space="preserve"> is defined in the Schedule 1 </w:t>
      </w:r>
      <w:r>
        <w:t>-</w:t>
      </w:r>
      <w:r w:rsidRPr="00576459">
        <w:t xml:space="preserve"> Dictionary.</w:t>
      </w:r>
    </w:p>
    <w:p w:rsidR="004057D7" w:rsidRPr="00174DDB" w:rsidRDefault="004057D7" w:rsidP="004057D7">
      <w:pPr>
        <w:pStyle w:val="LV2"/>
      </w:pPr>
      <w:r w:rsidRPr="00174DDB">
        <w:lastRenderedPageBreak/>
        <w:t>having Meniere's disease at the time of the clinical onset of hyperacusis;</w:t>
      </w:r>
    </w:p>
    <w:p w:rsidR="004057D7" w:rsidRPr="006D4130" w:rsidRDefault="004057D7" w:rsidP="004057D7">
      <w:pPr>
        <w:pStyle w:val="LV2"/>
      </w:pPr>
      <w:r w:rsidRPr="006D4130">
        <w:t>having paralysis of the facial nerve on the affected side at the time of the clinical onset of hyperacusis;</w:t>
      </w:r>
    </w:p>
    <w:p w:rsidR="004057D7" w:rsidRDefault="004057D7" w:rsidP="004057D7">
      <w:pPr>
        <w:pStyle w:val="Note2"/>
      </w:pPr>
      <w:r>
        <w:t>Note 1: The facial nerve is also known as the seventh cranial nerve.</w:t>
      </w:r>
    </w:p>
    <w:p w:rsidR="004057D7" w:rsidRDefault="004057D7" w:rsidP="004057D7">
      <w:pPr>
        <w:pStyle w:val="Note2"/>
      </w:pPr>
      <w:r>
        <w:t>Note 2: Facial nerve paralysis is also known as Bell's palsy.</w:t>
      </w:r>
    </w:p>
    <w:p w:rsidR="004057D7" w:rsidRPr="006D4130" w:rsidRDefault="004057D7" w:rsidP="004057D7">
      <w:pPr>
        <w:pStyle w:val="Note2"/>
        <w:ind w:left="1985" w:hanging="567"/>
      </w:pPr>
      <w:r>
        <w:t>Note 3: Conditions that can cause paralysis of the facial nerve include autoimmune disease, multiple sclerosis and viral infection.</w:t>
      </w:r>
    </w:p>
    <w:p w:rsidR="004057D7" w:rsidRDefault="004057D7" w:rsidP="004057D7">
      <w:pPr>
        <w:pStyle w:val="LV2"/>
      </w:pPr>
      <w:r w:rsidRPr="002717B8">
        <w:t>having a viral or bacterial infection from the specified list o</w:t>
      </w:r>
      <w:r>
        <w:t>f viral or bacterial infections</w:t>
      </w:r>
      <w:r w:rsidRPr="002717B8">
        <w:t xml:space="preserve"> within the 30 days before the clinical onset of hyperacusis;</w:t>
      </w:r>
    </w:p>
    <w:p w:rsidR="004057D7" w:rsidRPr="002717B8" w:rsidRDefault="004057D7" w:rsidP="004057D7">
      <w:pPr>
        <w:pStyle w:val="Note2"/>
      </w:pPr>
      <w:r>
        <w:t xml:space="preserve">Note: </w:t>
      </w:r>
      <w:r w:rsidRPr="002717B8">
        <w:rPr>
          <w:b/>
          <w:i/>
        </w:rPr>
        <w:t>specified list of viral or bacterial infections</w:t>
      </w:r>
      <w:r w:rsidRPr="002717B8">
        <w:t xml:space="preserve"> is defined in the Schedule 1 </w:t>
      </w:r>
      <w:r>
        <w:t>-</w:t>
      </w:r>
      <w:r w:rsidRPr="002717B8">
        <w:t xml:space="preserve"> Dictionary.</w:t>
      </w:r>
    </w:p>
    <w:p w:rsidR="004057D7" w:rsidRPr="00D16C1D" w:rsidRDefault="004057D7" w:rsidP="004057D7">
      <w:pPr>
        <w:pStyle w:val="LV2"/>
      </w:pPr>
      <w:r w:rsidRPr="00D16C1D">
        <w:t>having dysfunction of the stapedius muscle or the tensor tympani muscle on the affected side at the time of the clinical onset of hyperacusis;</w:t>
      </w:r>
    </w:p>
    <w:p w:rsidR="004057D7" w:rsidRPr="00BC7AB1" w:rsidRDefault="004057D7" w:rsidP="004057D7">
      <w:pPr>
        <w:pStyle w:val="LV2"/>
      </w:pPr>
      <w:r w:rsidRPr="00BC7AB1">
        <w:t>having a cerebrovascular accident within the 30 days before the clinical onset of hyperacusis;</w:t>
      </w:r>
    </w:p>
    <w:p w:rsidR="004057D7" w:rsidRPr="008B104E" w:rsidRDefault="004057D7" w:rsidP="004057D7">
      <w:pPr>
        <w:pStyle w:val="LV2"/>
      </w:pPr>
      <w:r w:rsidRPr="008B104E">
        <w:t>having multiple sclerosis at the time of the clinical onset of hyperacusis;</w:t>
      </w:r>
    </w:p>
    <w:p w:rsidR="004057D7" w:rsidRDefault="004057D7" w:rsidP="004057D7">
      <w:pPr>
        <w:pStyle w:val="LV2"/>
      </w:pPr>
      <w:r w:rsidRPr="00E97D52">
        <w:t>being exposed to a peak sound pressure level at the tympanic</w:t>
      </w:r>
      <w:r w:rsidRPr="00992510">
        <w:t xml:space="preserve"> membrane of at least 140 dB(C) before the clinical worsening of hyperacusis;</w:t>
      </w:r>
    </w:p>
    <w:p w:rsidR="004057D7" w:rsidRDefault="004057D7" w:rsidP="004057D7">
      <w:pPr>
        <w:pStyle w:val="Note2"/>
      </w:pPr>
      <w:r>
        <w:t xml:space="preserve">Note: </w:t>
      </w:r>
      <w:r w:rsidRPr="00992510">
        <w:rPr>
          <w:b/>
          <w:i/>
        </w:rPr>
        <w:t>dB(C)</w:t>
      </w:r>
      <w:r w:rsidRPr="00992510">
        <w:t xml:space="preserve"> is defined in the Schedule 1 </w:t>
      </w:r>
      <w:r>
        <w:t>-</w:t>
      </w:r>
      <w:r w:rsidRPr="00992510">
        <w:t xml:space="preserve"> Dictionary.</w:t>
      </w:r>
    </w:p>
    <w:p w:rsidR="004057D7" w:rsidRDefault="004057D7" w:rsidP="004057D7">
      <w:pPr>
        <w:pStyle w:val="LV2"/>
      </w:pPr>
      <w:r w:rsidRPr="000229CB">
        <w:t>being exposed to a sound pressure level at the tympanic membrane of at least 85 dB(A) as an 8-hour time-weighted average (TWA) with a 3</w:t>
      </w:r>
      <w:r w:rsidR="005A1EC4">
        <w:noBreakHyphen/>
      </w:r>
      <w:r w:rsidRPr="000229CB">
        <w:t xml:space="preserve">dB exchange rate for a cumulative period of at least </w:t>
      </w:r>
      <w:r w:rsidR="00C76F88">
        <w:t>one year</w:t>
      </w:r>
      <w:r w:rsidRPr="000229CB">
        <w:t xml:space="preserve"> before the clinical worsening of hyperacusis;</w:t>
      </w:r>
    </w:p>
    <w:p w:rsidR="004057D7" w:rsidRDefault="004057D7" w:rsidP="004057D7">
      <w:pPr>
        <w:pStyle w:val="Note2"/>
        <w:ind w:left="1843" w:hanging="425"/>
      </w:pPr>
      <w:r>
        <w:t xml:space="preserve">Note: </w:t>
      </w:r>
      <w:proofErr w:type="gramStart"/>
      <w:r w:rsidRPr="00240846">
        <w:rPr>
          <w:b/>
          <w:i/>
        </w:rPr>
        <w:t>dB(</w:t>
      </w:r>
      <w:proofErr w:type="gramEnd"/>
      <w:r w:rsidRPr="00240846">
        <w:rPr>
          <w:b/>
          <w:i/>
        </w:rPr>
        <w:t>A)</w:t>
      </w:r>
      <w:r w:rsidRPr="00240846">
        <w:t xml:space="preserve"> and </w:t>
      </w:r>
      <w:r w:rsidRPr="00240846">
        <w:rPr>
          <w:b/>
          <w:i/>
        </w:rPr>
        <w:t>time-weighted average (TWA) with</w:t>
      </w:r>
      <w:r w:rsidR="005A1EC4">
        <w:rPr>
          <w:b/>
          <w:i/>
        </w:rPr>
        <w:t xml:space="preserve"> a</w:t>
      </w:r>
      <w:r w:rsidRPr="00240846">
        <w:rPr>
          <w:b/>
          <w:i/>
        </w:rPr>
        <w:t xml:space="preserve"> 3</w:t>
      </w:r>
      <w:r w:rsidR="005A1EC4">
        <w:rPr>
          <w:b/>
          <w:i/>
        </w:rPr>
        <w:t>-</w:t>
      </w:r>
      <w:r w:rsidRPr="00240846">
        <w:rPr>
          <w:b/>
          <w:i/>
        </w:rPr>
        <w:t>dB exchange rate</w:t>
      </w:r>
      <w:r w:rsidRPr="00240846">
        <w:t xml:space="preserve"> are defined in the Schedule 1 </w:t>
      </w:r>
      <w:r>
        <w:t xml:space="preserve">- </w:t>
      </w:r>
      <w:r w:rsidRPr="00240846">
        <w:t>Dictionary.</w:t>
      </w:r>
    </w:p>
    <w:p w:rsidR="004057D7" w:rsidRDefault="004057D7" w:rsidP="004057D7">
      <w:pPr>
        <w:pStyle w:val="LV2"/>
      </w:pPr>
      <w:r w:rsidRPr="00E3578C">
        <w:t>having acoustic shock at the time of the clinical worsening of hyperacusis</w:t>
      </w:r>
      <w:r>
        <w:t>;</w:t>
      </w:r>
    </w:p>
    <w:p w:rsidR="004057D7" w:rsidRDefault="004057D7" w:rsidP="004057D7">
      <w:pPr>
        <w:pStyle w:val="Note2"/>
      </w:pPr>
      <w:r>
        <w:t xml:space="preserve">Note: </w:t>
      </w:r>
      <w:r>
        <w:rPr>
          <w:b/>
          <w:i/>
        </w:rPr>
        <w:t>acoustic shock</w:t>
      </w:r>
      <w:r>
        <w:t xml:space="preserve"> </w:t>
      </w:r>
      <w:r w:rsidRPr="00992510">
        <w:t xml:space="preserve">is defined in the Schedule 1 </w:t>
      </w:r>
      <w:r>
        <w:t>-</w:t>
      </w:r>
      <w:r w:rsidRPr="00992510">
        <w:t xml:space="preserve"> Dictionary.</w:t>
      </w:r>
    </w:p>
    <w:p w:rsidR="004057D7" w:rsidRDefault="004057D7" w:rsidP="004057D7">
      <w:pPr>
        <w:pStyle w:val="LV2"/>
      </w:pPr>
      <w:r w:rsidRPr="00C501EE">
        <w:t>having an episode of otitic barotrauma within the 30 days before the clinical worsening of hyperacusis;</w:t>
      </w:r>
    </w:p>
    <w:p w:rsidR="004057D7" w:rsidRDefault="004057D7" w:rsidP="004057D7">
      <w:pPr>
        <w:pStyle w:val="Note2"/>
      </w:pPr>
      <w:r>
        <w:t xml:space="preserve">Note: </w:t>
      </w:r>
      <w:r w:rsidRPr="00C501EE">
        <w:t>Otitic barotrauma is also known as otic barotrauma.</w:t>
      </w:r>
    </w:p>
    <w:p w:rsidR="004057D7" w:rsidRDefault="004057D7" w:rsidP="004057D7">
      <w:pPr>
        <w:pStyle w:val="LV2"/>
      </w:pPr>
      <w:r w:rsidRPr="00833F10">
        <w:t>being exposed to an explosive blast within the 30 days before the clinical worsening of hyperacusis;</w:t>
      </w:r>
    </w:p>
    <w:p w:rsidR="004057D7" w:rsidRDefault="004057D7" w:rsidP="004057D7">
      <w:pPr>
        <w:pStyle w:val="LV2"/>
      </w:pPr>
      <w:r w:rsidRPr="00833F10">
        <w:t>having concussion or moderate to severe traumatic brain injury within the 30 days before the clinical worsening of hyperacusis;</w:t>
      </w:r>
    </w:p>
    <w:p w:rsidR="004057D7" w:rsidRDefault="004057D7" w:rsidP="004057D7">
      <w:pPr>
        <w:pStyle w:val="LV2"/>
      </w:pPr>
      <w:r w:rsidRPr="00576459">
        <w:lastRenderedPageBreak/>
        <w:t>having blunt trauma to the head causing a fracture of the temporal bone within the 30 days before the clinical worsening of hyperacusis;</w:t>
      </w:r>
    </w:p>
    <w:p w:rsidR="004057D7" w:rsidRDefault="004057D7" w:rsidP="004057D7">
      <w:pPr>
        <w:pStyle w:val="LV2"/>
      </w:pPr>
      <w:r w:rsidRPr="00576459">
        <w:t>having stapedectomy or surgery involving the insular cortex or another part of the brain involved in central auditory processing within the 30</w:t>
      </w:r>
      <w:r w:rsidR="009411DA">
        <w:t> </w:t>
      </w:r>
      <w:r w:rsidRPr="00576459">
        <w:t>days before the clinical worsening of hyperacusis;</w:t>
      </w:r>
    </w:p>
    <w:p w:rsidR="004057D7" w:rsidRDefault="004057D7" w:rsidP="004057D7">
      <w:pPr>
        <w:pStyle w:val="LV2"/>
      </w:pPr>
      <w:r w:rsidRPr="00576459">
        <w:t>having an inner ear disorder of the affected ear from the specified list of inner ear disorders at the time of the clinical worsening of hyperacusis;</w:t>
      </w:r>
    </w:p>
    <w:p w:rsidR="004057D7" w:rsidRDefault="004057D7" w:rsidP="004057D7">
      <w:pPr>
        <w:pStyle w:val="Note2"/>
      </w:pPr>
      <w:r w:rsidRPr="00576459">
        <w:t xml:space="preserve">Note: </w:t>
      </w:r>
      <w:r w:rsidRPr="00576459">
        <w:rPr>
          <w:b/>
          <w:i/>
        </w:rPr>
        <w:t>specified list of inner ear disorders</w:t>
      </w:r>
      <w:r w:rsidRPr="00576459">
        <w:t xml:space="preserve"> is defined in the Schedule 1 </w:t>
      </w:r>
      <w:r>
        <w:t>-</w:t>
      </w:r>
      <w:r w:rsidRPr="00576459">
        <w:t xml:space="preserve"> Dictionary.</w:t>
      </w:r>
    </w:p>
    <w:p w:rsidR="004057D7" w:rsidRDefault="004057D7" w:rsidP="004057D7">
      <w:pPr>
        <w:pStyle w:val="LV2"/>
      </w:pPr>
      <w:r w:rsidRPr="00174DDB">
        <w:t>having Meniere's disease at the time of the clinical worsening of hyperacusis;</w:t>
      </w:r>
    </w:p>
    <w:p w:rsidR="004057D7" w:rsidRDefault="004057D7" w:rsidP="004057D7">
      <w:pPr>
        <w:pStyle w:val="LV2"/>
      </w:pPr>
      <w:r w:rsidRPr="006D4130">
        <w:t>having paralysis of the facial nerve on the affected side at the time of the clinical worsening of hyperacusis;</w:t>
      </w:r>
    </w:p>
    <w:p w:rsidR="004057D7" w:rsidRDefault="004057D7" w:rsidP="004057D7">
      <w:pPr>
        <w:pStyle w:val="Note2"/>
      </w:pPr>
      <w:r>
        <w:t xml:space="preserve">Note 1: </w:t>
      </w:r>
      <w:r w:rsidRPr="006D4130">
        <w:t>The facial nerve is also known as the seventh cranial nerve.</w:t>
      </w:r>
    </w:p>
    <w:p w:rsidR="004057D7" w:rsidRDefault="004057D7" w:rsidP="004057D7">
      <w:pPr>
        <w:pStyle w:val="Note2"/>
      </w:pPr>
      <w:r>
        <w:t xml:space="preserve">Note 2: </w:t>
      </w:r>
      <w:r w:rsidRPr="006D4130">
        <w:t>Facial nerve paralysis is also known as Bell's palsy.</w:t>
      </w:r>
    </w:p>
    <w:p w:rsidR="004057D7" w:rsidRDefault="004057D7" w:rsidP="004057D7">
      <w:pPr>
        <w:pStyle w:val="Note2"/>
        <w:ind w:left="1985" w:hanging="567"/>
      </w:pPr>
      <w:r>
        <w:t xml:space="preserve">Note 3: </w:t>
      </w:r>
      <w:r w:rsidRPr="006D4130">
        <w:t>Conditions that can cause paralysis of the facial nerve include autoimmune disease, multiple sclerosis and viral infection.</w:t>
      </w:r>
    </w:p>
    <w:p w:rsidR="004057D7" w:rsidRDefault="004057D7" w:rsidP="004057D7">
      <w:pPr>
        <w:pStyle w:val="LV2"/>
      </w:pPr>
      <w:r w:rsidRPr="002717B8">
        <w:t>having a viral or bacterial infection from the specified list of viral or bacterial inf</w:t>
      </w:r>
      <w:r>
        <w:t>ections</w:t>
      </w:r>
      <w:r w:rsidRPr="002717B8">
        <w:t xml:space="preserve"> within the 30 days before the clinical worsening of hyperacusis;</w:t>
      </w:r>
    </w:p>
    <w:p w:rsidR="004057D7" w:rsidRDefault="004057D7" w:rsidP="004057D7">
      <w:pPr>
        <w:pStyle w:val="Note2"/>
      </w:pPr>
      <w:r>
        <w:t xml:space="preserve">Note: </w:t>
      </w:r>
      <w:r w:rsidRPr="002717B8">
        <w:rPr>
          <w:b/>
          <w:i/>
        </w:rPr>
        <w:t>specified list of viral or bacterial infections</w:t>
      </w:r>
      <w:r w:rsidRPr="002717B8">
        <w:t xml:space="preserve"> is defined in the Schedule 1 </w:t>
      </w:r>
      <w:r>
        <w:t>-</w:t>
      </w:r>
      <w:r w:rsidRPr="002717B8">
        <w:t xml:space="preserve"> Dictionary.</w:t>
      </w:r>
    </w:p>
    <w:p w:rsidR="004057D7" w:rsidRDefault="004057D7" w:rsidP="004057D7">
      <w:pPr>
        <w:pStyle w:val="LV2"/>
      </w:pPr>
      <w:r w:rsidRPr="00D16C1D">
        <w:t>having dysfunction of the stapedius muscle or the tensor tympani muscle on the affected side at the time of the clinical worsening of hyperacusis;</w:t>
      </w:r>
    </w:p>
    <w:p w:rsidR="004057D7" w:rsidRDefault="004057D7" w:rsidP="004057D7">
      <w:pPr>
        <w:pStyle w:val="LV2"/>
      </w:pPr>
      <w:r w:rsidRPr="00BC7AB1">
        <w:t>having a cerebrovascular accident within the 30 days before the clinical worsening of hyperacusis;</w:t>
      </w:r>
    </w:p>
    <w:p w:rsidR="004057D7" w:rsidRDefault="004057D7" w:rsidP="004057D7">
      <w:pPr>
        <w:pStyle w:val="LV2"/>
      </w:pPr>
      <w:r w:rsidRPr="008B104E">
        <w:t>having multiple sclerosis at the time of the clinical worsening of hyperacusis;</w:t>
      </w:r>
    </w:p>
    <w:p w:rsidR="007C7DEE" w:rsidRPr="008D1B8B" w:rsidRDefault="007C7DEE" w:rsidP="00431603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 w:rsidR="007A3989">
        <w:t xml:space="preserve"> </w:t>
      </w:r>
      <w:proofErr w:type="spellStart"/>
      <w:r w:rsidR="00F84E4A" w:rsidRPr="00F84E4A">
        <w:t>hyperacusis</w:t>
      </w:r>
      <w:proofErr w:type="spellEnd"/>
      <w:r w:rsidR="00D5620B" w:rsidRPr="008D1B8B">
        <w:t>.</w:t>
      </w:r>
      <w:bookmarkEnd w:id="26"/>
    </w:p>
    <w:p w:rsidR="000C21A3" w:rsidRPr="00684C0E" w:rsidRDefault="00D32F71" w:rsidP="00C96667">
      <w:pPr>
        <w:pStyle w:val="LV1"/>
      </w:pPr>
      <w:bookmarkStart w:id="27" w:name="_Ref402530057"/>
      <w:bookmarkStart w:id="28" w:name="_Toc59186684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431603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7"/>
    <w:p w:rsidR="00CF2367" w:rsidRPr="00187DE1" w:rsidRDefault="00F03C06" w:rsidP="00431603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C76F88">
        <w:t>subsection</w:t>
      </w:r>
      <w:r w:rsidR="009056AF">
        <w:t>s</w:t>
      </w:r>
      <w:r w:rsidR="00FF1D47">
        <w:t xml:space="preserve"> 8(</w:t>
      </w:r>
      <w:r w:rsidR="00C76F88">
        <w:t>16</w:t>
      </w:r>
      <w:r w:rsidR="00FF1D47">
        <w:t>)</w:t>
      </w:r>
      <w:r w:rsidR="00C76F88">
        <w:t xml:space="preserve"> to 8(31)</w:t>
      </w:r>
      <w:r w:rsidR="00FF1D47">
        <w:t xml:space="preserve"> </w:t>
      </w:r>
      <w:r w:rsidRPr="00187DE1">
        <w:t>appl</w:t>
      </w:r>
      <w:r w:rsidR="00C76F88">
        <w:t>y</w:t>
      </w:r>
      <w:r w:rsidRPr="00187DE1">
        <w:t xml:space="preserve"> only to material contribution to, or aggravation of, </w:t>
      </w:r>
      <w:proofErr w:type="spellStart"/>
      <w:r w:rsidR="00F84E4A" w:rsidRPr="00F84E4A">
        <w:t>hyperacusis</w:t>
      </w:r>
      <w:proofErr w:type="spellEnd"/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proofErr w:type="spellStart"/>
      <w:r w:rsidR="00F84E4A" w:rsidRPr="00F84E4A">
        <w:t>hyperacusis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9" w:name="_Toc59186685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431603">
      <w:pPr>
        <w:pStyle w:val="PlainIndent"/>
      </w:pPr>
      <w:r w:rsidRPr="00E64EE4">
        <w:t>In this Statement of Principles:</w:t>
      </w:r>
    </w:p>
    <w:p w:rsidR="00F03C06" w:rsidRPr="00E64EE4" w:rsidRDefault="00F03C06" w:rsidP="0043160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431603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31603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31603">
      <w:pPr>
        <w:pStyle w:val="PlainIndent"/>
      </w:pPr>
    </w:p>
    <w:p w:rsidR="00081B7C" w:rsidRPr="00FA33FB" w:rsidRDefault="00081B7C" w:rsidP="00431603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31603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918668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59186687"/>
      <w:r w:rsidRPr="00D97BB3">
        <w:t>Definitions</w:t>
      </w:r>
      <w:bookmarkEnd w:id="33"/>
      <w:bookmarkEnd w:id="34"/>
    </w:p>
    <w:p w:rsidR="00702C42" w:rsidRPr="00516768" w:rsidRDefault="00702C42" w:rsidP="00431603">
      <w:pPr>
        <w:pStyle w:val="SH2"/>
      </w:pPr>
      <w:r w:rsidRPr="00516768">
        <w:t>In this instrument:</w:t>
      </w:r>
    </w:p>
    <w:p w:rsidR="00BF53BD" w:rsidRDefault="00BF53BD" w:rsidP="00BF53BD">
      <w:pPr>
        <w:pStyle w:val="SH3"/>
        <w:ind w:left="851" w:hanging="851"/>
      </w:pPr>
      <w:bookmarkStart w:id="35" w:name="_Ref402530810"/>
      <w:proofErr w:type="gramStart"/>
      <w:r w:rsidRPr="002C0066">
        <w:rPr>
          <w:b/>
          <w:i/>
        </w:rPr>
        <w:t>acoustic</w:t>
      </w:r>
      <w:proofErr w:type="gramEnd"/>
      <w:r w:rsidRPr="002C0066">
        <w:rPr>
          <w:b/>
          <w:i/>
        </w:rPr>
        <w:t xml:space="preserve"> shock</w:t>
      </w:r>
      <w:r w:rsidRPr="002C0066">
        <w:t xml:space="preserve"> means the development of acoustic shock symptoms within 30 days of being exposed to a brief, sudden, unexpected, loud sound.</w:t>
      </w:r>
    </w:p>
    <w:p w:rsidR="00BF53BD" w:rsidRPr="002C0066" w:rsidRDefault="00BF53BD" w:rsidP="00BF53BD">
      <w:pPr>
        <w:pStyle w:val="ScheduleNote"/>
      </w:pPr>
      <w:r>
        <w:t xml:space="preserve">Note: </w:t>
      </w:r>
      <w:r>
        <w:rPr>
          <w:b/>
          <w:i/>
        </w:rPr>
        <w:t>acoustic shock symptoms</w:t>
      </w:r>
      <w:r>
        <w:t xml:space="preserve"> </w:t>
      </w:r>
      <w:r w:rsidR="005A1EC4">
        <w:t>is</w:t>
      </w:r>
      <w:r w:rsidRPr="002C0066">
        <w:t xml:space="preserve"> also defined in the Schedule 1 - Dictionary.</w:t>
      </w:r>
    </w:p>
    <w:p w:rsidR="00BF53BD" w:rsidRDefault="00BF53BD" w:rsidP="00BF53BD">
      <w:pPr>
        <w:pStyle w:val="SH3"/>
        <w:ind w:left="851" w:hanging="851"/>
      </w:pPr>
      <w:r w:rsidRPr="00034EB4">
        <w:rPr>
          <w:b/>
          <w:i/>
        </w:rPr>
        <w:t>acoustic shock symptoms</w:t>
      </w:r>
      <w:r w:rsidRPr="00034EB4">
        <w:t xml:space="preserve"> means the acoustic shock symptoms identified in </w:t>
      </w:r>
      <w:r w:rsidRPr="00034EB4">
        <w:rPr>
          <w:i/>
        </w:rPr>
        <w:t>Work Health and Safety (Managing Noise and Preventing Hearing Loss at Work) Code of Practice 2015</w:t>
      </w:r>
      <w:r w:rsidRPr="00034EB4">
        <w:t>, including:</w:t>
      </w:r>
    </w:p>
    <w:p w:rsidR="00BF53BD" w:rsidRDefault="00BF53BD" w:rsidP="00BF53BD">
      <w:pPr>
        <w:pStyle w:val="SH4"/>
      </w:pPr>
      <w:r>
        <w:t>a feeling of fullness in the ear;</w:t>
      </w:r>
    </w:p>
    <w:p w:rsidR="00BF53BD" w:rsidRDefault="00BF53BD" w:rsidP="00BF53BD">
      <w:pPr>
        <w:pStyle w:val="SH4"/>
      </w:pPr>
      <w:r>
        <w:t>burning sensations or sharp pain around or in the ear;</w:t>
      </w:r>
    </w:p>
    <w:p w:rsidR="00BF53BD" w:rsidRDefault="00BF53BD" w:rsidP="00BF53BD">
      <w:pPr>
        <w:pStyle w:val="SH4"/>
      </w:pPr>
      <w:r>
        <w:t>dizziness;</w:t>
      </w:r>
    </w:p>
    <w:p w:rsidR="00BF53BD" w:rsidRDefault="00BF53BD" w:rsidP="00BF53BD">
      <w:pPr>
        <w:pStyle w:val="SH4"/>
      </w:pPr>
      <w:r>
        <w:t>hypervigilance;</w:t>
      </w:r>
    </w:p>
    <w:p w:rsidR="00BF53BD" w:rsidRDefault="00BF53BD" w:rsidP="00BF53BD">
      <w:pPr>
        <w:pStyle w:val="SH4"/>
      </w:pPr>
      <w:r>
        <w:t>numbness, tingling or soreness down the side of face, neck or shoulder; and</w:t>
      </w:r>
    </w:p>
    <w:p w:rsidR="00BF53BD" w:rsidRDefault="00BF53BD" w:rsidP="00BF53BD">
      <w:pPr>
        <w:pStyle w:val="SH4"/>
      </w:pPr>
      <w:proofErr w:type="gramStart"/>
      <w:r>
        <w:t>tinnitus</w:t>
      </w:r>
      <w:proofErr w:type="gramEnd"/>
      <w:r>
        <w:t>.</w:t>
      </w:r>
    </w:p>
    <w:p w:rsidR="00BF53BD" w:rsidRPr="00271C21" w:rsidRDefault="00BF53BD" w:rsidP="00BF53BD">
      <w:pPr>
        <w:pStyle w:val="ScheduleNote"/>
        <w:ind w:left="1276" w:hanging="425"/>
      </w:pPr>
      <w:r>
        <w:t xml:space="preserve">Note: </w:t>
      </w:r>
      <w:r w:rsidRPr="00034EB4">
        <w:t>The sounds associated with the development of acoustic shock symptoms include crackles, hisses, whistles, shrieks and high-pitched noises.</w:t>
      </w:r>
    </w:p>
    <w:p w:rsidR="00BF53BD" w:rsidRPr="0024255D" w:rsidRDefault="00BF53BD" w:rsidP="00BF53BD">
      <w:pPr>
        <w:pStyle w:val="SH3"/>
        <w:ind w:left="851" w:hanging="851"/>
      </w:pPr>
      <w:proofErr w:type="gramStart"/>
      <w:r w:rsidRPr="0024255D">
        <w:rPr>
          <w:b/>
          <w:i/>
        </w:rPr>
        <w:t>dB(</w:t>
      </w:r>
      <w:proofErr w:type="gramEnd"/>
      <w:r w:rsidRPr="0024255D">
        <w:rPr>
          <w:b/>
          <w:i/>
        </w:rPr>
        <w:t>A)</w:t>
      </w:r>
      <w:r w:rsidRPr="0024255D">
        <w:t xml:space="preserve"> means the sound pressure level in decibels measured by a sound level meter using a type A electronic filter.</w:t>
      </w:r>
    </w:p>
    <w:p w:rsidR="00BF53BD" w:rsidRPr="00BF53BD" w:rsidRDefault="00BF53BD" w:rsidP="00BF53BD">
      <w:pPr>
        <w:pStyle w:val="SH3"/>
        <w:ind w:left="851" w:hanging="851"/>
      </w:pPr>
      <w:proofErr w:type="gramStart"/>
      <w:r w:rsidRPr="002D5150">
        <w:rPr>
          <w:b/>
          <w:i/>
        </w:rPr>
        <w:t>dB(</w:t>
      </w:r>
      <w:proofErr w:type="gramEnd"/>
      <w:r w:rsidRPr="002D5150">
        <w:rPr>
          <w:b/>
          <w:i/>
        </w:rPr>
        <w:t>C)</w:t>
      </w:r>
      <w:r w:rsidRPr="002D5150">
        <w:t xml:space="preserve"> means the sound pressure level in decibels measured by a sound level meter usi</w:t>
      </w:r>
      <w:r>
        <w:t>ng a type C electronic filter.</w:t>
      </w:r>
      <w:r w:rsidR="005A1EC4">
        <w:t xml:space="preserve"> </w:t>
      </w:r>
      <w:r>
        <w:t xml:space="preserve"> </w:t>
      </w:r>
      <w:r w:rsidRPr="002D5150">
        <w:t>The type C filter is used to measure peak o</w:t>
      </w:r>
      <w:r>
        <w:t>r impact sound pressure levels.</w:t>
      </w:r>
    </w:p>
    <w:p w:rsidR="00BF53BD" w:rsidRPr="00513D05" w:rsidRDefault="00BF53BD" w:rsidP="00BF53BD">
      <w:pPr>
        <w:pStyle w:val="SH3"/>
        <w:ind w:left="851" w:hanging="851"/>
      </w:pPr>
      <w:proofErr w:type="spellStart"/>
      <w:proofErr w:type="gramStart"/>
      <w:r w:rsidRPr="00F84E4A">
        <w:rPr>
          <w:b/>
          <w:i/>
        </w:rPr>
        <w:t>hyperacusis</w:t>
      </w:r>
      <w:proofErr w:type="spellEnd"/>
      <w:r w:rsidRPr="00513D05">
        <w:t>—</w:t>
      </w:r>
      <w:proofErr w:type="gramEnd"/>
      <w:r w:rsidRPr="00513D05">
        <w:t>see subsection</w:t>
      </w:r>
      <w:r>
        <w:t xml:space="preserve">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2A69E1" w:rsidRPr="002A69E1" w:rsidRDefault="002A69E1" w:rsidP="00431603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Pr="002A69E1">
        <w:t xml:space="preserve"> are also defined in the Schedule 1 - Dictionary.</w:t>
      </w:r>
      <w:r w:rsidRPr="002A69E1">
        <w:tab/>
      </w:r>
    </w:p>
    <w:p w:rsidR="00014E74" w:rsidRDefault="00014E74" w:rsidP="00014E74">
      <w:pPr>
        <w:pStyle w:val="SH3"/>
        <w:ind w:left="851" w:hanging="851"/>
      </w:pPr>
      <w:r w:rsidRPr="002A0080">
        <w:rPr>
          <w:b/>
          <w:i/>
        </w:rPr>
        <w:t>specified list of inner ear disorders</w:t>
      </w:r>
      <w:r w:rsidRPr="002A0080">
        <w:t xml:space="preserve"> means:</w:t>
      </w:r>
    </w:p>
    <w:p w:rsidR="00014E74" w:rsidRDefault="00014E74" w:rsidP="00014E74">
      <w:pPr>
        <w:pStyle w:val="SH4"/>
      </w:pPr>
      <w:r>
        <w:t xml:space="preserve">lateral semicircular canal dysplasia; </w:t>
      </w:r>
    </w:p>
    <w:p w:rsidR="00014E74" w:rsidRDefault="00014E74" w:rsidP="00014E74">
      <w:pPr>
        <w:pStyle w:val="SH4"/>
      </w:pPr>
      <w:r>
        <w:t xml:space="preserve">perilymphatic fistula; </w:t>
      </w:r>
    </w:p>
    <w:p w:rsidR="00014E74" w:rsidRDefault="00014E74" w:rsidP="00014E74">
      <w:pPr>
        <w:pStyle w:val="SH4"/>
      </w:pPr>
      <w:r>
        <w:t>stapes hypermobility; or</w:t>
      </w:r>
    </w:p>
    <w:p w:rsidR="00014E74" w:rsidRPr="002717B8" w:rsidRDefault="00014E74" w:rsidP="00014E74">
      <w:pPr>
        <w:pStyle w:val="SH4"/>
      </w:pPr>
      <w:proofErr w:type="gramStart"/>
      <w:r>
        <w:t>superior</w:t>
      </w:r>
      <w:proofErr w:type="gramEnd"/>
      <w:r>
        <w:t xml:space="preserve"> semicircular canal dehiscence.</w:t>
      </w:r>
    </w:p>
    <w:p w:rsidR="00014E74" w:rsidRDefault="00014E74" w:rsidP="00014E74">
      <w:pPr>
        <w:pStyle w:val="SH3"/>
        <w:ind w:left="851" w:hanging="851"/>
      </w:pPr>
      <w:r w:rsidRPr="002717B8">
        <w:rPr>
          <w:b/>
          <w:i/>
        </w:rPr>
        <w:t>specified list of viral or bacterial infections</w:t>
      </w:r>
      <w:r w:rsidRPr="002717B8">
        <w:t xml:space="preserve"> means:</w:t>
      </w:r>
    </w:p>
    <w:p w:rsidR="00014E74" w:rsidRDefault="00014E74" w:rsidP="00014E74">
      <w:pPr>
        <w:pStyle w:val="SH4"/>
      </w:pPr>
      <w:r>
        <w:t>neurosyphilis;</w:t>
      </w:r>
    </w:p>
    <w:p w:rsidR="00014E74" w:rsidRDefault="00014E74" w:rsidP="00014E74">
      <w:pPr>
        <w:pStyle w:val="SH4"/>
      </w:pPr>
      <w:r>
        <w:t xml:space="preserve">Lyme disease; </w:t>
      </w:r>
    </w:p>
    <w:p w:rsidR="00014E74" w:rsidRDefault="00014E74" w:rsidP="00014E74">
      <w:pPr>
        <w:pStyle w:val="SH4"/>
      </w:pPr>
      <w:r w:rsidRPr="002717B8">
        <w:rPr>
          <w:i/>
        </w:rPr>
        <w:lastRenderedPageBreak/>
        <w:t>Orientia tsutsugamushi</w:t>
      </w:r>
      <w:r>
        <w:t xml:space="preserve"> infection (scrub typhus); or</w:t>
      </w:r>
    </w:p>
    <w:p w:rsidR="00014E74" w:rsidRPr="00014E74" w:rsidRDefault="00014E74" w:rsidP="00014E74">
      <w:pPr>
        <w:pStyle w:val="SH4"/>
      </w:pPr>
      <w:r w:rsidRPr="00014E74">
        <w:rPr>
          <w:i/>
        </w:rPr>
        <w:t>Rickettsia prowazekii</w:t>
      </w:r>
      <w:r>
        <w:t xml:space="preserve"> infection.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830460" w:rsidRDefault="00830460" w:rsidP="00830460">
      <w:pPr>
        <w:pStyle w:val="SH3"/>
        <w:keepNext/>
        <w:keepLines/>
        <w:ind w:left="851"/>
      </w:pPr>
      <w:r w:rsidRPr="001275AC">
        <w:rPr>
          <w:b/>
          <w:i/>
        </w:rPr>
        <w:lastRenderedPageBreak/>
        <w:t>time-weighted average (TWA) with</w:t>
      </w:r>
      <w:r>
        <w:rPr>
          <w:b/>
          <w:i/>
        </w:rPr>
        <w:t xml:space="preserve"> a</w:t>
      </w:r>
      <w:r w:rsidRPr="001275AC">
        <w:rPr>
          <w:b/>
          <w:i/>
        </w:rPr>
        <w:t xml:space="preserve"> 3</w:t>
      </w:r>
      <w:r>
        <w:rPr>
          <w:b/>
          <w:i/>
        </w:rPr>
        <w:t>-</w:t>
      </w:r>
      <w:r w:rsidRPr="001275AC">
        <w:rPr>
          <w:b/>
          <w:i/>
        </w:rPr>
        <w:t>dB exchange rate</w:t>
      </w:r>
      <w:r w:rsidRPr="001275AC">
        <w:t xml:space="preserve"> means the time-weighted average noise exposure level calculated according to the following formulae and shown in the table:</w:t>
      </w:r>
    </w:p>
    <w:p w:rsidR="00830460" w:rsidRDefault="00830460" w:rsidP="00830460">
      <w:pPr>
        <w:keepNext/>
        <w:keepLines/>
        <w:spacing w:line="120" w:lineRule="atLeast"/>
        <w:ind w:left="1560" w:hanging="284"/>
        <w:rPr>
          <w:sz w:val="24"/>
          <w:szCs w:val="24"/>
        </w:rPr>
      </w:pPr>
    </w:p>
    <w:p w:rsidR="00830460" w:rsidRPr="001275AC" w:rsidRDefault="00830460" w:rsidP="00830460">
      <w:pPr>
        <w:keepNext/>
        <w:keepLines/>
        <w:spacing w:line="120" w:lineRule="atLeast"/>
        <w:ind w:left="1560" w:hanging="284"/>
        <w:rPr>
          <w:sz w:val="24"/>
          <w:szCs w:val="24"/>
        </w:rPr>
      </w:pPr>
      <w:r w:rsidRPr="001275AC">
        <w:rPr>
          <w:sz w:val="24"/>
          <w:szCs w:val="24"/>
        </w:rPr>
        <w:t xml:space="preserve">TWA = 10.0 </w:t>
      </w:r>
      <w:r w:rsidRPr="001275AC">
        <w:rPr>
          <w:sz w:val="24"/>
          <w:szCs w:val="24"/>
        </w:rPr>
        <w:sym w:font="Symbol" w:char="F0B4"/>
      </w:r>
      <w:r w:rsidRPr="001275AC">
        <w:rPr>
          <w:sz w:val="24"/>
          <w:szCs w:val="24"/>
        </w:rPr>
        <w:t xml:space="preserve"> </w:t>
      </w:r>
      <w:proofErr w:type="gramStart"/>
      <w:r w:rsidRPr="001275AC">
        <w:rPr>
          <w:sz w:val="24"/>
          <w:szCs w:val="24"/>
        </w:rPr>
        <w:t>Log(</w:t>
      </w:r>
      <w:proofErr w:type="gramEnd"/>
      <w:r w:rsidRPr="001275AC">
        <w:rPr>
          <w:sz w:val="24"/>
          <w:szCs w:val="24"/>
        </w:rPr>
        <w:t>D/100) + 85</w:t>
      </w:r>
    </w:p>
    <w:p w:rsidR="00830460" w:rsidRPr="001275AC" w:rsidRDefault="00830460" w:rsidP="00830460">
      <w:pPr>
        <w:keepNext/>
        <w:keepLines/>
        <w:spacing w:after="120" w:line="120" w:lineRule="atLeast"/>
        <w:ind w:left="1276"/>
        <w:rPr>
          <w:sz w:val="24"/>
          <w:szCs w:val="24"/>
        </w:rPr>
      </w:pPr>
      <w:proofErr w:type="gramStart"/>
      <w:r w:rsidRPr="001275AC">
        <w:rPr>
          <w:sz w:val="24"/>
          <w:szCs w:val="24"/>
        </w:rPr>
        <w:t>where</w:t>
      </w:r>
      <w:proofErr w:type="gramEnd"/>
      <w:r w:rsidRPr="001275AC">
        <w:rPr>
          <w:sz w:val="24"/>
          <w:szCs w:val="24"/>
        </w:rPr>
        <w:t xml:space="preserve"> D = daily dose; and</w:t>
      </w:r>
    </w:p>
    <w:p w:rsidR="00830460" w:rsidRPr="001275AC" w:rsidRDefault="00830460" w:rsidP="00830460">
      <w:pPr>
        <w:keepNext/>
        <w:keepLines/>
        <w:ind w:left="1276"/>
        <w:rPr>
          <w:sz w:val="24"/>
          <w:szCs w:val="24"/>
        </w:rPr>
      </w:pPr>
      <w:r>
        <w:rPr>
          <w:sz w:val="24"/>
          <w:szCs w:val="24"/>
        </w:rPr>
        <w:t>D = [</w:t>
      </w:r>
      <w:r w:rsidRPr="001275AC">
        <w:rPr>
          <w:sz w:val="24"/>
          <w:szCs w:val="24"/>
        </w:rPr>
        <w:t>C</w:t>
      </w:r>
      <w:r w:rsidRPr="001275AC">
        <w:rPr>
          <w:sz w:val="24"/>
          <w:szCs w:val="24"/>
          <w:vertAlign w:val="subscript"/>
        </w:rPr>
        <w:t>1</w:t>
      </w:r>
      <w:r w:rsidRPr="001275AC">
        <w:rPr>
          <w:sz w:val="24"/>
          <w:szCs w:val="24"/>
        </w:rPr>
        <w:t>/T</w:t>
      </w:r>
      <w:r w:rsidRPr="001275AC">
        <w:rPr>
          <w:sz w:val="24"/>
          <w:szCs w:val="24"/>
          <w:vertAlign w:val="subscript"/>
        </w:rPr>
        <w:t>1</w:t>
      </w:r>
      <w:r w:rsidRPr="001275AC">
        <w:rPr>
          <w:sz w:val="24"/>
          <w:szCs w:val="24"/>
        </w:rPr>
        <w:t xml:space="preserve"> + C</w:t>
      </w:r>
      <w:r w:rsidRPr="001275AC">
        <w:rPr>
          <w:sz w:val="24"/>
          <w:szCs w:val="24"/>
          <w:vertAlign w:val="subscript"/>
        </w:rPr>
        <w:t>2</w:t>
      </w:r>
      <w:r w:rsidRPr="001275AC">
        <w:rPr>
          <w:sz w:val="24"/>
          <w:szCs w:val="24"/>
        </w:rPr>
        <w:t>/T</w:t>
      </w:r>
      <w:r w:rsidRPr="001275AC">
        <w:rPr>
          <w:sz w:val="24"/>
          <w:szCs w:val="24"/>
          <w:vertAlign w:val="subscript"/>
        </w:rPr>
        <w:t>2</w:t>
      </w:r>
      <w:r w:rsidRPr="001275AC">
        <w:rPr>
          <w:sz w:val="24"/>
          <w:szCs w:val="24"/>
        </w:rPr>
        <w:t xml:space="preserve"> + …..+ C</w:t>
      </w:r>
      <w:r w:rsidRPr="001275AC">
        <w:rPr>
          <w:sz w:val="24"/>
          <w:szCs w:val="24"/>
          <w:vertAlign w:val="subscript"/>
        </w:rPr>
        <w:t>n</w:t>
      </w:r>
      <w:r w:rsidRPr="001275AC">
        <w:rPr>
          <w:sz w:val="24"/>
          <w:szCs w:val="24"/>
        </w:rPr>
        <w:t>/</w:t>
      </w:r>
      <w:proofErr w:type="spellStart"/>
      <w:r w:rsidRPr="001275AC">
        <w:rPr>
          <w:sz w:val="24"/>
          <w:szCs w:val="24"/>
        </w:rPr>
        <w:t>T</w:t>
      </w:r>
      <w:r w:rsidRPr="001275AC">
        <w:rPr>
          <w:sz w:val="24"/>
          <w:szCs w:val="24"/>
          <w:vertAlign w:val="subscript"/>
        </w:rPr>
        <w:t>n</w:t>
      </w:r>
      <w:proofErr w:type="spellEnd"/>
      <w:r w:rsidRPr="001275AC">
        <w:rPr>
          <w:sz w:val="24"/>
          <w:szCs w:val="24"/>
        </w:rPr>
        <w:t xml:space="preserve">] </w:t>
      </w:r>
      <w:r w:rsidRPr="001275AC">
        <w:rPr>
          <w:sz w:val="24"/>
          <w:szCs w:val="24"/>
        </w:rPr>
        <w:sym w:font="Symbol" w:char="F0B4"/>
      </w:r>
      <w:r w:rsidRPr="001275AC">
        <w:rPr>
          <w:sz w:val="24"/>
          <w:szCs w:val="24"/>
        </w:rPr>
        <w:t xml:space="preserve"> 100</w:t>
      </w:r>
    </w:p>
    <w:p w:rsidR="00830460" w:rsidRPr="001275AC" w:rsidRDefault="00830460" w:rsidP="00830460">
      <w:pPr>
        <w:keepNext/>
        <w:keepLines/>
        <w:spacing w:after="120"/>
        <w:ind w:left="1276"/>
        <w:rPr>
          <w:sz w:val="24"/>
          <w:szCs w:val="24"/>
        </w:rPr>
      </w:pPr>
      <w:proofErr w:type="gramStart"/>
      <w:r w:rsidRPr="001275AC">
        <w:rPr>
          <w:sz w:val="24"/>
          <w:szCs w:val="24"/>
        </w:rPr>
        <w:t>where</w:t>
      </w:r>
      <w:proofErr w:type="gramEnd"/>
      <w:r w:rsidRPr="001275AC">
        <w:rPr>
          <w:sz w:val="24"/>
          <w:szCs w:val="24"/>
        </w:rPr>
        <w:t xml:space="preserve"> </w:t>
      </w:r>
      <w:r w:rsidRPr="001275AC">
        <w:rPr>
          <w:sz w:val="24"/>
          <w:szCs w:val="24"/>
        </w:rPr>
        <w:tab/>
        <w:t>C</w:t>
      </w:r>
      <w:r w:rsidRPr="001275AC">
        <w:rPr>
          <w:sz w:val="24"/>
          <w:szCs w:val="24"/>
          <w:vertAlign w:val="subscript"/>
        </w:rPr>
        <w:t>n</w:t>
      </w:r>
      <w:r w:rsidRPr="001275AC">
        <w:rPr>
          <w:sz w:val="24"/>
          <w:szCs w:val="24"/>
        </w:rPr>
        <w:t xml:space="preserve"> = total time of expo</w:t>
      </w:r>
      <w:r>
        <w:rPr>
          <w:sz w:val="24"/>
          <w:szCs w:val="24"/>
        </w:rPr>
        <w:t>sure at a specified noise level; and</w:t>
      </w:r>
      <w:r w:rsidRPr="001275AC">
        <w:rPr>
          <w:sz w:val="24"/>
          <w:szCs w:val="24"/>
        </w:rPr>
        <w:t xml:space="preserve"> </w:t>
      </w:r>
    </w:p>
    <w:p w:rsidR="00830460" w:rsidRDefault="00830460" w:rsidP="00830460">
      <w:pPr>
        <w:pStyle w:val="SH3"/>
        <w:keepNext/>
        <w:keepLines/>
        <w:ind w:left="1276" w:firstLine="0"/>
      </w:pPr>
      <w:proofErr w:type="spellStart"/>
      <w:r w:rsidRPr="001275AC">
        <w:t>T</w:t>
      </w:r>
      <w:r w:rsidRPr="001275AC">
        <w:rPr>
          <w:vertAlign w:val="subscript"/>
        </w:rPr>
        <w:t>n</w:t>
      </w:r>
      <w:proofErr w:type="spellEnd"/>
      <w:r w:rsidRPr="001275AC">
        <w:t xml:space="preserve"> = exposure duration for which noise at this level becomes hazardous</w:t>
      </w:r>
    </w:p>
    <w:p w:rsidR="00830460" w:rsidRDefault="00830460" w:rsidP="00830460">
      <w:pPr>
        <w:keepNext/>
        <w:keepLines/>
        <w:jc w:val="center"/>
        <w:rPr>
          <w:u w:val="single"/>
        </w:rPr>
      </w:pPr>
    </w:p>
    <w:p w:rsidR="00830460" w:rsidRPr="00EB7C18" w:rsidRDefault="00830460" w:rsidP="00830460">
      <w:pPr>
        <w:keepNext/>
        <w:keepLines/>
        <w:jc w:val="center"/>
        <w:rPr>
          <w:szCs w:val="24"/>
        </w:rPr>
      </w:pPr>
      <w:r w:rsidRPr="008733B5">
        <w:rPr>
          <w:sz w:val="24"/>
          <w:szCs w:val="24"/>
        </w:rPr>
        <w:t>Table of noise exposure levels and</w:t>
      </w:r>
    </w:p>
    <w:p w:rsidR="00830460" w:rsidRPr="00EB7C18" w:rsidRDefault="00830460" w:rsidP="00830460">
      <w:pPr>
        <w:keepNext/>
        <w:keepLines/>
        <w:jc w:val="center"/>
        <w:rPr>
          <w:szCs w:val="24"/>
        </w:rPr>
      </w:pPr>
      <w:proofErr w:type="gramStart"/>
      <w:r w:rsidRPr="008733B5">
        <w:rPr>
          <w:sz w:val="24"/>
          <w:szCs w:val="24"/>
        </w:rPr>
        <w:t>durations</w:t>
      </w:r>
      <w:proofErr w:type="gramEnd"/>
      <w:r w:rsidRPr="008733B5">
        <w:rPr>
          <w:sz w:val="24"/>
          <w:szCs w:val="24"/>
        </w:rPr>
        <w:t xml:space="preserve"> based on 3-dB(A) exchange rate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992"/>
        <w:gridCol w:w="1134"/>
        <w:gridCol w:w="851"/>
        <w:gridCol w:w="992"/>
        <w:gridCol w:w="992"/>
      </w:tblGrid>
      <w:tr w:rsidR="00830460" w:rsidTr="00551182">
        <w:trPr>
          <w:cantSplit/>
          <w:trHeight w:val="472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30460" w:rsidRDefault="00830460" w:rsidP="00551182">
            <w:pPr>
              <w:keepNext/>
              <w:keepLines/>
              <w:jc w:val="center"/>
            </w:pPr>
            <w:r>
              <w:t xml:space="preserve">Duration, </w:t>
            </w:r>
            <w:r>
              <w:rPr>
                <w:i/>
              </w:rPr>
              <w:t>T</w:t>
            </w:r>
          </w:p>
        </w:tc>
        <w:tc>
          <w:tcPr>
            <w:tcW w:w="1134" w:type="dxa"/>
            <w:vAlign w:val="center"/>
          </w:tcPr>
          <w:p w:rsidR="00830460" w:rsidRDefault="00830460" w:rsidP="00551182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30460" w:rsidRDefault="00830460" w:rsidP="00551182">
            <w:pPr>
              <w:keepNext/>
              <w:keepLines/>
              <w:jc w:val="center"/>
            </w:pPr>
            <w:r>
              <w:t xml:space="preserve">Duration, </w:t>
            </w:r>
            <w:r>
              <w:rPr>
                <w:i/>
              </w:rPr>
              <w:t>T</w:t>
            </w:r>
          </w:p>
        </w:tc>
      </w:tr>
      <w:tr w:rsidR="00830460" w:rsidTr="00551182">
        <w:trPr>
          <w:cantSplit/>
          <w:trHeight w:val="675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Exposure</w:t>
            </w:r>
          </w:p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 xml:space="preserve">Level, </w:t>
            </w:r>
            <w:r>
              <w:rPr>
                <w:i/>
              </w:rPr>
              <w:t>L</w:t>
            </w:r>
          </w:p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(dB(A))</w:t>
            </w:r>
          </w:p>
        </w:tc>
        <w:tc>
          <w:tcPr>
            <w:tcW w:w="851" w:type="dxa"/>
            <w:vAlign w:val="bottom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Hours</w:t>
            </w:r>
          </w:p>
        </w:tc>
        <w:tc>
          <w:tcPr>
            <w:tcW w:w="992" w:type="dxa"/>
            <w:vAlign w:val="bottom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Minutes</w:t>
            </w:r>
          </w:p>
        </w:tc>
        <w:tc>
          <w:tcPr>
            <w:tcW w:w="992" w:type="dxa"/>
            <w:vAlign w:val="bottom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Seconds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Exposure</w:t>
            </w:r>
          </w:p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 xml:space="preserve">Level, </w:t>
            </w:r>
            <w:r>
              <w:rPr>
                <w:i/>
              </w:rPr>
              <w:t>L</w:t>
            </w:r>
          </w:p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(dB(A))</w:t>
            </w:r>
          </w:p>
        </w:tc>
        <w:tc>
          <w:tcPr>
            <w:tcW w:w="851" w:type="dxa"/>
            <w:vAlign w:val="bottom"/>
          </w:tcPr>
          <w:p w:rsidR="00830460" w:rsidRDefault="00830460" w:rsidP="00551182">
            <w:pPr>
              <w:keepNext/>
              <w:keepLines/>
              <w:jc w:val="center"/>
            </w:pPr>
            <w:r>
              <w:t>Hours</w:t>
            </w:r>
          </w:p>
        </w:tc>
        <w:tc>
          <w:tcPr>
            <w:tcW w:w="992" w:type="dxa"/>
            <w:vAlign w:val="bottom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Minutes</w:t>
            </w:r>
          </w:p>
        </w:tc>
        <w:tc>
          <w:tcPr>
            <w:tcW w:w="992" w:type="dxa"/>
            <w:vAlign w:val="bottom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Seconds</w:t>
            </w:r>
          </w:p>
        </w:tc>
      </w:tr>
      <w:tr w:rsidR="00830460" w:rsidTr="00551182"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  <w:rPr>
                <w:b/>
              </w:rPr>
            </w:pP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45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59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22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53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29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56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45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114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35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28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116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22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117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18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118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14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93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121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7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122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6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3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99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3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127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128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103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129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130-140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&lt;1</w:t>
            </w:r>
          </w:p>
        </w:tc>
      </w:tr>
      <w:tr w:rsidR="00830460" w:rsidTr="00551182">
        <w:trPr>
          <w:trHeight w:hRule="exact" w:val="260"/>
        </w:trPr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tabs>
                <w:tab w:val="left" w:pos="0"/>
              </w:tabs>
              <w:ind w:left="34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  <w:tc>
          <w:tcPr>
            <w:tcW w:w="851" w:type="dxa"/>
          </w:tcPr>
          <w:p w:rsidR="00830460" w:rsidRDefault="00830460" w:rsidP="00551182">
            <w:pPr>
              <w:keepNext/>
              <w:keepLines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3"/>
              <w:jc w:val="center"/>
            </w:pPr>
            <w:r>
              <w:sym w:font="Symbol" w:char="F0BE"/>
            </w:r>
          </w:p>
        </w:tc>
        <w:tc>
          <w:tcPr>
            <w:tcW w:w="992" w:type="dxa"/>
          </w:tcPr>
          <w:p w:rsidR="00830460" w:rsidRDefault="00830460" w:rsidP="00551182">
            <w:pPr>
              <w:keepNext/>
              <w:keepLines/>
              <w:ind w:left="34"/>
              <w:jc w:val="center"/>
            </w:pPr>
            <w:r>
              <w:sym w:font="Symbol" w:char="F0BE"/>
            </w:r>
          </w:p>
        </w:tc>
      </w:tr>
    </w:tbl>
    <w:p w:rsidR="00830460" w:rsidRPr="0024255D" w:rsidRDefault="00830460" w:rsidP="00830460">
      <w:pPr>
        <w:pStyle w:val="SH3"/>
        <w:ind w:left="851" w:hanging="851"/>
      </w:pPr>
      <w:r w:rsidRPr="008733B5">
        <w:rPr>
          <w:sz w:val="20"/>
          <w:szCs w:val="20"/>
        </w:rPr>
        <w:t>Source: National Institute of Occupational Safety and Health 1998 Guidelines Publication No. 98-126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CB15C1">
      <w:pPr>
        <w:tabs>
          <w:tab w:val="left" w:pos="2552"/>
        </w:tabs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40" w:rsidRDefault="00C34540" w:rsidP="00715914">
      <w:pPr>
        <w:spacing w:line="240" w:lineRule="auto"/>
      </w:pPr>
      <w:r>
        <w:separator/>
      </w:r>
    </w:p>
  </w:endnote>
  <w:endnote w:type="continuationSeparator" w:id="0">
    <w:p w:rsidR="00C34540" w:rsidRDefault="00C345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E33C1C" w:rsidRDefault="00C34540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C34540" w:rsidRPr="00C01863" w:rsidTr="004D587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Pr="00C01863" w:rsidRDefault="00C34540" w:rsidP="002766E1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Default="00C34540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C34540" w:rsidRDefault="00C34540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F84E4A">
            <w:rPr>
              <w:i/>
              <w:sz w:val="18"/>
              <w:szCs w:val="18"/>
            </w:rPr>
            <w:t>Hyperacusis</w:t>
          </w:r>
          <w:proofErr w:type="spellEnd"/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 xml:space="preserve">28 </w:t>
          </w:r>
          <w:r w:rsidRPr="007C5CE0">
            <w:rPr>
              <w:i/>
              <w:sz w:val="18"/>
              <w:szCs w:val="18"/>
            </w:rPr>
            <w:t xml:space="preserve">of </w:t>
          </w:r>
          <w:r w:rsidRPr="00F84E4A">
            <w:rPr>
              <w:i/>
              <w:sz w:val="18"/>
              <w:szCs w:val="18"/>
            </w:rPr>
            <w:t>2021</w:t>
          </w:r>
          <w:r w:rsidRPr="007C5CE0">
            <w:rPr>
              <w:i/>
              <w:sz w:val="18"/>
              <w:szCs w:val="18"/>
            </w:rPr>
            <w:t>)</w:t>
          </w:r>
        </w:p>
        <w:p w:rsidR="00C34540" w:rsidRPr="007C5CE0" w:rsidRDefault="00C34540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Pr="00C01863" w:rsidRDefault="00C34540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C37C3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C37C3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C34540" w:rsidRPr="00035BD7" w:rsidRDefault="00C34540" w:rsidP="0027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E33C1C" w:rsidRDefault="00C34540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C34540" w:rsidRPr="00C01863" w:rsidTr="004D587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Pr="00C01863" w:rsidRDefault="00C34540" w:rsidP="002766E1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Default="00C34540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C34540" w:rsidRDefault="00C34540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F84E4A">
            <w:rPr>
              <w:i/>
              <w:sz w:val="18"/>
              <w:szCs w:val="18"/>
            </w:rPr>
            <w:t>Hyperacusis</w:t>
          </w:r>
          <w:proofErr w:type="spellEnd"/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</w:rPr>
            <w:t xml:space="preserve">28 </w:t>
          </w:r>
          <w:r w:rsidRPr="007C5CE0">
            <w:rPr>
              <w:i/>
              <w:sz w:val="18"/>
              <w:szCs w:val="18"/>
            </w:rPr>
            <w:t xml:space="preserve">of </w:t>
          </w:r>
          <w:r w:rsidRPr="00F84E4A">
            <w:rPr>
              <w:i/>
              <w:sz w:val="18"/>
              <w:szCs w:val="18"/>
            </w:rPr>
            <w:t>2021</w:t>
          </w:r>
          <w:r w:rsidRPr="007C5CE0">
            <w:rPr>
              <w:i/>
              <w:sz w:val="18"/>
              <w:szCs w:val="18"/>
            </w:rPr>
            <w:t>)</w:t>
          </w:r>
        </w:p>
        <w:p w:rsidR="00C34540" w:rsidRPr="007C5CE0" w:rsidRDefault="00C34540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4540" w:rsidRPr="00C01863" w:rsidRDefault="00C34540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F3C1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F3C19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C34540" w:rsidRPr="00035BD7" w:rsidRDefault="00C34540" w:rsidP="0027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8859EF" w:rsidRDefault="00C34540" w:rsidP="008859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E33C1C" w:rsidRDefault="00C3454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2766E1" w:rsidRDefault="00C34540" w:rsidP="002766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2766E1" w:rsidRDefault="00C34540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40" w:rsidRDefault="00C34540" w:rsidP="00715914">
      <w:pPr>
        <w:spacing w:line="240" w:lineRule="auto"/>
      </w:pPr>
      <w:r>
        <w:separator/>
      </w:r>
    </w:p>
  </w:footnote>
  <w:footnote w:type="continuationSeparator" w:id="0">
    <w:p w:rsidR="00C34540" w:rsidRDefault="00C345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2766E1" w:rsidRDefault="00C34540" w:rsidP="0027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Default="00C34540" w:rsidP="0090297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C34540" w:rsidRDefault="00C34540" w:rsidP="0090297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Default="00C345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2766E1" w:rsidRDefault="00C34540" w:rsidP="002766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2766E1" w:rsidRDefault="00C34540" w:rsidP="002766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0" w:rsidRPr="007A1328" w:rsidRDefault="00C3454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988507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4E74"/>
    <w:rsid w:val="0001587D"/>
    <w:rsid w:val="00024911"/>
    <w:rsid w:val="00032E05"/>
    <w:rsid w:val="000437C1"/>
    <w:rsid w:val="00046E67"/>
    <w:rsid w:val="00051B75"/>
    <w:rsid w:val="00052B2C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37C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3C19"/>
    <w:rsid w:val="003F4535"/>
    <w:rsid w:val="004057D7"/>
    <w:rsid w:val="004116CD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D5872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422"/>
    <w:rsid w:val="00537FBC"/>
    <w:rsid w:val="00545116"/>
    <w:rsid w:val="00551182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1EC4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6228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0460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1DA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4343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BF53BD"/>
    <w:rsid w:val="00C01863"/>
    <w:rsid w:val="00C11D03"/>
    <w:rsid w:val="00C16E41"/>
    <w:rsid w:val="00C25E7F"/>
    <w:rsid w:val="00C2746F"/>
    <w:rsid w:val="00C324A0"/>
    <w:rsid w:val="00C3300F"/>
    <w:rsid w:val="00C34540"/>
    <w:rsid w:val="00C349C5"/>
    <w:rsid w:val="00C42BF8"/>
    <w:rsid w:val="00C50043"/>
    <w:rsid w:val="00C5731E"/>
    <w:rsid w:val="00C738B9"/>
    <w:rsid w:val="00C7573B"/>
    <w:rsid w:val="00C76F88"/>
    <w:rsid w:val="00C77046"/>
    <w:rsid w:val="00C93C03"/>
    <w:rsid w:val="00C96667"/>
    <w:rsid w:val="00C9794D"/>
    <w:rsid w:val="00CA61BB"/>
    <w:rsid w:val="00CA7414"/>
    <w:rsid w:val="00CB15C1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7F2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16A3"/>
    <w:rsid w:val="00E544BB"/>
    <w:rsid w:val="00E55F66"/>
    <w:rsid w:val="00E64EE4"/>
    <w:rsid w:val="00E662CB"/>
    <w:rsid w:val="00E70248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2C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4E4A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917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3160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31603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4D5872"/>
    <w:pPr>
      <w:tabs>
        <w:tab w:val="left" w:pos="567"/>
      </w:tabs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4D587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1981</Words>
  <Characters>11293</Characters>
  <Application>Microsoft Office Word</Application>
  <DocSecurity>0</DocSecurity>
  <PresentationFormat/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2020-11-26T03:38:00Z</dcterms:created>
  <dcterms:modified xsi:type="dcterms:W3CDTF">2020-12-18T02:24:00Z</dcterms:modified>
  <cp:category/>
  <cp:contentStatus/>
  <dc:language/>
  <cp:version/>
</cp:coreProperties>
</file>