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B47F85" w:rsidP="000D4972">
      <w:pPr>
        <w:pStyle w:val="Plainheader"/>
      </w:pPr>
      <w:bookmarkStart w:id="0" w:name="SoP_Name_Title"/>
      <w:r>
        <w:t>FIBROMYALGIA</w:t>
      </w:r>
      <w:bookmarkEnd w:id="0"/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887B14">
        <w:t>108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B47F85">
        <w:t>2021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887B14">
        <w:t>22 October 2021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 xml:space="preserve">Professor </w:t>
            </w:r>
            <w:r w:rsidR="00B47F85">
              <w:t>Terence Campbell AM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887B1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887B14">
        <w:rPr>
          <w:noProof/>
        </w:rPr>
        <w:t>1</w:t>
      </w:r>
      <w:r w:rsidR="00887B1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87B14">
        <w:rPr>
          <w:noProof/>
        </w:rPr>
        <w:t>Name</w:t>
      </w:r>
      <w:r w:rsidR="00887B14">
        <w:rPr>
          <w:noProof/>
        </w:rPr>
        <w:tab/>
      </w:r>
      <w:r w:rsidR="00887B14">
        <w:rPr>
          <w:noProof/>
        </w:rPr>
        <w:fldChar w:fldCharType="begin"/>
      </w:r>
      <w:r w:rsidR="00887B14">
        <w:rPr>
          <w:noProof/>
        </w:rPr>
        <w:instrText xml:space="preserve"> PAGEREF _Toc85224290 \h </w:instrText>
      </w:r>
      <w:r w:rsidR="00887B14">
        <w:rPr>
          <w:noProof/>
        </w:rPr>
      </w:r>
      <w:r w:rsidR="00887B14">
        <w:rPr>
          <w:noProof/>
        </w:rPr>
        <w:fldChar w:fldCharType="separate"/>
      </w:r>
      <w:r w:rsidR="00887B14">
        <w:rPr>
          <w:noProof/>
        </w:rPr>
        <w:t>3</w:t>
      </w:r>
      <w:r w:rsidR="00887B14"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_Toc85224291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_Toc85224292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_Toc85224293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_Toc85224294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_Toc85224295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_Toc85224296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_Toc85224297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_Toc85224298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_Toc85224299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_Toc85224300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87B14" w:rsidRDefault="00887B1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887B14" w:rsidRDefault="00887B1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_Toc85224302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6B556E">
      <w:pPr>
        <w:pStyle w:val="LV1"/>
      </w:pPr>
      <w:bookmarkStart w:id="4" w:name="_Toc85224290"/>
      <w:r>
        <w:lastRenderedPageBreak/>
        <w:t>Name</w:t>
      </w:r>
      <w:bookmarkEnd w:id="4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B47F85">
        <w:rPr>
          <w:i/>
        </w:rPr>
        <w:t>fibromyalgia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887B14">
        <w:t>108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887B14">
        <w:t>2021</w:t>
      </w:r>
      <w:r w:rsidR="00E55F66" w:rsidRPr="00F97A62">
        <w:t>)</w:t>
      </w:r>
      <w:r w:rsidRPr="00F97A62">
        <w:t>.</w:t>
      </w:r>
    </w:p>
    <w:p w:rsidR="00F67B67" w:rsidRPr="00684C0E" w:rsidRDefault="00F67B67" w:rsidP="006B556E">
      <w:pPr>
        <w:pStyle w:val="LV1"/>
      </w:pPr>
      <w:bookmarkStart w:id="7" w:name="_Toc85224291"/>
      <w:r w:rsidRPr="00684C0E">
        <w:t>Commencement</w:t>
      </w:r>
      <w:bookmarkEnd w:id="7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887B14">
        <w:t>22 November 2021</w:t>
      </w:r>
      <w:r w:rsidR="00F67B67" w:rsidRPr="007527C1">
        <w:t>.</w:t>
      </w:r>
    </w:p>
    <w:p w:rsidR="00F67B67" w:rsidRPr="00684C0E" w:rsidRDefault="00F67B67" w:rsidP="006B556E">
      <w:pPr>
        <w:pStyle w:val="LV1"/>
      </w:pPr>
      <w:bookmarkStart w:id="8" w:name="_Toc85224292"/>
      <w:r w:rsidRPr="00684C0E">
        <w:t>Authority</w:t>
      </w:r>
      <w:bookmarkEnd w:id="8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6B556E">
      <w:pPr>
        <w:pStyle w:val="LV1"/>
      </w:pPr>
      <w:bookmarkStart w:id="9" w:name="_Toc85224293"/>
      <w:r>
        <w:t>Re</w:t>
      </w:r>
      <w:r w:rsidR="00CB7412">
        <w:t>peal</w:t>
      </w:r>
      <w:bookmarkEnd w:id="9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887B14" w:rsidRPr="00887B14">
        <w:t>fibromyalgia</w:t>
      </w:r>
      <w:r w:rsidRPr="00DA3996">
        <w:t xml:space="preserve"> No. </w:t>
      </w:r>
      <w:r w:rsidR="006B556E">
        <w:t>14</w:t>
      </w:r>
      <w:r w:rsidRPr="00DA3996">
        <w:t xml:space="preserve"> of </w:t>
      </w:r>
      <w:r w:rsidR="006B556E">
        <w:t>2014</w:t>
      </w:r>
      <w:r>
        <w:t xml:space="preserve"> </w:t>
      </w:r>
      <w:r w:rsidRPr="00786DAE">
        <w:t xml:space="preserve">(Federal Register of Legislation No. </w:t>
      </w:r>
      <w:r w:rsidR="006B556E" w:rsidRPr="006B556E">
        <w:t>F2014L00018</w:t>
      </w:r>
      <w:r w:rsidRPr="00786DAE">
        <w:t xml:space="preserve">) </w:t>
      </w:r>
      <w:r w:rsidRPr="00DA3996">
        <w:t>made under subsectio</w:t>
      </w:r>
      <w:r w:rsidR="006B556E">
        <w:t>n</w:t>
      </w:r>
      <w:r w:rsidRPr="00DA3996">
        <w:t xml:space="preserve">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6B556E">
      <w:pPr>
        <w:pStyle w:val="LV1"/>
      </w:pPr>
      <w:bookmarkStart w:id="10" w:name="_Toc85224294"/>
      <w:r w:rsidRPr="00684C0E">
        <w:t>Application</w:t>
      </w:r>
      <w:bookmarkEnd w:id="10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6B556E">
      <w:pPr>
        <w:pStyle w:val="LV1"/>
      </w:pPr>
      <w:bookmarkStart w:id="11" w:name="_Ref410129949"/>
      <w:bookmarkStart w:id="12" w:name="_Toc85224295"/>
      <w:r w:rsidRPr="00684C0E">
        <w:t>Definitions</w:t>
      </w:r>
      <w:bookmarkEnd w:id="11"/>
      <w:bookmarkEnd w:id="12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6B556E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8522429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:rsidR="007C7DEE" w:rsidRPr="00D5620B" w:rsidRDefault="007C7DEE" w:rsidP="00DF65CF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887B14" w:rsidRPr="00887B14">
        <w:t>fibromyalgia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887B14" w:rsidRPr="00887B14">
        <w:t>fibromyalgia</w:t>
      </w:r>
      <w:r w:rsidRPr="00D5620B">
        <w:t>.</w:t>
      </w:r>
      <w:bookmarkEnd w:id="17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887B14" w:rsidRPr="00887B14">
        <w:rPr>
          <w:b/>
        </w:rPr>
        <w:t>fibromyalgia</w:t>
      </w:r>
    </w:p>
    <w:p w:rsidR="004F2361" w:rsidRPr="00237BAF" w:rsidRDefault="000D4972" w:rsidP="004F2361">
      <w:pPr>
        <w:pStyle w:val="LV2"/>
        <w:numPr>
          <w:ilvl w:val="1"/>
          <w:numId w:val="4"/>
        </w:numPr>
        <w:ind w:left="1418"/>
      </w:pPr>
      <w:bookmarkStart w:id="18" w:name="_Ref409598124"/>
      <w:bookmarkStart w:id="19" w:name="_Ref402529683"/>
      <w:r w:rsidRPr="00237BAF">
        <w:t>For the purposes of this Statement of Principles,</w:t>
      </w:r>
      <w:r w:rsidRPr="002F77A1">
        <w:t xml:space="preserve"> </w:t>
      </w:r>
      <w:r w:rsidR="00887B14" w:rsidRPr="00887B14">
        <w:t>fibromyalgia</w:t>
      </w:r>
      <w:r w:rsidR="004F2361">
        <w:t xml:space="preserve"> </w:t>
      </w:r>
      <w:bookmarkEnd w:id="18"/>
      <w:bookmarkEnd w:id="19"/>
      <w:r w:rsidR="004F2361" w:rsidRPr="000551A4">
        <w:t>means a syndrome of chronic widespread pain</w:t>
      </w:r>
      <w:r w:rsidR="00722F31">
        <w:t>,</w:t>
      </w:r>
      <w:r w:rsidR="004F2361" w:rsidRPr="000551A4">
        <w:t xml:space="preserve"> with associated somatic symptoms</w:t>
      </w:r>
      <w:r w:rsidR="00722F31">
        <w:t>,</w:t>
      </w:r>
      <w:r w:rsidR="004F2361" w:rsidRPr="000551A4">
        <w:t xml:space="preserve"> that has persisted for at least 3 months, and which meets the following diagnostic criteria, as assessed by a medical practitioner</w:t>
      </w:r>
      <w:r w:rsidR="004F2361" w:rsidRPr="00237BAF">
        <w:t>:</w:t>
      </w:r>
    </w:p>
    <w:p w:rsidR="004F2361" w:rsidRDefault="004F2361" w:rsidP="004F2361">
      <w:pPr>
        <w:pStyle w:val="LV3"/>
        <w:numPr>
          <w:ilvl w:val="2"/>
          <w:numId w:val="4"/>
        </w:numPr>
        <w:ind w:left="1985"/>
      </w:pPr>
      <w:r w:rsidRPr="000551A4">
        <w:t>a widespread</w:t>
      </w:r>
      <w:r>
        <w:t xml:space="preserve"> pain index:</w:t>
      </w:r>
    </w:p>
    <w:p w:rsidR="004F2361" w:rsidRDefault="004F2361" w:rsidP="004F2361">
      <w:pPr>
        <w:pStyle w:val="LV4"/>
        <w:numPr>
          <w:ilvl w:val="3"/>
          <w:numId w:val="4"/>
        </w:numPr>
      </w:pPr>
      <w:r>
        <w:t xml:space="preserve">of </w:t>
      </w:r>
      <w:r w:rsidRPr="000551A4">
        <w:t>at least 7</w:t>
      </w:r>
      <w:r w:rsidR="00722F31">
        <w:t>,</w:t>
      </w:r>
      <w:r w:rsidRPr="000551A4">
        <w:t xml:space="preserve"> </w:t>
      </w:r>
      <w:r>
        <w:t>with</w:t>
      </w:r>
      <w:r w:rsidRPr="000551A4">
        <w:t xml:space="preserve"> a</w:t>
      </w:r>
      <w:r w:rsidR="00722F31">
        <w:t>n associated</w:t>
      </w:r>
      <w:r w:rsidRPr="000551A4">
        <w:t xml:space="preserve"> symptom severity scale score of at least 5; or</w:t>
      </w:r>
    </w:p>
    <w:p w:rsidR="004F2361" w:rsidRPr="008E76DC" w:rsidRDefault="004F2361" w:rsidP="004F2361">
      <w:pPr>
        <w:pStyle w:val="LV4"/>
        <w:numPr>
          <w:ilvl w:val="3"/>
          <w:numId w:val="4"/>
        </w:numPr>
      </w:pPr>
      <w:r w:rsidRPr="000551A4">
        <w:t>from 4 to 6</w:t>
      </w:r>
      <w:r w:rsidR="00722F31">
        <w:t>,</w:t>
      </w:r>
      <w:r w:rsidRPr="000551A4">
        <w:t xml:space="preserve"> </w:t>
      </w:r>
      <w:r>
        <w:t>with</w:t>
      </w:r>
      <w:r w:rsidRPr="000551A4">
        <w:t xml:space="preserve"> a</w:t>
      </w:r>
      <w:r w:rsidR="00722F31">
        <w:t>n associated</w:t>
      </w:r>
      <w:r w:rsidRPr="000551A4">
        <w:t xml:space="preserve"> symptom severity scale score of at least 9</w:t>
      </w:r>
      <w:r>
        <w:t>;</w:t>
      </w:r>
      <w:r w:rsidR="00BB5C5E">
        <w:t xml:space="preserve"> and</w:t>
      </w:r>
    </w:p>
    <w:p w:rsidR="004F2361" w:rsidRDefault="004F2361" w:rsidP="004F2361">
      <w:pPr>
        <w:pStyle w:val="LV3"/>
        <w:numPr>
          <w:ilvl w:val="2"/>
          <w:numId w:val="4"/>
        </w:numPr>
        <w:ind w:left="1985"/>
      </w:pPr>
      <w:r w:rsidRPr="000551A4">
        <w:t>pain is present in at least 4 of 5 regions</w:t>
      </w:r>
      <w:r>
        <w:t xml:space="preserve"> from the specified list of regions</w:t>
      </w:r>
      <w:r w:rsidRPr="000551A4">
        <w:t>; and</w:t>
      </w:r>
    </w:p>
    <w:p w:rsidR="004F2361" w:rsidRDefault="004F2361" w:rsidP="004F2361">
      <w:pPr>
        <w:pStyle w:val="LV3"/>
        <w:numPr>
          <w:ilvl w:val="2"/>
          <w:numId w:val="4"/>
        </w:numPr>
        <w:ind w:left="1985"/>
      </w:pPr>
      <w:proofErr w:type="gramStart"/>
      <w:r w:rsidRPr="000551A4">
        <w:lastRenderedPageBreak/>
        <w:t>the</w:t>
      </w:r>
      <w:proofErr w:type="gramEnd"/>
      <w:r w:rsidRPr="000551A4">
        <w:t xml:space="preserve"> pain and symptoms are not better accounted for by another medical or psychiatric condition.</w:t>
      </w:r>
    </w:p>
    <w:p w:rsidR="00722F31" w:rsidRDefault="00722F31" w:rsidP="00722F31">
      <w:pPr>
        <w:pStyle w:val="Note2"/>
        <w:ind w:left="1985" w:hanging="567"/>
      </w:pPr>
      <w:r w:rsidRPr="003F2688">
        <w:t>Note 1: Pain in the jaw, chest and abdomen does not count towards the number of regions, but does count towards the widespread pain index score of 0</w:t>
      </w:r>
      <w:r w:rsidR="00474AA1">
        <w:t xml:space="preserve"> to </w:t>
      </w:r>
      <w:r w:rsidRPr="003F2688">
        <w:t>19.</w:t>
      </w:r>
    </w:p>
    <w:p w:rsidR="000D4972" w:rsidRPr="008E76DC" w:rsidRDefault="004F2361" w:rsidP="00722F31">
      <w:pPr>
        <w:pStyle w:val="Note2"/>
        <w:ind w:left="1985" w:hanging="567"/>
      </w:pPr>
      <w:r>
        <w:t>Note</w:t>
      </w:r>
      <w:r w:rsidR="00722F31">
        <w:t xml:space="preserve"> 2</w:t>
      </w:r>
      <w:r>
        <w:t xml:space="preserve">: </w:t>
      </w:r>
      <w:r w:rsidR="00BC4DC8" w:rsidRPr="004F2361">
        <w:rPr>
          <w:b/>
          <w:i/>
        </w:rPr>
        <w:t>specified list of regions</w:t>
      </w:r>
      <w:r w:rsidR="00BC4DC8">
        <w:t xml:space="preserve">, </w:t>
      </w:r>
      <w:r w:rsidRPr="004F2361">
        <w:rPr>
          <w:b/>
          <w:i/>
        </w:rPr>
        <w:t>symptom severity scale score</w:t>
      </w:r>
      <w:r w:rsidR="00BC4DC8">
        <w:t xml:space="preserve"> and</w:t>
      </w:r>
      <w:r w:rsidRPr="007B6873">
        <w:t xml:space="preserve"> </w:t>
      </w:r>
      <w:r w:rsidRPr="004F2361">
        <w:rPr>
          <w:b/>
          <w:i/>
        </w:rPr>
        <w:t>widespread pain index</w:t>
      </w:r>
      <w:r w:rsidRPr="007B6873">
        <w:t xml:space="preserve"> are defined in the Schedule 1 </w:t>
      </w:r>
      <w:r>
        <w:t>-</w:t>
      </w:r>
      <w:r w:rsidRPr="007B6873">
        <w:t xml:space="preserve"> Dictionary.</w:t>
      </w:r>
    </w:p>
    <w:p w:rsidR="008F572A" w:rsidRPr="00237BAF" w:rsidRDefault="000D4972" w:rsidP="004F2361">
      <w:pPr>
        <w:pStyle w:val="LV2"/>
      </w:pPr>
      <w:r w:rsidRPr="00237BAF">
        <w:t xml:space="preserve">While </w:t>
      </w:r>
      <w:r w:rsidR="00887B14" w:rsidRPr="00887B14">
        <w:t>fibromyalgia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4F2361" w:rsidRPr="004F2361">
        <w:t>M79.7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887B14" w:rsidRPr="00887B14">
        <w:t>fibromyalgia</w:t>
      </w:r>
      <w:r>
        <w:t xml:space="preserve">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887B14" w:rsidRPr="00887B14">
        <w:rPr>
          <w:b/>
        </w:rPr>
        <w:t>fibromyalgia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887B14" w:rsidRPr="00887B14">
        <w:t>fibromyalgia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887B14" w:rsidRPr="00887B14">
        <w:t>fibromyalgia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BC4DC8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6B556E">
      <w:pPr>
        <w:pStyle w:val="LV1"/>
      </w:pPr>
      <w:bookmarkStart w:id="20" w:name="_Toc85224297"/>
      <w:r w:rsidRPr="00A20CA1">
        <w:t>Basis for determining the factors</w:t>
      </w:r>
      <w:bookmarkEnd w:id="20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887B14" w:rsidRPr="00887B14">
        <w:t>fibromyalgia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887B14" w:rsidRPr="00887B14">
        <w:t>fibromyalgia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BC4DC8">
        <w:t>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6B556E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85224298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DF65CF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887B14" w:rsidRPr="00887B14">
        <w:t>fibromyalgia</w:t>
      </w:r>
      <w:r w:rsidR="007A3989">
        <w:t xml:space="preserve"> </w:t>
      </w:r>
      <w:r w:rsidR="007C7DEE" w:rsidRPr="00AA6D8B">
        <w:t xml:space="preserve">or death from </w:t>
      </w:r>
      <w:r w:rsidR="00887B14" w:rsidRPr="00887B14">
        <w:t>fibromyalgia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BC4DC8" w:rsidRDefault="00BC4DC8" w:rsidP="00BC4DC8">
      <w:pPr>
        <w:pStyle w:val="LV2"/>
      </w:pPr>
      <w:bookmarkStart w:id="26" w:name="_Ref402530260"/>
      <w:bookmarkStart w:id="27" w:name="_Ref409598844"/>
      <w:r>
        <w:t>experiencing severe childhood abuse before the clinical onset of fibromyalgia;</w:t>
      </w:r>
    </w:p>
    <w:p w:rsidR="00BC4DC8" w:rsidRDefault="00BC4DC8" w:rsidP="00BC4DC8">
      <w:pPr>
        <w:pStyle w:val="Note2"/>
      </w:pPr>
      <w:r>
        <w:t xml:space="preserve">Note: </w:t>
      </w:r>
      <w:r w:rsidRPr="00BC4DC8">
        <w:rPr>
          <w:b/>
          <w:i/>
        </w:rPr>
        <w:t>severe childhood abuse</w:t>
      </w:r>
      <w:r>
        <w:t xml:space="preserve"> is defined in the Schedule 1 - Dictionary.</w:t>
      </w:r>
    </w:p>
    <w:p w:rsidR="007007E0" w:rsidRDefault="007007E0" w:rsidP="007007E0">
      <w:pPr>
        <w:pStyle w:val="LV2"/>
      </w:pPr>
      <w:r>
        <w:t>being overweight or obese at the time of the clinical onset of fibromyalgia;</w:t>
      </w:r>
    </w:p>
    <w:p w:rsidR="007007E0" w:rsidRDefault="007007E0" w:rsidP="007007E0">
      <w:pPr>
        <w:pStyle w:val="Note2"/>
      </w:pPr>
      <w:r>
        <w:t xml:space="preserve">Note: </w:t>
      </w:r>
      <w:r w:rsidRPr="007007E0">
        <w:rPr>
          <w:b/>
          <w:i/>
        </w:rPr>
        <w:t>being overweight or obese</w:t>
      </w:r>
      <w:r>
        <w:t xml:space="preserve"> is defined in the Schedule 1 - Dictionary.</w:t>
      </w:r>
    </w:p>
    <w:p w:rsidR="009A1E76" w:rsidRDefault="009A1E76" w:rsidP="009A1E76">
      <w:pPr>
        <w:pStyle w:val="LV2"/>
      </w:pPr>
      <w:r w:rsidRPr="009A1E76">
        <w:lastRenderedPageBreak/>
        <w:t>having an autoimmune inflammatory condition which is associated with the development of arthritis at the time of the clinical onset of fibromyalgia;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887B14" w:rsidRPr="00887B14">
        <w:t>fibromyalgia</w:t>
      </w:r>
      <w:r w:rsidR="00D5620B" w:rsidRPr="008D1B8B">
        <w:t>.</w:t>
      </w:r>
      <w:bookmarkEnd w:id="27"/>
    </w:p>
    <w:p w:rsidR="000C21A3" w:rsidRPr="00684C0E" w:rsidRDefault="00D32F71" w:rsidP="006B556E">
      <w:pPr>
        <w:pStyle w:val="LV1"/>
      </w:pPr>
      <w:bookmarkStart w:id="28" w:name="_Ref402530057"/>
      <w:bookmarkStart w:id="29" w:name="_Toc85224299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8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983072">
        <w:t>4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887B14" w:rsidRPr="00887B14">
        <w:t>fibromyalgia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887B14" w:rsidRPr="00887B14">
        <w:t>fibromyalgia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6B556E">
      <w:pPr>
        <w:pStyle w:val="LV1"/>
      </w:pPr>
      <w:bookmarkStart w:id="30" w:name="_Toc8522430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8522430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85224302"/>
      <w:r w:rsidRPr="00D97BB3">
        <w:t>Definitions</w:t>
      </w:r>
      <w:bookmarkEnd w:id="34"/>
      <w:bookmarkEnd w:id="35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DB79B1" w:rsidRDefault="00DB79B1" w:rsidP="00DB79B1">
      <w:pPr>
        <w:pStyle w:val="SH3"/>
        <w:ind w:left="851"/>
      </w:pPr>
      <w:bookmarkStart w:id="36" w:name="_Ref402530810"/>
      <w:proofErr w:type="gramStart"/>
      <w:r w:rsidRPr="000A0EA9">
        <w:rPr>
          <w:b/>
          <w:i/>
        </w:rPr>
        <w:t>being</w:t>
      </w:r>
      <w:proofErr w:type="gramEnd"/>
      <w:r w:rsidRPr="000A0EA9">
        <w:rPr>
          <w:b/>
          <w:i/>
        </w:rPr>
        <w:t xml:space="preserve"> overweight or obese</w:t>
      </w:r>
      <w:r w:rsidRPr="000A0EA9">
        <w:t xml:space="preserve"> means having a Body Mass Index (BMI) of 25 or greater</w:t>
      </w:r>
      <w:r>
        <w:t>.</w:t>
      </w:r>
    </w:p>
    <w:p w:rsidR="00DB79B1" w:rsidRPr="000A0EA9" w:rsidRDefault="00DB79B1" w:rsidP="00DB79B1">
      <w:pPr>
        <w:pStyle w:val="ScheduleNote"/>
      </w:pPr>
      <w:r>
        <w:t xml:space="preserve">Note: </w:t>
      </w:r>
      <w:r w:rsidRPr="000A0EA9">
        <w:rPr>
          <w:b/>
          <w:i/>
        </w:rPr>
        <w:t>BMI</w:t>
      </w:r>
      <w:r w:rsidRPr="000A0EA9">
        <w:t xml:space="preserve"> is also defined in the Schedule 1 - Dictionary.</w:t>
      </w:r>
    </w:p>
    <w:p w:rsidR="00DB79B1" w:rsidRDefault="00DB79B1" w:rsidP="00DB79B1">
      <w:pPr>
        <w:pStyle w:val="SH3"/>
        <w:ind w:left="851"/>
      </w:pPr>
      <w:r w:rsidRPr="004810A8">
        <w:rPr>
          <w:b/>
          <w:i/>
        </w:rPr>
        <w:t>BMI</w:t>
      </w:r>
      <w:r w:rsidRPr="004810A8">
        <w:t xml:space="preserve"> means W/H</w:t>
      </w:r>
      <w:r w:rsidRPr="004810A8">
        <w:rPr>
          <w:vertAlign w:val="superscript"/>
        </w:rPr>
        <w:t>2</w:t>
      </w:r>
      <w:r w:rsidRPr="004810A8">
        <w:t xml:space="preserve"> where:</w:t>
      </w:r>
    </w:p>
    <w:p w:rsidR="00DB79B1" w:rsidRDefault="00DB79B1" w:rsidP="00DB79B1">
      <w:pPr>
        <w:pStyle w:val="SH4"/>
      </w:pPr>
      <w:r>
        <w:t xml:space="preserve">W is the person's weight in kilograms; and </w:t>
      </w:r>
    </w:p>
    <w:p w:rsidR="00DB79B1" w:rsidRPr="00DB79B1" w:rsidRDefault="00DB79B1" w:rsidP="00DB79B1">
      <w:pPr>
        <w:pStyle w:val="SH4"/>
      </w:pPr>
      <w:r>
        <w:t>H is the person's height in metres.</w:t>
      </w:r>
    </w:p>
    <w:p w:rsidR="004F2361" w:rsidRPr="00513D05" w:rsidRDefault="00887B14" w:rsidP="004F2361">
      <w:pPr>
        <w:pStyle w:val="SH3"/>
        <w:ind w:left="851"/>
      </w:pPr>
      <w:proofErr w:type="gramStart"/>
      <w:r w:rsidRPr="00887B14">
        <w:rPr>
          <w:b/>
          <w:i/>
        </w:rPr>
        <w:t>fibromyalgia</w:t>
      </w:r>
      <w:r w:rsidR="004F2361" w:rsidRPr="00513D05">
        <w:t>—</w:t>
      </w:r>
      <w:proofErr w:type="gramEnd"/>
      <w:r w:rsidR="004F2361" w:rsidRPr="00513D05">
        <w:t>see subsection</w:t>
      </w:r>
      <w:r w:rsidR="004F2361">
        <w:t xml:space="preserve">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DB79B1">
      <w:pPr>
        <w:pStyle w:val="SH4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DB79B1">
      <w:pPr>
        <w:pStyle w:val="SH4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DB79B1">
      <w:pPr>
        <w:pStyle w:val="SH4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BC4DC8" w:rsidRDefault="00BC4DC8" w:rsidP="00BC4DC8">
      <w:pPr>
        <w:pStyle w:val="SH3"/>
        <w:ind w:left="851"/>
      </w:pPr>
      <w:r w:rsidRPr="001F46C0">
        <w:rPr>
          <w:b/>
          <w:i/>
        </w:rPr>
        <w:t>severe childhood abuse</w:t>
      </w:r>
      <w:r w:rsidRPr="001F46C0">
        <w:t xml:space="preserve"> means:</w:t>
      </w:r>
    </w:p>
    <w:p w:rsidR="00BC4DC8" w:rsidRDefault="00BC4DC8" w:rsidP="00DB79B1">
      <w:pPr>
        <w:pStyle w:val="SH4"/>
      </w:pPr>
      <w:r>
        <w:t xml:space="preserve">serious physical, emotional, psychological or sexual harm whilst a child aged under 16 years; or </w:t>
      </w:r>
    </w:p>
    <w:p w:rsidR="00BC4DC8" w:rsidRDefault="00BC4DC8" w:rsidP="00DB79B1">
      <w:pPr>
        <w:pStyle w:val="SH4"/>
      </w:pPr>
      <w:r>
        <w:t xml:space="preserve">neglect involving a serious failure to provide the necessities for health, </w:t>
      </w:r>
      <w:r w:rsidRPr="001F46C0">
        <w:t>physical and emotional development, or wellbeing whilst a child aged under 16 years;</w:t>
      </w:r>
    </w:p>
    <w:p w:rsidR="00BC4DC8" w:rsidRPr="00BC4DC8" w:rsidRDefault="00BC4DC8" w:rsidP="00BC4DC8">
      <w:pPr>
        <w:pStyle w:val="SH3"/>
        <w:ind w:left="851"/>
      </w:pPr>
      <w:proofErr w:type="gramStart"/>
      <w:r w:rsidRPr="001F46C0">
        <w:t>where</w:t>
      </w:r>
      <w:proofErr w:type="gramEnd"/>
      <w:r w:rsidRPr="001F46C0">
        <w:t xml:space="preserve"> such serious harm or neglect has been perpetrated by a parent, a care provider, an adult who works with or around that child, or any other adult in contact with that child.</w:t>
      </w:r>
    </w:p>
    <w:p w:rsidR="004F2361" w:rsidRDefault="004F2361" w:rsidP="004F2361">
      <w:pPr>
        <w:pStyle w:val="SH3"/>
        <w:ind w:left="851"/>
      </w:pPr>
      <w:r>
        <w:rPr>
          <w:b/>
          <w:i/>
        </w:rPr>
        <w:t xml:space="preserve">specified list of </w:t>
      </w:r>
      <w:r w:rsidRPr="00611715">
        <w:rPr>
          <w:b/>
          <w:i/>
        </w:rPr>
        <w:t>region</w:t>
      </w:r>
      <w:r>
        <w:rPr>
          <w:b/>
          <w:i/>
        </w:rPr>
        <w:t>s</w:t>
      </w:r>
      <w:r w:rsidRPr="00611715">
        <w:t xml:space="preserve"> means:</w:t>
      </w:r>
    </w:p>
    <w:p w:rsidR="004F2361" w:rsidRDefault="004F2361" w:rsidP="00DB79B1">
      <w:pPr>
        <w:pStyle w:val="SH4"/>
      </w:pPr>
      <w:r>
        <w:t xml:space="preserve">left upper region, defined as left jaw, left shoulder girdle, left upper arm and left lower arm; </w:t>
      </w:r>
    </w:p>
    <w:p w:rsidR="004F2361" w:rsidRDefault="004F2361" w:rsidP="00DB79B1">
      <w:pPr>
        <w:pStyle w:val="SH4"/>
      </w:pPr>
      <w:r>
        <w:t xml:space="preserve">right upper region, defined as right jaw, right shoulder girdle, right upper arm </w:t>
      </w:r>
      <w:r w:rsidR="00722F31">
        <w:t xml:space="preserve">and </w:t>
      </w:r>
      <w:r>
        <w:t>right lower arm;</w:t>
      </w:r>
    </w:p>
    <w:p w:rsidR="004F2361" w:rsidRDefault="004F2361" w:rsidP="00DB79B1">
      <w:pPr>
        <w:pStyle w:val="SH4"/>
      </w:pPr>
      <w:r>
        <w:t>left lower region, defined as left hip (including buttock and trochanter), left upper leg and left lower leg;</w:t>
      </w:r>
    </w:p>
    <w:p w:rsidR="004F2361" w:rsidRDefault="004F2361" w:rsidP="00DB79B1">
      <w:pPr>
        <w:pStyle w:val="SH4"/>
      </w:pPr>
      <w:r>
        <w:t xml:space="preserve">right lower region, defined as right hip (including buttock and trochanter), right upper leg and right lower leg; </w:t>
      </w:r>
      <w:r w:rsidR="00037918">
        <w:t>or</w:t>
      </w:r>
    </w:p>
    <w:p w:rsidR="004F2361" w:rsidRPr="00611715" w:rsidRDefault="004F2361" w:rsidP="00DB79B1">
      <w:pPr>
        <w:pStyle w:val="SH4"/>
      </w:pPr>
      <w:proofErr w:type="gramStart"/>
      <w:r>
        <w:t>axial</w:t>
      </w:r>
      <w:proofErr w:type="gramEnd"/>
      <w:r>
        <w:t xml:space="preserve"> region, defined as neck, upper back, lower back, chest and abdomen.</w:t>
      </w:r>
    </w:p>
    <w:p w:rsidR="00722F31" w:rsidRDefault="004F2361" w:rsidP="00954337">
      <w:pPr>
        <w:pStyle w:val="SH3"/>
        <w:keepNext/>
        <w:ind w:left="851" w:hanging="851"/>
      </w:pPr>
      <w:r w:rsidRPr="007B6873">
        <w:rPr>
          <w:b/>
          <w:i/>
        </w:rPr>
        <w:lastRenderedPageBreak/>
        <w:t>symptom severity scale score</w:t>
      </w:r>
      <w:r w:rsidRPr="007B6873">
        <w:t xml:space="preserve"> means </w:t>
      </w:r>
      <w:r w:rsidR="00722F31">
        <w:t xml:space="preserve">the </w:t>
      </w:r>
      <w:r w:rsidR="00474AA1">
        <w:t>combined</w:t>
      </w:r>
      <w:r w:rsidR="00722F31">
        <w:t xml:space="preserve"> total of:</w:t>
      </w:r>
    </w:p>
    <w:p w:rsidR="00474AA1" w:rsidRDefault="004F2361" w:rsidP="00474AA1">
      <w:pPr>
        <w:pStyle w:val="SH4"/>
      </w:pPr>
      <w:r w:rsidRPr="007B6873">
        <w:t>the sum (scored from 0 to 9) of the severity of 3 symptoms (fatigue, waking unrefreshed and cognitive symptoms)</w:t>
      </w:r>
      <w:r w:rsidR="00474AA1">
        <w:t xml:space="preserve">, </w:t>
      </w:r>
      <w:r w:rsidR="00474AA1" w:rsidRPr="007B6873">
        <w:t xml:space="preserve">where the level of severity </w:t>
      </w:r>
      <w:r w:rsidR="00474AA1">
        <w:t xml:space="preserve">of these symptoms </w:t>
      </w:r>
      <w:r w:rsidR="00474AA1" w:rsidRPr="007B6873">
        <w:t xml:space="preserve">is defined as: </w:t>
      </w:r>
    </w:p>
    <w:p w:rsidR="00474AA1" w:rsidRDefault="00474AA1" w:rsidP="00474AA1">
      <w:pPr>
        <w:pStyle w:val="SH5"/>
        <w:ind w:left="1985"/>
      </w:pPr>
      <w:r w:rsidRPr="007B6873">
        <w:t xml:space="preserve">0 = no problem; </w:t>
      </w:r>
    </w:p>
    <w:p w:rsidR="00474AA1" w:rsidRDefault="00474AA1" w:rsidP="00474AA1">
      <w:pPr>
        <w:pStyle w:val="SH5"/>
        <w:ind w:left="1985"/>
      </w:pPr>
      <w:r w:rsidRPr="007B6873">
        <w:t xml:space="preserve">1 = slight or mild problems, generally mild or intermittent; </w:t>
      </w:r>
    </w:p>
    <w:p w:rsidR="00474AA1" w:rsidRDefault="00474AA1" w:rsidP="00954337">
      <w:pPr>
        <w:pStyle w:val="SH5"/>
        <w:ind w:left="1985"/>
      </w:pPr>
      <w:r w:rsidRPr="007B6873">
        <w:t xml:space="preserve">2 = moderate, considerable problems, often present or present at a moderate level; or </w:t>
      </w:r>
    </w:p>
    <w:p w:rsidR="00722F31" w:rsidRDefault="00474AA1" w:rsidP="00954337">
      <w:pPr>
        <w:pStyle w:val="SH5"/>
        <w:ind w:left="1985"/>
      </w:pPr>
      <w:r w:rsidRPr="007B6873">
        <w:t>3 = severe, pervasive, continuous o</w:t>
      </w:r>
      <w:r>
        <w:t>r life-disturbing problems</w:t>
      </w:r>
      <w:r w:rsidR="00722F31">
        <w:t>;</w:t>
      </w:r>
      <w:r w:rsidR="004F2361" w:rsidRPr="007B6873">
        <w:t xml:space="preserve"> plus </w:t>
      </w:r>
    </w:p>
    <w:p w:rsidR="004F2361" w:rsidRPr="004F2361" w:rsidRDefault="004F2361" w:rsidP="00954337">
      <w:pPr>
        <w:pStyle w:val="SH4"/>
      </w:pPr>
      <w:proofErr w:type="gramStart"/>
      <w:r w:rsidRPr="007B6873">
        <w:t>the</w:t>
      </w:r>
      <w:proofErr w:type="gramEnd"/>
      <w:r w:rsidRPr="007B6873">
        <w:t xml:space="preserve"> sum (scored from 0 to 3) of the number of a further 3 symptoms (headaches, pain or cramps in the lower abdomen, </w:t>
      </w:r>
      <w:r w:rsidR="00954337">
        <w:t xml:space="preserve">and </w:t>
      </w:r>
      <w:r w:rsidRPr="007B6873">
        <w:t>depression) that the patient has been bothered by during the previous 6 months</w:t>
      </w:r>
      <w:r w:rsidR="00474AA1">
        <w:t>.</w:t>
      </w:r>
      <w:r w:rsidRPr="007B6873">
        <w:t xml:space="preserve"> 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DB79B1">
      <w:pPr>
        <w:pStyle w:val="SH4"/>
      </w:pPr>
      <w:r>
        <w:tab/>
      </w:r>
      <w:r w:rsidR="00885EAB" w:rsidRPr="00513D05">
        <w:t>pneumonia;</w:t>
      </w:r>
    </w:p>
    <w:p w:rsidR="00885EAB" w:rsidRPr="00513D05" w:rsidRDefault="00885EAB" w:rsidP="00DB79B1">
      <w:pPr>
        <w:pStyle w:val="SH4"/>
      </w:pPr>
      <w:r w:rsidRPr="00513D05">
        <w:tab/>
        <w:t>respiratory failure;</w:t>
      </w:r>
    </w:p>
    <w:p w:rsidR="00885EAB" w:rsidRPr="00513D05" w:rsidRDefault="00885EAB" w:rsidP="00DB79B1">
      <w:pPr>
        <w:pStyle w:val="SH4"/>
      </w:pPr>
      <w:r w:rsidRPr="00513D05">
        <w:tab/>
        <w:t>cardiac arrest;</w:t>
      </w:r>
    </w:p>
    <w:p w:rsidR="00885EAB" w:rsidRPr="00513D05" w:rsidRDefault="00885EAB" w:rsidP="00DB79B1">
      <w:pPr>
        <w:pStyle w:val="SH4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DB79B1">
      <w:pPr>
        <w:pStyle w:val="SH4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8674CD" w:rsidRDefault="008674CD" w:rsidP="00984EE9">
      <w:pPr>
        <w:pStyle w:val="SH3"/>
        <w:ind w:left="851" w:hanging="851"/>
      </w:pPr>
      <w:proofErr w:type="gramStart"/>
      <w:r w:rsidRPr="002E4DAB">
        <w:rPr>
          <w:b/>
          <w:i/>
        </w:rPr>
        <w:t>widespread</w:t>
      </w:r>
      <w:proofErr w:type="gramEnd"/>
      <w:r w:rsidRPr="002E4DAB">
        <w:rPr>
          <w:b/>
          <w:i/>
        </w:rPr>
        <w:t xml:space="preserve"> pain index</w:t>
      </w:r>
      <w:r w:rsidRPr="00611715">
        <w:t xml:space="preserve"> means the number of </w:t>
      </w:r>
      <w:r w:rsidR="00FF2602">
        <w:t>parts</w:t>
      </w:r>
      <w:r w:rsidR="00FF2602" w:rsidRPr="00611715">
        <w:t xml:space="preserve"> </w:t>
      </w:r>
      <w:r w:rsidRPr="00611715">
        <w:t xml:space="preserve">of the body </w:t>
      </w:r>
      <w:r w:rsidR="00BB5C5E">
        <w:t xml:space="preserve">within </w:t>
      </w:r>
      <w:r w:rsidR="00474AA1">
        <w:t>the specified list of regions</w:t>
      </w:r>
      <w:r w:rsidR="00BB5C5E">
        <w:t xml:space="preserve"> </w:t>
      </w:r>
      <w:r w:rsidRPr="00611715">
        <w:t>in which the person has had pain in the last week (scored from 0 to 19).</w:t>
      </w:r>
      <w:bookmarkStart w:id="38" w:name="_GoBack"/>
      <w:bookmarkEnd w:id="38"/>
    </w:p>
    <w:p w:rsidR="00474AA1" w:rsidRPr="00474AA1" w:rsidRDefault="00474AA1" w:rsidP="00954337">
      <w:pPr>
        <w:pStyle w:val="ScheduleNote"/>
      </w:pPr>
      <w:r w:rsidRPr="00474AA1">
        <w:t xml:space="preserve">Note: </w:t>
      </w:r>
      <w:r w:rsidRPr="00954337">
        <w:rPr>
          <w:b/>
          <w:i/>
        </w:rPr>
        <w:t xml:space="preserve">specified list of regions </w:t>
      </w:r>
      <w:r>
        <w:t>is also</w:t>
      </w:r>
      <w:r w:rsidRPr="00474AA1">
        <w:t xml:space="preserve"> defined in the Schedule 1 - Dictionary.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87B14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87B14">
            <w:rPr>
              <w:bCs/>
              <w:i/>
              <w:sz w:val="18"/>
              <w:szCs w:val="18"/>
              <w:lang w:val="en-US"/>
            </w:rPr>
            <w:t>Fibromyalgia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887B14">
            <w:rPr>
              <w:i/>
              <w:sz w:val="18"/>
              <w:szCs w:val="18"/>
            </w:rPr>
            <w:t>108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887B14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C651DC">
            <w:rPr>
              <w:i/>
              <w:noProof/>
              <w:sz w:val="18"/>
            </w:rPr>
            <w:t>7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C651DC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887B14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887B14">
            <w:rPr>
              <w:bCs/>
              <w:i/>
              <w:sz w:val="18"/>
              <w:szCs w:val="18"/>
              <w:lang w:val="en-US"/>
            </w:rPr>
            <w:t>Fibromyalgia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887B14">
            <w:rPr>
              <w:i/>
              <w:sz w:val="18"/>
              <w:szCs w:val="18"/>
            </w:rPr>
            <w:t>108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887B14">
            <w:rPr>
              <w:i/>
              <w:sz w:val="18"/>
              <w:szCs w:val="18"/>
            </w:rPr>
            <w:t>2021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887B1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887B14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5B066FA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B178D64A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37918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74AA1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61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56E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7E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22F31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4C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87B14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4337"/>
    <w:rsid w:val="00956922"/>
    <w:rsid w:val="009612CF"/>
    <w:rsid w:val="009724F4"/>
    <w:rsid w:val="00973808"/>
    <w:rsid w:val="00982242"/>
    <w:rsid w:val="00983072"/>
    <w:rsid w:val="00984EE9"/>
    <w:rsid w:val="00985EC2"/>
    <w:rsid w:val="009868E9"/>
    <w:rsid w:val="009877AB"/>
    <w:rsid w:val="00997416"/>
    <w:rsid w:val="009A1E7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47F85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5C5E"/>
    <w:rsid w:val="00BB78C9"/>
    <w:rsid w:val="00BC015E"/>
    <w:rsid w:val="00BC4DC8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651DC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B79B1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165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260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12EF1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B556E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B79B1"/>
    <w:pPr>
      <w:numPr>
        <w:ilvl w:val="3"/>
        <w:numId w:val="5"/>
      </w:numPr>
      <w:spacing w:before="100"/>
      <w:ind w:left="1418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1342</Words>
  <Characters>7654</Characters>
  <Application>Microsoft Office Word</Application>
  <DocSecurity>0</DocSecurity>
  <PresentationFormat/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2016-12-07T04:46:00Z</dcterms:created>
  <dcterms:modified xsi:type="dcterms:W3CDTF">2021-10-15T11:07:00Z</dcterms:modified>
  <cp:category/>
  <cp:contentStatus/>
  <dc:language/>
  <cp:version/>
</cp:coreProperties>
</file>