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3B09F" w14:textId="77777777" w:rsidR="00715914" w:rsidRPr="00FA33FB" w:rsidRDefault="00997416" w:rsidP="002D1E04">
      <w:pPr>
        <w:pStyle w:val="Plain"/>
        <w:rPr>
          <w:sz w:val="28"/>
        </w:rPr>
      </w:pPr>
      <w:r>
        <w:rPr>
          <w:noProof/>
        </w:rPr>
        <w:drawing>
          <wp:inline distT="0" distB="0" distL="0" distR="0" wp14:anchorId="0A72CFF1" wp14:editId="71A00646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BA8D7" w14:textId="77777777" w:rsidR="00715914" w:rsidRPr="00FA33FB" w:rsidRDefault="00715914" w:rsidP="00715914">
      <w:pPr>
        <w:rPr>
          <w:sz w:val="19"/>
        </w:rPr>
      </w:pPr>
    </w:p>
    <w:p w14:paraId="2B691B4B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7A48E841" w14:textId="77777777"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14:paraId="5A0307EA" w14:textId="77777777" w:rsidR="00054930" w:rsidRDefault="00117F84" w:rsidP="006647B7">
      <w:pPr>
        <w:pStyle w:val="Plainheader"/>
      </w:pPr>
      <w:bookmarkStart w:id="0" w:name="SoP_Name_Title"/>
      <w:proofErr w:type="gramStart"/>
      <w:r>
        <w:t>ANOSMIA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14:paraId="4153710D" w14:textId="7764BFF5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7D36F6">
        <w:t>19</w:t>
      </w:r>
      <w:bookmarkEnd w:id="1"/>
      <w:r w:rsidR="007D36F6">
        <w:t xml:space="preserve"> </w:t>
      </w:r>
      <w:r w:rsidRPr="00024911">
        <w:t>of</w:t>
      </w:r>
      <w:r w:rsidR="00085567">
        <w:t xml:space="preserve"> </w:t>
      </w:r>
      <w:bookmarkStart w:id="2" w:name="year"/>
      <w:r w:rsidR="00117F84">
        <w:t>202</w:t>
      </w:r>
      <w:r w:rsidR="004771B9">
        <w:t>1</w:t>
      </w:r>
      <w:bookmarkEnd w:id="2"/>
      <w:r w:rsidRPr="00024911">
        <w:t>)</w:t>
      </w:r>
    </w:p>
    <w:p w14:paraId="3924DFC8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56A9D040" w14:textId="77777777" w:rsidR="00F97A62" w:rsidRPr="00F97A62" w:rsidRDefault="00F97A62" w:rsidP="00F97A62">
      <w:pPr>
        <w:rPr>
          <w:lang w:eastAsia="en-AU"/>
        </w:rPr>
      </w:pPr>
    </w:p>
    <w:p w14:paraId="4BA703DC" w14:textId="076BD870" w:rsidR="00781DD2" w:rsidRPr="002D1E04" w:rsidRDefault="00781DD2" w:rsidP="004771B9">
      <w:pPr>
        <w:pStyle w:val="Plain"/>
        <w:ind w:left="0"/>
        <w:jc w:val="left"/>
        <w:rPr>
          <w:b w:val="0"/>
        </w:rPr>
      </w:pPr>
      <w:r w:rsidRPr="002D1E04">
        <w:rPr>
          <w:b w:val="0"/>
        </w:rPr>
        <w:t>Dated</w:t>
      </w:r>
      <w:r w:rsidR="004771B9">
        <w:rPr>
          <w:b w:val="0"/>
        </w:rPr>
        <w:t xml:space="preserve">   </w:t>
      </w:r>
      <w:r w:rsidR="004601FA">
        <w:rPr>
          <w:b w:val="0"/>
        </w:rPr>
        <w:t>24 December 2020</w:t>
      </w:r>
    </w:p>
    <w:p w14:paraId="614BFC3E" w14:textId="77777777" w:rsidR="00F67B67" w:rsidRPr="002D1E04" w:rsidRDefault="00F67B67" w:rsidP="002D1E04">
      <w:pPr>
        <w:pStyle w:val="Plain"/>
        <w:jc w:val="left"/>
        <w:rPr>
          <w:b w:val="0"/>
        </w:rPr>
      </w:pPr>
    </w:p>
    <w:p w14:paraId="3B18B0E3" w14:textId="77777777" w:rsidR="00D93DA9" w:rsidRPr="002D1E04" w:rsidRDefault="00D93DA9" w:rsidP="002D1E04">
      <w:pPr>
        <w:pStyle w:val="Plain"/>
        <w:jc w:val="left"/>
        <w:rPr>
          <w:b w:val="0"/>
        </w:rPr>
      </w:pPr>
    </w:p>
    <w:p w14:paraId="3D46D08D" w14:textId="77777777" w:rsidR="00D93DA9" w:rsidRPr="002D1E04" w:rsidRDefault="00D93DA9" w:rsidP="002D1E04">
      <w:pPr>
        <w:pStyle w:val="Plain"/>
        <w:jc w:val="left"/>
        <w:rPr>
          <w:b w:val="0"/>
        </w:rPr>
      </w:pPr>
    </w:p>
    <w:p w14:paraId="60BB9420" w14:textId="77777777" w:rsidR="00D93DA9" w:rsidRPr="002D1E04" w:rsidRDefault="00D93DA9" w:rsidP="002D1E04">
      <w:pPr>
        <w:pStyle w:val="Plain"/>
        <w:jc w:val="left"/>
        <w:rPr>
          <w:b w:val="0"/>
        </w:rPr>
      </w:pPr>
    </w:p>
    <w:p w14:paraId="172E86D7" w14:textId="77777777" w:rsidR="00D93DA9" w:rsidRPr="002D1E04" w:rsidRDefault="00D93DA9" w:rsidP="002D1E04">
      <w:pPr>
        <w:pStyle w:val="Plain"/>
        <w:jc w:val="left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2D1E04" w14:paraId="1A6A127D" w14:textId="77777777" w:rsidTr="0034373D">
        <w:tc>
          <w:tcPr>
            <w:tcW w:w="4116" w:type="dxa"/>
          </w:tcPr>
          <w:p w14:paraId="6EF79934" w14:textId="77777777" w:rsidR="00ED20B7" w:rsidRPr="002D1E04" w:rsidRDefault="00ED20B7" w:rsidP="002D1E04">
            <w:pPr>
              <w:pStyle w:val="Plain"/>
              <w:jc w:val="left"/>
              <w:rPr>
                <w:b w:val="0"/>
              </w:rPr>
            </w:pPr>
            <w:r w:rsidRPr="002D1E04">
              <w:rPr>
                <w:b w:val="0"/>
              </w:rPr>
              <w:t>The Common Seal of the</w:t>
            </w:r>
            <w:r w:rsidRPr="002D1E04">
              <w:rPr>
                <w:b w:val="0"/>
              </w:rPr>
              <w:br/>
              <w:t>Repatriation Medical Authority</w:t>
            </w:r>
            <w:r w:rsidRPr="002D1E04">
              <w:rPr>
                <w:b w:val="0"/>
              </w:rPr>
              <w:br/>
              <w:t>was affixed to this instrument</w:t>
            </w:r>
            <w:r w:rsidRPr="002D1E04">
              <w:rPr>
                <w:b w:val="0"/>
              </w:rPr>
              <w:br/>
              <w:t>at the direction of:</w:t>
            </w:r>
          </w:p>
          <w:p w14:paraId="2BBD5B73" w14:textId="77777777" w:rsidR="00ED20B7" w:rsidRPr="002D1E04" w:rsidRDefault="00ED20B7" w:rsidP="002D1E04">
            <w:pPr>
              <w:pStyle w:val="Plain"/>
              <w:jc w:val="left"/>
              <w:rPr>
                <w:b w:val="0"/>
              </w:rPr>
            </w:pPr>
          </w:p>
        </w:tc>
      </w:tr>
      <w:tr w:rsidR="00ED20B7" w:rsidRPr="002D1E04" w14:paraId="15B5A681" w14:textId="77777777" w:rsidTr="0034373D">
        <w:tc>
          <w:tcPr>
            <w:tcW w:w="4116" w:type="dxa"/>
          </w:tcPr>
          <w:p w14:paraId="7253F25D" w14:textId="77777777" w:rsidR="00ED20B7" w:rsidRPr="002D1E04" w:rsidRDefault="00ED20B7" w:rsidP="002D1E04">
            <w:pPr>
              <w:pStyle w:val="Plain"/>
              <w:jc w:val="left"/>
              <w:rPr>
                <w:b w:val="0"/>
              </w:rPr>
            </w:pPr>
          </w:p>
          <w:p w14:paraId="1985D964" w14:textId="77777777" w:rsidR="00ED20B7" w:rsidRPr="002D1E04" w:rsidRDefault="00ED20B7" w:rsidP="002D1E04">
            <w:pPr>
              <w:pStyle w:val="Plain"/>
              <w:jc w:val="left"/>
              <w:rPr>
                <w:b w:val="0"/>
              </w:rPr>
            </w:pPr>
          </w:p>
          <w:p w14:paraId="546F0E43" w14:textId="06C86350" w:rsidR="00ED20B7" w:rsidRPr="002D1E04" w:rsidRDefault="00ED20B7" w:rsidP="002D1E04">
            <w:pPr>
              <w:pStyle w:val="Plain"/>
              <w:jc w:val="left"/>
              <w:rPr>
                <w:b w:val="0"/>
              </w:rPr>
            </w:pPr>
            <w:r w:rsidRPr="002D1E04">
              <w:rPr>
                <w:b w:val="0"/>
              </w:rPr>
              <w:t>Professor Nicholas Saunders AO</w:t>
            </w:r>
            <w:r w:rsidR="002D1E04">
              <w:rPr>
                <w:b w:val="0"/>
              </w:rPr>
              <w:t xml:space="preserve"> </w:t>
            </w:r>
            <w:r w:rsidRPr="002D1E04">
              <w:rPr>
                <w:b w:val="0"/>
              </w:rPr>
              <w:t>Chairperson</w:t>
            </w:r>
          </w:p>
          <w:p w14:paraId="43830DCF" w14:textId="77777777" w:rsidR="00ED20B7" w:rsidRPr="002D1E04" w:rsidRDefault="00ED20B7" w:rsidP="002D1E04"/>
        </w:tc>
      </w:tr>
    </w:tbl>
    <w:p w14:paraId="373423A0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66477B14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3B512E14" w14:textId="2CE058A5" w:rsidR="007D36F6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7D36F6">
        <w:rPr>
          <w:noProof/>
        </w:rPr>
        <w:t>1</w:t>
      </w:r>
      <w:r w:rsidR="007D36F6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7D36F6">
        <w:rPr>
          <w:noProof/>
        </w:rPr>
        <w:t>Name</w:t>
      </w:r>
      <w:r w:rsidR="007D36F6">
        <w:rPr>
          <w:noProof/>
        </w:rPr>
        <w:tab/>
      </w:r>
      <w:r w:rsidR="007D36F6">
        <w:rPr>
          <w:noProof/>
        </w:rPr>
        <w:fldChar w:fldCharType="begin"/>
      </w:r>
      <w:r w:rsidR="007D36F6">
        <w:rPr>
          <w:noProof/>
        </w:rPr>
        <w:instrText xml:space="preserve"> PAGEREF _Toc58573337 \h </w:instrText>
      </w:r>
      <w:r w:rsidR="007D36F6">
        <w:rPr>
          <w:noProof/>
        </w:rPr>
      </w:r>
      <w:r w:rsidR="007D36F6">
        <w:rPr>
          <w:noProof/>
        </w:rPr>
        <w:fldChar w:fldCharType="separate"/>
      </w:r>
      <w:r w:rsidR="007D36F6">
        <w:rPr>
          <w:noProof/>
        </w:rPr>
        <w:t>3</w:t>
      </w:r>
      <w:r w:rsidR="007D36F6">
        <w:rPr>
          <w:noProof/>
        </w:rPr>
        <w:fldChar w:fldCharType="end"/>
      </w:r>
    </w:p>
    <w:p w14:paraId="346184C4" w14:textId="2C357D13" w:rsidR="007D36F6" w:rsidRDefault="007D36F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_Toc58573338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C2F2254" w14:textId="65DEEEDC" w:rsidR="007D36F6" w:rsidRDefault="007D36F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_Toc58573339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744C329" w14:textId="59F0F202" w:rsidR="007D36F6" w:rsidRDefault="007D36F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_Toc58573340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3FFE326" w14:textId="647A6888" w:rsidR="007D36F6" w:rsidRDefault="007D36F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_Toc58573341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AB9E7D3" w14:textId="5C43B140" w:rsidR="007D36F6" w:rsidRDefault="007D36F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_Toc58573342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8FF33EA" w14:textId="7A084B6A" w:rsidR="007D36F6" w:rsidRDefault="007D36F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_Toc58573343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1775C92" w14:textId="1970B705" w:rsidR="007D36F6" w:rsidRDefault="007D36F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_Toc58573344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B27083C" w14:textId="50B1359C" w:rsidR="007D36F6" w:rsidRDefault="007D36F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_Toc58573345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373AC4F" w14:textId="2DE54CE6" w:rsidR="007D36F6" w:rsidRDefault="007D36F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_Toc58573346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57A60340" w14:textId="1F8F78F9" w:rsidR="007D36F6" w:rsidRDefault="007D36F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_Toc58573347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16D7A311" w14:textId="7D3583D8" w:rsidR="007D36F6" w:rsidRDefault="007D36F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_Toc58573348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69977D78" w14:textId="043F5DC2" w:rsidR="007D36F6" w:rsidRDefault="007D36F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_Toc58573349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2980F01A" w14:textId="32F9FC4F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5287CD0B" w14:textId="77777777" w:rsidR="003A2FFE" w:rsidRDefault="003A2FFE" w:rsidP="003A2FFE">
      <w:pPr>
        <w:tabs>
          <w:tab w:val="left" w:pos="3631"/>
        </w:tabs>
      </w:pPr>
    </w:p>
    <w:p w14:paraId="3ED1F04B" w14:textId="77777777"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14:paraId="16FC4A29" w14:textId="77777777" w:rsidR="00877AE3" w:rsidRDefault="00877AE3" w:rsidP="00253D7C">
      <w:pPr>
        <w:pStyle w:val="LV1"/>
      </w:pPr>
      <w:bookmarkStart w:id="4" w:name="_Toc58573337"/>
      <w:r>
        <w:lastRenderedPageBreak/>
        <w:t>Name</w:t>
      </w:r>
      <w:bookmarkEnd w:id="4"/>
    </w:p>
    <w:p w14:paraId="67B5C35C" w14:textId="0F076021"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117F84">
        <w:rPr>
          <w:i/>
        </w:rPr>
        <w:t>anosmia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7D36F6">
        <w:t>19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7D36F6">
        <w:t>2021</w:t>
      </w:r>
      <w:r w:rsidR="00E55F66" w:rsidRPr="00F97A62">
        <w:t>)</w:t>
      </w:r>
      <w:r w:rsidRPr="00F97A62">
        <w:t>.</w:t>
      </w:r>
    </w:p>
    <w:p w14:paraId="431490AA" w14:textId="325C6C53" w:rsidR="00F67B67" w:rsidRPr="00684C0E" w:rsidRDefault="00F67B67" w:rsidP="00253D7C">
      <w:pPr>
        <w:pStyle w:val="LV1"/>
      </w:pPr>
      <w:bookmarkStart w:id="7" w:name="_Toc58573338"/>
      <w:r w:rsidRPr="00684C0E">
        <w:t>Commencement</w:t>
      </w:r>
      <w:bookmarkEnd w:id="7"/>
    </w:p>
    <w:p w14:paraId="06FEA759" w14:textId="13840E25"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7D36F6">
        <w:t>25 January 2021</w:t>
      </w:r>
      <w:r w:rsidR="00F67B67" w:rsidRPr="007527C1">
        <w:t>.</w:t>
      </w:r>
    </w:p>
    <w:p w14:paraId="7266AFC9" w14:textId="61904BE6" w:rsidR="00F67B67" w:rsidRPr="00684C0E" w:rsidRDefault="00F67B67" w:rsidP="00253D7C">
      <w:pPr>
        <w:pStyle w:val="LV1"/>
      </w:pPr>
      <w:bookmarkStart w:id="8" w:name="_Toc58573339"/>
      <w:r w:rsidRPr="00684C0E">
        <w:t>Authority</w:t>
      </w:r>
      <w:bookmarkEnd w:id="8"/>
    </w:p>
    <w:p w14:paraId="6872A389" w14:textId="77777777"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10F89FCE" w14:textId="74A7B790" w:rsidR="00DA3996" w:rsidRPr="00684C0E" w:rsidRDefault="00DA3996" w:rsidP="00253D7C">
      <w:pPr>
        <w:pStyle w:val="LV1"/>
      </w:pPr>
      <w:bookmarkStart w:id="9" w:name="_Toc58573340"/>
      <w:r>
        <w:t>Re</w:t>
      </w:r>
      <w:r w:rsidR="005962C4">
        <w:t>peal</w:t>
      </w:r>
      <w:bookmarkEnd w:id="9"/>
    </w:p>
    <w:p w14:paraId="2D175DEE" w14:textId="29710F65"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4102CF" w:rsidRPr="004102CF">
        <w:t>anosmia</w:t>
      </w:r>
      <w:r w:rsidRPr="00DA3996">
        <w:t xml:space="preserve"> No. </w:t>
      </w:r>
      <w:r w:rsidR="004102CF">
        <w:t>118</w:t>
      </w:r>
      <w:r w:rsidRPr="00DA3996">
        <w:t xml:space="preserve"> of </w:t>
      </w:r>
      <w:r w:rsidR="004102CF">
        <w:t>2011</w:t>
      </w:r>
      <w:r w:rsidR="005962C4">
        <w:t xml:space="preserve"> </w:t>
      </w:r>
      <w:r w:rsidR="005962C4" w:rsidRPr="00786DAE">
        <w:t xml:space="preserve">(Federal Register of Legislation No. </w:t>
      </w:r>
      <w:r w:rsidR="004102CF" w:rsidRPr="004102CF">
        <w:t>F2011L01751</w:t>
      </w:r>
      <w:r w:rsidR="005962C4" w:rsidRPr="00786DAE">
        <w:t xml:space="preserve">) </w:t>
      </w:r>
      <w:r w:rsidR="004102CF">
        <w:t xml:space="preserve">made under subsection </w:t>
      </w:r>
      <w:proofErr w:type="gramStart"/>
      <w:r w:rsidR="004102CF">
        <w:t>196B(</w:t>
      </w:r>
      <w:proofErr w:type="gramEnd"/>
      <w:r w:rsidR="004102CF">
        <w:t xml:space="preserve">2)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14:paraId="747B40DC" w14:textId="32F06F59" w:rsidR="007C7DEE" w:rsidRPr="00684C0E" w:rsidRDefault="007C7DEE" w:rsidP="00253D7C">
      <w:pPr>
        <w:pStyle w:val="LV1"/>
      </w:pPr>
      <w:bookmarkStart w:id="10" w:name="_Toc58573341"/>
      <w:r w:rsidRPr="00684C0E">
        <w:t>Application</w:t>
      </w:r>
      <w:bookmarkEnd w:id="10"/>
    </w:p>
    <w:p w14:paraId="37742A1D" w14:textId="77777777"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7E806D7A" w14:textId="77777777" w:rsidR="007C7DEE" w:rsidRPr="00684C0E" w:rsidRDefault="007C7DEE" w:rsidP="00253D7C">
      <w:pPr>
        <w:pStyle w:val="LV1"/>
      </w:pPr>
      <w:bookmarkStart w:id="11" w:name="_Ref410129949"/>
      <w:bookmarkStart w:id="12" w:name="_Toc58573342"/>
      <w:r w:rsidRPr="00684C0E">
        <w:t>Definitions</w:t>
      </w:r>
      <w:bookmarkEnd w:id="11"/>
      <w:bookmarkEnd w:id="12"/>
    </w:p>
    <w:p w14:paraId="1FF4E472" w14:textId="77777777"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10ECBE76" w14:textId="1AF83E57" w:rsidR="007C7DEE" w:rsidRPr="00684C0E" w:rsidRDefault="007C7DEE" w:rsidP="00253D7C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8573343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14:paraId="65536E8F" w14:textId="7FC0AC3F" w:rsidR="007C7DEE" w:rsidRPr="00D5620B" w:rsidRDefault="007C7DEE" w:rsidP="002D1E04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4102CF" w:rsidRPr="004102CF">
        <w:t>anosmia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4102CF" w:rsidRPr="004102CF">
        <w:t>anosmia</w:t>
      </w:r>
      <w:r w:rsidRPr="00D5620B">
        <w:t>.</w:t>
      </w:r>
      <w:bookmarkEnd w:id="17"/>
    </w:p>
    <w:p w14:paraId="4CC55EE8" w14:textId="70AE5A2B"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4102CF" w:rsidRPr="004102CF">
        <w:rPr>
          <w:b/>
        </w:rPr>
        <w:t>anosmia</w:t>
      </w:r>
    </w:p>
    <w:p w14:paraId="4AD6C6E4" w14:textId="505D90F4" w:rsidR="002716E4" w:rsidRPr="00237BAF" w:rsidRDefault="007C7DEE" w:rsidP="002D1E04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4102CF" w:rsidRPr="004102CF">
        <w:t>anosmia</w:t>
      </w:r>
      <w:bookmarkEnd w:id="18"/>
      <w:r w:rsidR="004102CF">
        <w:t xml:space="preserve"> </w:t>
      </w:r>
      <w:r w:rsidR="004102CF" w:rsidRPr="004102CF">
        <w:t xml:space="preserve">means an acquired, total and permanent loss of the ability to smell, due to a defect in the olfactory </w:t>
      </w:r>
      <w:proofErr w:type="spellStart"/>
      <w:r w:rsidR="004102CF" w:rsidRPr="004102CF">
        <w:t>neuroepithelium</w:t>
      </w:r>
      <w:proofErr w:type="spellEnd"/>
      <w:r w:rsidR="004102CF" w:rsidRPr="004102CF">
        <w:t>, olfactory nerves or olfactory neural pathways in the brain.</w:t>
      </w:r>
    </w:p>
    <w:bookmarkEnd w:id="19"/>
    <w:p w14:paraId="2C990626" w14:textId="77777777" w:rsidR="00253D7C" w:rsidRPr="008E76DC" w:rsidRDefault="00253D7C" w:rsidP="004102CF">
      <w:pPr>
        <w:pStyle w:val="Note2"/>
        <w:ind w:left="1843" w:hanging="425"/>
      </w:pPr>
      <w:r>
        <w:t xml:space="preserve">Note: </w:t>
      </w:r>
      <w:r w:rsidR="004102CF" w:rsidRPr="004102CF">
        <w:t>Loss of the ability to smell includes loss of the ability to detect odours, discriminate between odours or to identify odours.</w:t>
      </w:r>
    </w:p>
    <w:p w14:paraId="058DBA2C" w14:textId="458C5969" w:rsidR="008F572A" w:rsidRPr="00237BAF" w:rsidRDefault="008F572A" w:rsidP="002D1E04">
      <w:pPr>
        <w:pStyle w:val="LV2"/>
      </w:pPr>
      <w:r w:rsidRPr="00237BAF">
        <w:t xml:space="preserve">While </w:t>
      </w:r>
      <w:r w:rsidR="004102CF" w:rsidRPr="004102CF">
        <w:t>anosmia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4102CF" w:rsidRPr="004102CF">
        <w:t>R43.0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4102CF" w:rsidRPr="004102CF">
        <w:t>anosmia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</w:t>
      </w:r>
      <w:proofErr w:type="gramStart"/>
      <w:r w:rsidRPr="00237BAF">
        <w:t>.</w:t>
      </w:r>
      <w:proofErr w:type="gramEnd"/>
    </w:p>
    <w:p w14:paraId="292BDFB6" w14:textId="77777777" w:rsidR="000F76FA" w:rsidRPr="0053697E" w:rsidRDefault="00CD6358" w:rsidP="007D36F6">
      <w:pPr>
        <w:pStyle w:val="LV2"/>
        <w:keepLines/>
        <w:rPr>
          <w:i/>
          <w:color w:val="000000"/>
        </w:rPr>
      </w:pPr>
      <w:r w:rsidRPr="00743C76">
        <w:lastRenderedPageBreak/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14:paraId="133205AA" w14:textId="7BE4A9BF"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4102CF" w:rsidRPr="004102CF">
        <w:rPr>
          <w:b/>
        </w:rPr>
        <w:t>anosmia</w:t>
      </w:r>
    </w:p>
    <w:p w14:paraId="010FF53F" w14:textId="7F4DB364" w:rsidR="008F572A" w:rsidRPr="00237BAF" w:rsidRDefault="008F572A" w:rsidP="002D1E04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4102CF" w:rsidRPr="004102CF">
        <w:t>anosmia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4102CF" w:rsidRPr="004102CF">
        <w:t>anosmia</w:t>
      </w:r>
      <w:r w:rsidRPr="00D5620B">
        <w:t>.</w:t>
      </w:r>
    </w:p>
    <w:p w14:paraId="5C4024FD" w14:textId="4EBE8F71"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116C09">
        <w:t>-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14:paraId="23D7D31B" w14:textId="77777777" w:rsidR="007C7DEE" w:rsidRPr="00A20CA1" w:rsidRDefault="007C7DEE" w:rsidP="00253D7C">
      <w:pPr>
        <w:pStyle w:val="LV1"/>
      </w:pPr>
      <w:bookmarkStart w:id="20" w:name="_Toc58573344"/>
      <w:r w:rsidRPr="00A20CA1">
        <w:t>Basis for determining the factors</w:t>
      </w:r>
      <w:bookmarkEnd w:id="20"/>
    </w:p>
    <w:p w14:paraId="29CA85E8" w14:textId="733E062C"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4102CF" w:rsidRPr="004102CF">
        <w:t>anosmia</w:t>
      </w:r>
      <w:r>
        <w:t xml:space="preserve"> </w:t>
      </w:r>
      <w:r w:rsidRPr="00D5620B">
        <w:t>and death from</w:t>
      </w:r>
      <w:r>
        <w:t xml:space="preserve"> </w:t>
      </w:r>
      <w:r w:rsidR="004102CF" w:rsidRPr="004102CF">
        <w:t>anosmia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14:paraId="597FD99D" w14:textId="3BB36227"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</w:t>
      </w:r>
      <w:r w:rsidR="00116C09">
        <w:t>-</w:t>
      </w:r>
      <w:r>
        <w:t xml:space="preserve"> </w:t>
      </w:r>
      <w:r w:rsidRPr="00046E67">
        <w:t>Dictionary</w:t>
      </w:r>
      <w:r>
        <w:t>.</w:t>
      </w:r>
    </w:p>
    <w:p w14:paraId="18CC4F0E" w14:textId="77777777" w:rsidR="007C7DEE" w:rsidRPr="00301C54" w:rsidRDefault="007C7DEE" w:rsidP="00253D7C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8573345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14:paraId="71017897" w14:textId="546A5E35" w:rsidR="007C7DEE" w:rsidRPr="00AA6D8B" w:rsidRDefault="002716E4" w:rsidP="00253D7C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4102CF" w:rsidRPr="004102CF">
        <w:t>anosmia</w:t>
      </w:r>
      <w:r w:rsidR="007A3989">
        <w:t xml:space="preserve"> </w:t>
      </w:r>
      <w:r w:rsidR="007C7DEE" w:rsidRPr="00AA6D8B">
        <w:t xml:space="preserve">or death from </w:t>
      </w:r>
      <w:r w:rsidR="004102CF" w:rsidRPr="004102CF">
        <w:t>anosmia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14:paraId="607C3503" w14:textId="77777777" w:rsidR="004102CF" w:rsidRDefault="004102CF" w:rsidP="002D1E04">
      <w:pPr>
        <w:pStyle w:val="LV2"/>
      </w:pPr>
      <w:bookmarkStart w:id="26" w:name="_Ref402530260"/>
      <w:bookmarkStart w:id="27" w:name="_Ref409598844"/>
      <w:r w:rsidRPr="004102CF">
        <w:t>having sinusitis for at least the two years before the clinical onset of anosmia</w:t>
      </w:r>
      <w:r>
        <w:t>;</w:t>
      </w:r>
    </w:p>
    <w:p w14:paraId="180A8D2F" w14:textId="77777777" w:rsidR="004102CF" w:rsidRDefault="004102CF" w:rsidP="002D1E04">
      <w:pPr>
        <w:pStyle w:val="LV2"/>
      </w:pPr>
      <w:r w:rsidRPr="004102CF">
        <w:t>having perennial allergic rhinitis for at least the two years before the clinical onset of anosmia</w:t>
      </w:r>
      <w:r>
        <w:t>;</w:t>
      </w:r>
    </w:p>
    <w:p w14:paraId="67D6F66D" w14:textId="77777777" w:rsidR="004102CF" w:rsidRDefault="004102CF" w:rsidP="004102CF">
      <w:pPr>
        <w:pStyle w:val="Note2"/>
      </w:pPr>
      <w:r>
        <w:t xml:space="preserve">Note: </w:t>
      </w:r>
      <w:r w:rsidRPr="004102CF">
        <w:rPr>
          <w:b/>
          <w:i/>
        </w:rPr>
        <w:t>perennial allergic rhinitis</w:t>
      </w:r>
      <w:r w:rsidRPr="004102CF">
        <w:t xml:space="preserve"> is defined in the Schedule 1 - Dictionary.</w:t>
      </w:r>
    </w:p>
    <w:p w14:paraId="3CB88FD6" w14:textId="77777777" w:rsidR="00A3413B" w:rsidRDefault="00A3413B" w:rsidP="002D1E04">
      <w:pPr>
        <w:pStyle w:val="LV2"/>
      </w:pPr>
      <w:r w:rsidRPr="00A3413B">
        <w:t xml:space="preserve">having an autoimmune </w:t>
      </w:r>
      <w:r>
        <w:t>disease</w:t>
      </w:r>
      <w:r w:rsidRPr="00A3413B">
        <w:t xml:space="preserve"> from the specified list of autoimmune </w:t>
      </w:r>
      <w:r>
        <w:t>diseases</w:t>
      </w:r>
      <w:r w:rsidRPr="00A3413B">
        <w:t xml:space="preserve"> at the time of the clinical onset of anosmia</w:t>
      </w:r>
      <w:r>
        <w:t>;</w:t>
      </w:r>
    </w:p>
    <w:p w14:paraId="0F72CF39" w14:textId="77777777" w:rsidR="00A3413B" w:rsidRDefault="00A3413B" w:rsidP="00A3413B">
      <w:pPr>
        <w:pStyle w:val="Note2"/>
      </w:pPr>
      <w:r>
        <w:t xml:space="preserve">Note: </w:t>
      </w:r>
      <w:r w:rsidRPr="00A3413B">
        <w:rPr>
          <w:b/>
          <w:i/>
        </w:rPr>
        <w:t xml:space="preserve">specified list of autoimmune </w:t>
      </w:r>
      <w:r>
        <w:rPr>
          <w:b/>
          <w:i/>
        </w:rPr>
        <w:t>diseases</w:t>
      </w:r>
      <w:r w:rsidRPr="00A3413B">
        <w:t xml:space="preserve"> is defined in the Schedule 1 - Dictionary.</w:t>
      </w:r>
    </w:p>
    <w:p w14:paraId="42848650" w14:textId="77777777" w:rsidR="00F27172" w:rsidRDefault="00F27172" w:rsidP="002D1E04">
      <w:pPr>
        <w:pStyle w:val="LV2"/>
      </w:pPr>
      <w:r w:rsidRPr="00F27172">
        <w:t>having sarcoidosis at the time of the clinical onset of anosmia</w:t>
      </w:r>
      <w:r>
        <w:t>;</w:t>
      </w:r>
    </w:p>
    <w:p w14:paraId="71218546" w14:textId="77777777" w:rsidR="00F27172" w:rsidRDefault="00F27172" w:rsidP="002D1E04">
      <w:pPr>
        <w:pStyle w:val="LV2"/>
      </w:pPr>
      <w:r>
        <w:t>having Paget's disease of bone affecting the skull at the time of the clinical onset of anosmia;</w:t>
      </w:r>
    </w:p>
    <w:p w14:paraId="2E02C2F2" w14:textId="3C158A1C" w:rsidR="00F27172" w:rsidRDefault="00F27172" w:rsidP="002D1E04">
      <w:pPr>
        <w:pStyle w:val="LV2"/>
      </w:pPr>
      <w:r w:rsidRPr="00F27172">
        <w:t xml:space="preserve">having a neurological </w:t>
      </w:r>
      <w:r w:rsidR="00CC0DB9">
        <w:t>disease</w:t>
      </w:r>
      <w:r w:rsidRPr="00F27172">
        <w:t xml:space="preserve"> from the specified list of neurological </w:t>
      </w:r>
      <w:r w:rsidR="00CC0DB9">
        <w:t>diseases</w:t>
      </w:r>
      <w:r w:rsidRPr="00F27172">
        <w:t xml:space="preserve"> at the time of the clinical onset of anosmia</w:t>
      </w:r>
      <w:r>
        <w:t>;</w:t>
      </w:r>
    </w:p>
    <w:p w14:paraId="25A079AD" w14:textId="75310CE7" w:rsidR="00CB0AC2" w:rsidRDefault="00CB0AC2" w:rsidP="00CB0AC2">
      <w:pPr>
        <w:pStyle w:val="Note2"/>
      </w:pPr>
      <w:r>
        <w:t xml:space="preserve">Note: </w:t>
      </w:r>
      <w:r w:rsidRPr="00CB0AC2">
        <w:rPr>
          <w:b/>
          <w:i/>
        </w:rPr>
        <w:t xml:space="preserve">specified list of neurological </w:t>
      </w:r>
      <w:r w:rsidR="00CC0DB9">
        <w:rPr>
          <w:b/>
          <w:i/>
        </w:rPr>
        <w:t>diseases</w:t>
      </w:r>
      <w:r w:rsidRPr="00CB0AC2">
        <w:t xml:space="preserve"> is defined in the Schedule 1 - Dictionary.</w:t>
      </w:r>
    </w:p>
    <w:p w14:paraId="3F0530DD" w14:textId="130D429B" w:rsidR="009D1AF7" w:rsidRDefault="009D1AF7" w:rsidP="002D1E04">
      <w:pPr>
        <w:pStyle w:val="LV2"/>
      </w:pPr>
      <w:r w:rsidRPr="009D1AF7">
        <w:lastRenderedPageBreak/>
        <w:t>having hepatic encephalopathy at the time of the clinical onset of anosmia</w:t>
      </w:r>
      <w:r>
        <w:t>;</w:t>
      </w:r>
    </w:p>
    <w:p w14:paraId="7EC0FDF6" w14:textId="62D3E622" w:rsidR="009D1AF7" w:rsidRDefault="009D1AF7" w:rsidP="004771B9">
      <w:pPr>
        <w:pStyle w:val="LV2"/>
        <w:keepNext/>
      </w:pPr>
      <w:r w:rsidRPr="009D1AF7">
        <w:t>having chronic renal failure at the time of the clinical onset of anosmia;</w:t>
      </w:r>
    </w:p>
    <w:p w14:paraId="76309C5C" w14:textId="0D7AF3D6" w:rsidR="009D1AF7" w:rsidRDefault="009D1AF7" w:rsidP="009D1AF7">
      <w:pPr>
        <w:pStyle w:val="Note2"/>
      </w:pPr>
      <w:r>
        <w:t xml:space="preserve">Note: </w:t>
      </w:r>
      <w:r w:rsidRPr="009D1AF7">
        <w:rPr>
          <w:b/>
          <w:i/>
        </w:rPr>
        <w:t xml:space="preserve">chronic renal failure </w:t>
      </w:r>
      <w:r w:rsidRPr="009D1AF7">
        <w:t>is defined in the Schedule 1 - Dictionary.</w:t>
      </w:r>
    </w:p>
    <w:p w14:paraId="64A4B538" w14:textId="70BA05D9" w:rsidR="009D1AF7" w:rsidRDefault="009D1AF7" w:rsidP="002D1E04">
      <w:pPr>
        <w:pStyle w:val="LV2"/>
      </w:pPr>
      <w:r w:rsidRPr="009D1AF7">
        <w:t>having diabetes mellitus before the clinical onset of anosmia</w:t>
      </w:r>
      <w:r>
        <w:t>;</w:t>
      </w:r>
    </w:p>
    <w:p w14:paraId="53554CA6" w14:textId="6C433AFA" w:rsidR="009D1AF7" w:rsidRDefault="009D1AF7" w:rsidP="002D1E04">
      <w:pPr>
        <w:pStyle w:val="LV2"/>
      </w:pPr>
      <w:r w:rsidRPr="009D1AF7">
        <w:t>having a disorder of mental health from the specified list of disorders of mental health at the time of the clinical onset of anosmia</w:t>
      </w:r>
      <w:r>
        <w:t>;</w:t>
      </w:r>
    </w:p>
    <w:p w14:paraId="6A3A7E15" w14:textId="01D6ADA2" w:rsidR="009D1AF7" w:rsidRDefault="009D1AF7" w:rsidP="009D1AF7">
      <w:pPr>
        <w:pStyle w:val="Note2"/>
      </w:pPr>
      <w:r>
        <w:t xml:space="preserve">Note: </w:t>
      </w:r>
      <w:r w:rsidRPr="009D1AF7">
        <w:rPr>
          <w:b/>
          <w:i/>
        </w:rPr>
        <w:t>specified list of disorders of mental health</w:t>
      </w:r>
      <w:r w:rsidRPr="009D1AF7">
        <w:t xml:space="preserve"> is defined in the Schedule 1 - Dictionary.</w:t>
      </w:r>
    </w:p>
    <w:p w14:paraId="3AFD82C6" w14:textId="29664441" w:rsidR="004102CF" w:rsidRDefault="004102CF" w:rsidP="002D1E04">
      <w:pPr>
        <w:pStyle w:val="LV2"/>
      </w:pPr>
      <w:r w:rsidRPr="004102CF">
        <w:t xml:space="preserve">having a condition or procedure from the specified list of conditions and procedures, which damages the olfactory </w:t>
      </w:r>
      <w:proofErr w:type="spellStart"/>
      <w:r w:rsidRPr="004102CF">
        <w:t>neuroepithelium</w:t>
      </w:r>
      <w:proofErr w:type="spellEnd"/>
      <w:r w:rsidRPr="004102CF">
        <w:t xml:space="preserve">, the olfactory bulb or the olfactory </w:t>
      </w:r>
      <w:r w:rsidRPr="00990D12">
        <w:t>neural pathways</w:t>
      </w:r>
      <w:r w:rsidRPr="004102CF">
        <w:t xml:space="preserve"> in the brain at the time of the clinical onset of anosmia</w:t>
      </w:r>
      <w:r>
        <w:t>;</w:t>
      </w:r>
    </w:p>
    <w:p w14:paraId="2A8EBCFF" w14:textId="77777777" w:rsidR="004102CF" w:rsidRDefault="003512DE" w:rsidP="004102CF">
      <w:pPr>
        <w:pStyle w:val="Note2"/>
      </w:pPr>
      <w:r>
        <w:t xml:space="preserve">Note: </w:t>
      </w:r>
      <w:r w:rsidRPr="003512DE">
        <w:rPr>
          <w:b/>
          <w:i/>
        </w:rPr>
        <w:t>specified list of conditions and procedures</w:t>
      </w:r>
      <w:r w:rsidRPr="003512DE">
        <w:t xml:space="preserve"> is defined in the </w:t>
      </w:r>
      <w:bookmarkStart w:id="28" w:name="_GoBack"/>
      <w:bookmarkEnd w:id="28"/>
      <w:r w:rsidRPr="003512DE">
        <w:t>Schedule 1 - Dictionary.</w:t>
      </w:r>
    </w:p>
    <w:p w14:paraId="40F55F06" w14:textId="0041DA18" w:rsidR="00A3413B" w:rsidRDefault="00CB0AC2" w:rsidP="002D1E04">
      <w:pPr>
        <w:pStyle w:val="LV2"/>
      </w:pPr>
      <w:r w:rsidRPr="00CB0AC2">
        <w:t>being treated with a drug which is associated in the individual with:</w:t>
      </w:r>
    </w:p>
    <w:p w14:paraId="795875B9" w14:textId="608BC430" w:rsidR="00CB0AC2" w:rsidRDefault="00CB0AC2" w:rsidP="00CB0AC2">
      <w:pPr>
        <w:pStyle w:val="LV3"/>
      </w:pPr>
      <w:r w:rsidRPr="00CB0AC2">
        <w:tab/>
        <w:t>the development of anosmia within three weeks of commencing drug therapy, in the absence of clinical or laboratory evidence of anosmia prior to commencing drug therapy</w:t>
      </w:r>
      <w:r>
        <w:t>; and</w:t>
      </w:r>
    </w:p>
    <w:p w14:paraId="6CF2565A" w14:textId="75124214" w:rsidR="00CB0AC2" w:rsidRDefault="00CB0AC2" w:rsidP="00CB0AC2">
      <w:pPr>
        <w:pStyle w:val="LV3"/>
      </w:pPr>
      <w:r w:rsidRPr="00CB0AC2">
        <w:tab/>
        <w:t>the persistence of anosmia after discontinuing drug therapy</w:t>
      </w:r>
      <w:r w:rsidR="000F4F1B">
        <w:t>;</w:t>
      </w:r>
    </w:p>
    <w:p w14:paraId="73EED534" w14:textId="3CEAEF4F" w:rsidR="002E3B0C" w:rsidRDefault="002E3B0C" w:rsidP="002D1E04">
      <w:pPr>
        <w:pStyle w:val="LV2"/>
      </w:pPr>
      <w:r w:rsidRPr="002E3B0C">
        <w:t xml:space="preserve">undergoing a course of therapeutic radiation for cancer, where the olfactory </w:t>
      </w:r>
      <w:proofErr w:type="spellStart"/>
      <w:r w:rsidRPr="002E3B0C">
        <w:t>neuroepithelium</w:t>
      </w:r>
      <w:proofErr w:type="spellEnd"/>
      <w:r w:rsidRPr="002E3B0C">
        <w:t xml:space="preserve">, olfactory bulb, or olfactory </w:t>
      </w:r>
      <w:r w:rsidR="00990D12" w:rsidRPr="00990D12">
        <w:t>neural</w:t>
      </w:r>
      <w:r w:rsidRPr="00990D12">
        <w:t xml:space="preserve"> pathways</w:t>
      </w:r>
      <w:r w:rsidRPr="002E3B0C">
        <w:t xml:space="preserve"> in the brain were in the field of radiation, within the 30 days before the clinical onset of anosmia</w:t>
      </w:r>
      <w:r>
        <w:t>;</w:t>
      </w:r>
    </w:p>
    <w:p w14:paraId="4ECB38C1" w14:textId="151F7C43" w:rsidR="00CB0AC2" w:rsidRDefault="00AC36E8" w:rsidP="002D1E04">
      <w:pPr>
        <w:pStyle w:val="LV2"/>
      </w:pPr>
      <w:r w:rsidRPr="00AC36E8">
        <w:t>receiving an intranasal application of a preparation containing zinc gluconate or zinc sulphate within the 48 hours before the clinical onset of anosmia</w:t>
      </w:r>
      <w:r>
        <w:t xml:space="preserve">; </w:t>
      </w:r>
    </w:p>
    <w:p w14:paraId="3C7CBBF9" w14:textId="408B85B4" w:rsidR="00AC36E8" w:rsidRDefault="003909FD" w:rsidP="002D1E04">
      <w:pPr>
        <w:pStyle w:val="LV2"/>
      </w:pPr>
      <w:r>
        <w:t>taking</w:t>
      </w:r>
      <w:r w:rsidR="00AC36E8" w:rsidRPr="00AC36E8">
        <w:t xml:space="preserve"> intranasal cocaine such that there is destruction of the nasal septum, palate or paranasal sinuses before the clinical onset of anosmia</w:t>
      </w:r>
      <w:r w:rsidR="00AC36E8">
        <w:t>;</w:t>
      </w:r>
    </w:p>
    <w:p w14:paraId="487B0A76" w14:textId="360D708D" w:rsidR="00BD3E6A" w:rsidRDefault="00917669" w:rsidP="002D1E04">
      <w:pPr>
        <w:pStyle w:val="LV2"/>
      </w:pPr>
      <w:r w:rsidRPr="00917669">
        <w:t xml:space="preserve">inhaling fumes from a metal </w:t>
      </w:r>
      <w:r w:rsidR="00896AA9">
        <w:t xml:space="preserve">from the specified list of metals, </w:t>
      </w:r>
      <w:r w:rsidRPr="00917669">
        <w:t>or a compound containing a metal</w:t>
      </w:r>
      <w:r w:rsidR="00896AA9">
        <w:t xml:space="preserve"> from the specified list of metals,</w:t>
      </w:r>
      <w:r>
        <w:t xml:space="preserve"> </w:t>
      </w:r>
      <w:r w:rsidRPr="00917669">
        <w:tab/>
        <w:t>for a cumulative period of at least 5,000 hours before the clinical onset of anosmia</w:t>
      </w:r>
      <w:r>
        <w:t xml:space="preserve"> and </w:t>
      </w:r>
      <w:r w:rsidRPr="00917669">
        <w:t>where that exposure has ceased, the clinical onset of anosmia has occurred within one year of cessation</w:t>
      </w:r>
      <w:r>
        <w:t>;</w:t>
      </w:r>
    </w:p>
    <w:p w14:paraId="014C6CE2" w14:textId="32DC95EC" w:rsidR="00BD3E6A" w:rsidRDefault="00177EC2" w:rsidP="00BD3E6A">
      <w:pPr>
        <w:pStyle w:val="Note2"/>
      </w:pPr>
      <w:r>
        <w:t>Note</w:t>
      </w:r>
      <w:r w:rsidR="00BD3E6A">
        <w:t xml:space="preserve">: </w:t>
      </w:r>
      <w:r w:rsidR="00BD3E6A">
        <w:rPr>
          <w:b/>
          <w:i/>
        </w:rPr>
        <w:t>fumes</w:t>
      </w:r>
      <w:r w:rsidR="00BD3E6A" w:rsidRPr="003512DE">
        <w:t xml:space="preserve"> </w:t>
      </w:r>
      <w:r>
        <w:t xml:space="preserve">and </w:t>
      </w:r>
      <w:r>
        <w:rPr>
          <w:b/>
          <w:i/>
        </w:rPr>
        <w:t>specified list of metals</w:t>
      </w:r>
      <w:r w:rsidRPr="003512DE">
        <w:t xml:space="preserve"> </w:t>
      </w:r>
      <w:r>
        <w:t xml:space="preserve">are </w:t>
      </w:r>
      <w:r w:rsidR="00BD3E6A" w:rsidRPr="003512DE">
        <w:t xml:space="preserve">defined in the Schedule 1 </w:t>
      </w:r>
      <w:r w:rsidR="00CC0DB9">
        <w:t>-</w:t>
      </w:r>
      <w:r w:rsidR="00BD3E6A" w:rsidRPr="003512DE">
        <w:t xml:space="preserve"> Dictionary.</w:t>
      </w:r>
    </w:p>
    <w:p w14:paraId="5AA292A5" w14:textId="209F7244" w:rsidR="00E95380" w:rsidRDefault="00E95380" w:rsidP="00CD23A9">
      <w:pPr>
        <w:pStyle w:val="LV2"/>
        <w:keepNext/>
        <w:keepLines/>
      </w:pPr>
      <w:r w:rsidRPr="00E95380">
        <w:lastRenderedPageBreak/>
        <w:t>inhaling fumes from a volatile substance</w:t>
      </w:r>
      <w:r w:rsidR="00896AA9">
        <w:t xml:space="preserve"> from the specified list of volatile substances</w:t>
      </w:r>
      <w:r>
        <w:t xml:space="preserve"> </w:t>
      </w:r>
      <w:r w:rsidRPr="00E95380">
        <w:t xml:space="preserve">for a </w:t>
      </w:r>
      <w:r>
        <w:t>cumulative period of at least 5,</w:t>
      </w:r>
      <w:r w:rsidRPr="00E95380">
        <w:t>000 hours before the clinical onset of anosmia</w:t>
      </w:r>
      <w:r>
        <w:t xml:space="preserve"> and </w:t>
      </w:r>
      <w:r w:rsidRPr="00E95380">
        <w:tab/>
        <w:t>where that exposure has ceased, the clinical onset of anosmia has occurred within one year of cessation</w:t>
      </w:r>
      <w:r>
        <w:t>;</w:t>
      </w:r>
    </w:p>
    <w:p w14:paraId="38988D26" w14:textId="268E8DE1" w:rsidR="00E95380" w:rsidRDefault="00BE666D" w:rsidP="00CD23A9">
      <w:pPr>
        <w:pStyle w:val="Note2"/>
        <w:keepNext/>
        <w:keepLines/>
      </w:pPr>
      <w:r>
        <w:t>Note</w:t>
      </w:r>
      <w:r w:rsidR="00D107D5">
        <w:t xml:space="preserve">: </w:t>
      </w:r>
      <w:r w:rsidR="00D107D5">
        <w:rPr>
          <w:b/>
          <w:i/>
        </w:rPr>
        <w:t>fumes</w:t>
      </w:r>
      <w:r w:rsidR="00177EC2">
        <w:t xml:space="preserve"> and </w:t>
      </w:r>
      <w:r w:rsidR="00177EC2" w:rsidRPr="00D107D5">
        <w:rPr>
          <w:b/>
          <w:i/>
        </w:rPr>
        <w:t xml:space="preserve">specified </w:t>
      </w:r>
      <w:r w:rsidR="00177EC2">
        <w:rPr>
          <w:b/>
          <w:i/>
        </w:rPr>
        <w:t xml:space="preserve">list of </w:t>
      </w:r>
      <w:r w:rsidR="00177EC2" w:rsidRPr="00D107D5">
        <w:rPr>
          <w:b/>
          <w:i/>
        </w:rPr>
        <w:t>volatile substance</w:t>
      </w:r>
      <w:r w:rsidR="00177EC2">
        <w:rPr>
          <w:b/>
          <w:i/>
        </w:rPr>
        <w:t>s</w:t>
      </w:r>
      <w:r w:rsidR="00177EC2">
        <w:t xml:space="preserve"> are</w:t>
      </w:r>
      <w:r w:rsidR="00D107D5" w:rsidRPr="003512DE">
        <w:t xml:space="preserve"> defined in the Schedule</w:t>
      </w:r>
      <w:r w:rsidR="00177EC2">
        <w:t> </w:t>
      </w:r>
      <w:r w:rsidR="00D107D5" w:rsidRPr="003512DE">
        <w:t>1</w:t>
      </w:r>
      <w:r w:rsidR="00177EC2">
        <w:t> </w:t>
      </w:r>
      <w:r w:rsidR="00D107D5" w:rsidRPr="003512DE">
        <w:t>-</w:t>
      </w:r>
      <w:r w:rsidR="00177EC2">
        <w:t> </w:t>
      </w:r>
      <w:r w:rsidR="00D107D5" w:rsidRPr="003512DE">
        <w:t>Dictionary.</w:t>
      </w:r>
    </w:p>
    <w:p w14:paraId="62564BBD" w14:textId="4D0BE224" w:rsidR="00844EB7" w:rsidRDefault="00844EB7" w:rsidP="002D1E04">
      <w:pPr>
        <w:pStyle w:val="LV2"/>
      </w:pPr>
      <w:r w:rsidRPr="00844EB7">
        <w:t>experiencing acute, symptomatic poisoning from a neurotoxic substance from the specified list of neurotoxic substances within the 30 days before the clinical onset of anosmia</w:t>
      </w:r>
      <w:r>
        <w:t>;</w:t>
      </w:r>
    </w:p>
    <w:p w14:paraId="38CE3FD3" w14:textId="5AAF2317" w:rsidR="00844EB7" w:rsidRDefault="00844EB7" w:rsidP="00844EB7">
      <w:pPr>
        <w:pStyle w:val="Note2"/>
      </w:pPr>
      <w:r>
        <w:t xml:space="preserve">Note: </w:t>
      </w:r>
      <w:r w:rsidRPr="00844EB7">
        <w:rPr>
          <w:b/>
          <w:i/>
        </w:rPr>
        <w:t>specified list of neurotoxic substances</w:t>
      </w:r>
      <w:r w:rsidRPr="00844EB7">
        <w:t xml:space="preserve"> is defined in the Schedule 1 - Dictionary.</w:t>
      </w:r>
    </w:p>
    <w:p w14:paraId="41C0FC93" w14:textId="1DADD02D" w:rsidR="00896AA9" w:rsidRDefault="00896AA9" w:rsidP="002D1E04">
      <w:pPr>
        <w:pStyle w:val="LV2"/>
      </w:pPr>
      <w:r w:rsidRPr="00896AA9">
        <w:tab/>
        <w:t>where smoking has not ceased prior to the clinical onset of anosmia, having smoked at least 20 pack-years of tobacco products before the clinical onset of anosmia</w:t>
      </w:r>
      <w:r>
        <w:t>;</w:t>
      </w:r>
    </w:p>
    <w:p w14:paraId="30180353" w14:textId="10E9ADAC" w:rsidR="00896AA9" w:rsidRDefault="00896AA9" w:rsidP="00896AA9">
      <w:pPr>
        <w:pStyle w:val="Note2"/>
      </w:pPr>
      <w:r>
        <w:t xml:space="preserve">Note: </w:t>
      </w:r>
      <w:r w:rsidRPr="00896AA9">
        <w:rPr>
          <w:b/>
          <w:i/>
        </w:rPr>
        <w:t>pack-year of tobacco products</w:t>
      </w:r>
      <w:r w:rsidRPr="00896AA9">
        <w:t xml:space="preserve"> is defined in the Schedule 1 - Dictionary.</w:t>
      </w:r>
    </w:p>
    <w:p w14:paraId="0C958B13" w14:textId="6CDC9114" w:rsidR="00A0785B" w:rsidRDefault="00A0785B" w:rsidP="002D1E04">
      <w:pPr>
        <w:pStyle w:val="LV2"/>
      </w:pPr>
      <w:r w:rsidRPr="00A0785B">
        <w:t>having pellagra at the time of the clinical onset of anosmia</w:t>
      </w:r>
      <w:r>
        <w:t>;</w:t>
      </w:r>
    </w:p>
    <w:p w14:paraId="64B69444" w14:textId="0414151A" w:rsidR="00A0785B" w:rsidRDefault="00A0785B" w:rsidP="00A0785B">
      <w:pPr>
        <w:pStyle w:val="Note2"/>
      </w:pPr>
      <w:r>
        <w:t xml:space="preserve">Note: </w:t>
      </w:r>
      <w:r w:rsidRPr="00A0785B">
        <w:rPr>
          <w:b/>
          <w:i/>
        </w:rPr>
        <w:t>pellagra</w:t>
      </w:r>
      <w:r w:rsidRPr="00A0785B">
        <w:t xml:space="preserve"> is defined in the Schedule 1 - Dictionary.</w:t>
      </w:r>
    </w:p>
    <w:p w14:paraId="328FB798" w14:textId="454125E7" w:rsidR="009D1AF7" w:rsidRDefault="009D1AF7" w:rsidP="002D1E04">
      <w:pPr>
        <w:pStyle w:val="LV2"/>
      </w:pPr>
      <w:r w:rsidRPr="009D1AF7">
        <w:t>having vitamin B12 deficiency at the time of the clinical onset of anosmia</w:t>
      </w:r>
      <w:r>
        <w:t>;</w:t>
      </w:r>
    </w:p>
    <w:p w14:paraId="27EC4052" w14:textId="136F7A70" w:rsidR="00D50E46" w:rsidRDefault="00D50E46" w:rsidP="002D1E04">
      <w:pPr>
        <w:pStyle w:val="LV2"/>
      </w:pPr>
      <w:proofErr w:type="gramStart"/>
      <w:r w:rsidRPr="00D860C8">
        <w:t>having</w:t>
      </w:r>
      <w:proofErr w:type="gramEnd"/>
      <w:r w:rsidRPr="00D860C8">
        <w:t xml:space="preserve"> envenomation by the Austr</w:t>
      </w:r>
      <w:r>
        <w:t>alian mulga snake</w:t>
      </w:r>
      <w:r w:rsidRPr="00D860C8">
        <w:t xml:space="preserve"> </w:t>
      </w:r>
      <w:r>
        <w:t>(</w:t>
      </w:r>
      <w:proofErr w:type="spellStart"/>
      <w:r w:rsidRPr="00D860C8">
        <w:rPr>
          <w:i/>
        </w:rPr>
        <w:t>Pseudoechis</w:t>
      </w:r>
      <w:proofErr w:type="spellEnd"/>
      <w:r w:rsidRPr="00D860C8">
        <w:rPr>
          <w:i/>
        </w:rPr>
        <w:t xml:space="preserve"> </w:t>
      </w:r>
      <w:proofErr w:type="spellStart"/>
      <w:r w:rsidRPr="00D860C8">
        <w:rPr>
          <w:i/>
        </w:rPr>
        <w:t>australis</w:t>
      </w:r>
      <w:proofErr w:type="spellEnd"/>
      <w:r>
        <w:t>)</w:t>
      </w:r>
      <w:r w:rsidRPr="00D860C8">
        <w:t xml:space="preserve"> </w:t>
      </w:r>
      <w:r>
        <w:t>or the South African Berg adder</w:t>
      </w:r>
      <w:r w:rsidRPr="00D860C8">
        <w:t xml:space="preserve"> </w:t>
      </w:r>
      <w:r>
        <w:t>(</w:t>
      </w:r>
      <w:proofErr w:type="spellStart"/>
      <w:r w:rsidRPr="00D860C8">
        <w:rPr>
          <w:i/>
        </w:rPr>
        <w:t>Bitis</w:t>
      </w:r>
      <w:proofErr w:type="spellEnd"/>
      <w:r w:rsidRPr="00D860C8">
        <w:rPr>
          <w:i/>
        </w:rPr>
        <w:t xml:space="preserve"> </w:t>
      </w:r>
      <w:proofErr w:type="spellStart"/>
      <w:r w:rsidRPr="00D860C8">
        <w:rPr>
          <w:i/>
        </w:rPr>
        <w:t>atropos</w:t>
      </w:r>
      <w:proofErr w:type="spellEnd"/>
      <w:r>
        <w:t>)</w:t>
      </w:r>
      <w:r w:rsidRPr="00D860C8">
        <w:t xml:space="preserve"> at the time of the clinical onset of anosmia</w:t>
      </w:r>
      <w:r>
        <w:t>.</w:t>
      </w:r>
    </w:p>
    <w:p w14:paraId="232BB147" w14:textId="77777777" w:rsidR="000C21A3" w:rsidRPr="00684C0E" w:rsidRDefault="00D32F71" w:rsidP="00253D7C">
      <w:pPr>
        <w:pStyle w:val="LV1"/>
      </w:pPr>
      <w:bookmarkStart w:id="29" w:name="_Toc58573346"/>
      <w:bookmarkStart w:id="30" w:name="_Ref402530057"/>
      <w:bookmarkEnd w:id="26"/>
      <w:bookmarkEnd w:id="27"/>
      <w:r>
        <w:t>Relationship to s</w:t>
      </w:r>
      <w:r w:rsidR="000C21A3" w:rsidRPr="00684C0E">
        <w:t>ervice</w:t>
      </w:r>
      <w:bookmarkEnd w:id="29"/>
    </w:p>
    <w:p w14:paraId="5E3CC250" w14:textId="77777777" w:rsidR="00F03C06" w:rsidRPr="00187DE1" w:rsidRDefault="00F03C06" w:rsidP="002D1E04">
      <w:pPr>
        <w:pStyle w:val="LV2"/>
        <w:numPr>
          <w:ilvl w:val="0"/>
          <w:numId w:val="0"/>
        </w:numPr>
        <w:ind w:left="851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p w14:paraId="3D7F5635" w14:textId="618DFE7B" w:rsidR="00774897" w:rsidRPr="00301C54" w:rsidRDefault="00774897" w:rsidP="00253D7C">
      <w:pPr>
        <w:pStyle w:val="LV1"/>
      </w:pPr>
      <w:bookmarkStart w:id="31" w:name="_Toc58573347"/>
      <w:bookmarkEnd w:id="3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14:paraId="591AFA42" w14:textId="77777777" w:rsidR="00F03C06" w:rsidRPr="00E64EE4" w:rsidRDefault="00F03C06" w:rsidP="00253D7C">
      <w:pPr>
        <w:pStyle w:val="PlainIndent"/>
      </w:pPr>
      <w:r w:rsidRPr="00E64EE4">
        <w:t>In this Statement of Principles:</w:t>
      </w:r>
    </w:p>
    <w:p w14:paraId="7AFF88FE" w14:textId="77777777" w:rsidR="00F03C06" w:rsidRPr="00E64EE4" w:rsidRDefault="00F03C06" w:rsidP="002D1E04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14:paraId="3837825E" w14:textId="77777777" w:rsidR="00733269" w:rsidRPr="00E64EE4" w:rsidRDefault="00F03C06" w:rsidP="002D1E04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14:paraId="449120FF" w14:textId="77777777" w:rsidR="00F03C06" w:rsidRDefault="00733269" w:rsidP="00253D7C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14:paraId="0EABB01B" w14:textId="77777777" w:rsidR="00782F4E" w:rsidRPr="00E64EE4" w:rsidRDefault="00782F4E" w:rsidP="00253D7C">
      <w:pPr>
        <w:pStyle w:val="PlainIndent"/>
      </w:pPr>
    </w:p>
    <w:p w14:paraId="6B8FAAA3" w14:textId="77777777" w:rsidR="00081B7C" w:rsidRPr="00FA33FB" w:rsidRDefault="00081B7C" w:rsidP="00253D7C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01921D37" w14:textId="77777777" w:rsidR="00F03C06" w:rsidRDefault="00F03C06" w:rsidP="00253D7C">
      <w:pPr>
        <w:pStyle w:val="PlainIndent"/>
      </w:pPr>
    </w:p>
    <w:p w14:paraId="5D776CF8" w14:textId="0196A471"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58573348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499C4375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14:paraId="0AD4AAE3" w14:textId="77777777" w:rsidR="00BD3334" w:rsidRDefault="00702C42" w:rsidP="00516768">
      <w:pPr>
        <w:pStyle w:val="SH1"/>
      </w:pPr>
      <w:bookmarkStart w:id="35" w:name="_Toc405472918"/>
      <w:bookmarkStart w:id="36" w:name="_Toc58573349"/>
      <w:r w:rsidRPr="00D97BB3">
        <w:t>Definitions</w:t>
      </w:r>
      <w:bookmarkEnd w:id="35"/>
      <w:bookmarkEnd w:id="36"/>
    </w:p>
    <w:p w14:paraId="1BAC6F9A" w14:textId="77777777" w:rsidR="00702C42" w:rsidRPr="00516768" w:rsidRDefault="00702C42" w:rsidP="00253D7C">
      <w:pPr>
        <w:pStyle w:val="SH2"/>
      </w:pPr>
      <w:r w:rsidRPr="00516768">
        <w:t>In this instrument:</w:t>
      </w:r>
    </w:p>
    <w:p w14:paraId="73C455C9" w14:textId="1C617C3E" w:rsidR="004102CF" w:rsidRPr="00513D05" w:rsidRDefault="004102CF" w:rsidP="004102CF">
      <w:pPr>
        <w:pStyle w:val="SH3"/>
      </w:pPr>
      <w:bookmarkStart w:id="37" w:name="_Ref402530810"/>
      <w:proofErr w:type="gramStart"/>
      <w:r w:rsidRPr="004102CF">
        <w:rPr>
          <w:b/>
          <w:i/>
        </w:rPr>
        <w:t>anosmia</w:t>
      </w:r>
      <w:r w:rsidRPr="00513D05">
        <w:t>—</w:t>
      </w:r>
      <w:proofErr w:type="gramEnd"/>
      <w:r w:rsidRPr="00513D05">
        <w:t>see subsection</w:t>
      </w:r>
      <w:r>
        <w:t xml:space="preserve"> 7(2).</w:t>
      </w:r>
    </w:p>
    <w:p w14:paraId="64B830C3" w14:textId="77777777" w:rsidR="009D1AF7" w:rsidRDefault="009D1AF7" w:rsidP="009D1AF7">
      <w:pPr>
        <w:pStyle w:val="SH3"/>
      </w:pPr>
      <w:r w:rsidRPr="003D509D">
        <w:rPr>
          <w:b/>
          <w:i/>
        </w:rPr>
        <w:t>chronic renal failure</w:t>
      </w:r>
      <w:r w:rsidRPr="003D509D">
        <w:t xml:space="preserve"> means</w:t>
      </w:r>
      <w:r>
        <w:t>:</w:t>
      </w:r>
    </w:p>
    <w:p w14:paraId="0933A11A" w14:textId="7B96BDF0" w:rsidR="009D1AF7" w:rsidRDefault="009D1AF7" w:rsidP="009D1AF7">
      <w:pPr>
        <w:pStyle w:val="SH4"/>
      </w:pPr>
      <w:r w:rsidRPr="003D509D">
        <w:t>having a glomerular filtration rate of less than 15 mL/min/1.73 m</w:t>
      </w:r>
      <w:r>
        <w:rPr>
          <w:vertAlign w:val="superscript"/>
        </w:rPr>
        <w:t>2</w:t>
      </w:r>
      <w:r w:rsidRPr="003D509D">
        <w:t xml:space="preserve"> for a period of at least three months; or</w:t>
      </w:r>
    </w:p>
    <w:p w14:paraId="1CB82A61" w14:textId="77777777" w:rsidR="009D1AF7" w:rsidRDefault="009D1AF7" w:rsidP="009D1AF7">
      <w:pPr>
        <w:pStyle w:val="SH4"/>
      </w:pPr>
      <w:r w:rsidRPr="003D509D">
        <w:t>a need for renal replacement therapy (dialysis or transplantation) for treatment of complications of decreased glomerular filtration rate which would otherwise increase the risk of morbidity and mortality; or</w:t>
      </w:r>
    </w:p>
    <w:p w14:paraId="21CA4271" w14:textId="603E8D19" w:rsidR="009D1AF7" w:rsidRPr="009D1AF7" w:rsidRDefault="009D1AF7" w:rsidP="009D1AF7">
      <w:pPr>
        <w:pStyle w:val="SH4"/>
      </w:pPr>
      <w:proofErr w:type="gramStart"/>
      <w:r w:rsidRPr="003D509D">
        <w:t>undergoing</w:t>
      </w:r>
      <w:proofErr w:type="gramEnd"/>
      <w:r w:rsidRPr="003D509D">
        <w:t xml:space="preserve"> chronic dialysis.</w:t>
      </w:r>
    </w:p>
    <w:p w14:paraId="63ECCEC7" w14:textId="445F9454" w:rsidR="00BD3E6A" w:rsidRDefault="00BD3E6A" w:rsidP="00BD3E6A">
      <w:pPr>
        <w:pStyle w:val="SH3"/>
      </w:pPr>
      <w:r w:rsidRPr="00BD3E6A">
        <w:rPr>
          <w:b/>
          <w:i/>
        </w:rPr>
        <w:t>fumes</w:t>
      </w:r>
      <w:r w:rsidRPr="00BD3E6A">
        <w:t xml:space="preserve"> means combustion products, aerosols, vapours or dust arising through industrial processes or from workplace practices that involve the refining, manufacture or use of the stated material</w:t>
      </w:r>
      <w:r>
        <w:t>.</w:t>
      </w:r>
    </w:p>
    <w:p w14:paraId="4E1BECE4" w14:textId="244E1E4A" w:rsidR="00885EAB" w:rsidRPr="009C404D" w:rsidRDefault="007B52F6" w:rsidP="004A1E0E">
      <w:pPr>
        <w:pStyle w:val="SH3"/>
      </w:pPr>
      <w:r w:rsidRPr="007B52F6">
        <w:tab/>
      </w:r>
      <w:r w:rsidR="00885EAB" w:rsidRPr="00E424C8">
        <w:rPr>
          <w:b/>
          <w:i/>
        </w:rPr>
        <w:t>MRCA</w:t>
      </w:r>
      <w:r w:rsidR="00885EAB" w:rsidRPr="00E424C8">
        <w:rPr>
          <w:b/>
        </w:rPr>
        <w:t xml:space="preserve"> </w:t>
      </w:r>
      <w:r w:rsidR="00885EAB" w:rsidRPr="00973808">
        <w:t>me</w:t>
      </w:r>
      <w:r w:rsidR="00885EAB" w:rsidRPr="00024911">
        <w:rPr>
          <w:rStyle w:val="SH3nospaceChar"/>
        </w:rPr>
        <w:t>a</w:t>
      </w:r>
      <w:r w:rsidR="00885EAB" w:rsidRPr="00973808">
        <w:t>ns</w:t>
      </w:r>
      <w:r w:rsidR="00885EAB" w:rsidRPr="009C404D">
        <w:t xml:space="preserve"> the </w:t>
      </w:r>
      <w:r w:rsidR="00885EAB" w:rsidRPr="00E424C8">
        <w:rPr>
          <w:i/>
        </w:rPr>
        <w:t>Military Rehabilitation and Compensation Act 2004</w:t>
      </w:r>
      <w:r w:rsidR="00885EAB" w:rsidRPr="009C404D">
        <w:t>.</w:t>
      </w:r>
    </w:p>
    <w:p w14:paraId="63CB4FDD" w14:textId="7F553C99" w:rsidR="00D107D5" w:rsidRPr="00D107D5" w:rsidRDefault="00896AA9" w:rsidP="00D107D5">
      <w:pPr>
        <w:pStyle w:val="SH3"/>
      </w:pPr>
      <w:bookmarkStart w:id="38" w:name="_Ref402529607"/>
      <w:bookmarkEnd w:id="37"/>
      <w:proofErr w:type="gramStart"/>
      <w:r>
        <w:rPr>
          <w:b/>
          <w:i/>
        </w:rPr>
        <w:t>organic</w:t>
      </w:r>
      <w:proofErr w:type="gramEnd"/>
      <w:r>
        <w:rPr>
          <w:b/>
          <w:i/>
        </w:rPr>
        <w:t xml:space="preserve"> solvent</w:t>
      </w:r>
      <w:r w:rsidR="00175FDA">
        <w:rPr>
          <w:b/>
          <w:i/>
        </w:rPr>
        <w:t>s</w:t>
      </w:r>
      <w:r w:rsidR="00D107D5" w:rsidRPr="00D107D5">
        <w:t xml:space="preserve"> means oxygenated, aliphatic or aromatic solvents</w:t>
      </w:r>
      <w:r w:rsidR="00D107D5">
        <w:t>.</w:t>
      </w:r>
    </w:p>
    <w:p w14:paraId="2BC2FBCF" w14:textId="77777777" w:rsidR="00896AA9" w:rsidRDefault="00896AA9" w:rsidP="00896AA9">
      <w:pPr>
        <w:pStyle w:val="SH3"/>
      </w:pPr>
      <w:r w:rsidRPr="00013C0A">
        <w:rPr>
          <w:b/>
          <w:i/>
        </w:rPr>
        <w:t>pack-year of tobacco products</w:t>
      </w:r>
      <w:r w:rsidRPr="00013C0A">
        <w:t xml:space="preserve"> means</w:t>
      </w:r>
      <w:r>
        <w:t>:</w:t>
      </w:r>
    </w:p>
    <w:p w14:paraId="7242F29D" w14:textId="77777777" w:rsidR="00896AA9" w:rsidRDefault="00896AA9" w:rsidP="00896AA9">
      <w:pPr>
        <w:pStyle w:val="SH4"/>
      </w:pPr>
      <w:r w:rsidRPr="00013C0A">
        <w:t>20 cigarettes per day for a period of one calendar year; or</w:t>
      </w:r>
    </w:p>
    <w:p w14:paraId="0D6256A4" w14:textId="77777777" w:rsidR="00896AA9" w:rsidRDefault="00896AA9" w:rsidP="00896AA9">
      <w:pPr>
        <w:pStyle w:val="SH4"/>
      </w:pPr>
      <w:r w:rsidRPr="00013C0A">
        <w:t>7,300 cigarettes in a period of one calendar year; or</w:t>
      </w:r>
    </w:p>
    <w:p w14:paraId="166FE16F" w14:textId="10A290BF" w:rsidR="00896AA9" w:rsidRPr="00896AA9" w:rsidRDefault="00896AA9" w:rsidP="00896AA9">
      <w:pPr>
        <w:pStyle w:val="SH4"/>
      </w:pPr>
      <w:r w:rsidRPr="00013C0A">
        <w:t>7,300 grams of smoking tobacco by weight, either in cigarettes, pipe tobacco or cigars, or a combination of same, in a period of one calendar year.</w:t>
      </w:r>
    </w:p>
    <w:p w14:paraId="5EA27C98" w14:textId="47D7961E" w:rsidR="00A0785B" w:rsidRPr="00A0785B" w:rsidRDefault="00A0785B" w:rsidP="00A0785B">
      <w:pPr>
        <w:pStyle w:val="SH3"/>
      </w:pPr>
      <w:proofErr w:type="gramStart"/>
      <w:r w:rsidRPr="00A0785B">
        <w:rPr>
          <w:b/>
          <w:i/>
        </w:rPr>
        <w:t>pellagra</w:t>
      </w:r>
      <w:proofErr w:type="gramEnd"/>
      <w:r w:rsidRPr="00A0785B">
        <w:t xml:space="preserve"> means chronic nicotinic acid deficiency, characterised by skin changes, nervous dysfunction and diarrhoea.</w:t>
      </w:r>
    </w:p>
    <w:p w14:paraId="205BBDD2" w14:textId="6517D710" w:rsidR="004102CF" w:rsidRPr="004102CF" w:rsidRDefault="004102CF" w:rsidP="004102CF">
      <w:pPr>
        <w:pStyle w:val="SH3"/>
      </w:pPr>
      <w:proofErr w:type="gramStart"/>
      <w:r w:rsidRPr="00AC4658">
        <w:rPr>
          <w:b/>
          <w:i/>
        </w:rPr>
        <w:t>perennial</w:t>
      </w:r>
      <w:proofErr w:type="gramEnd"/>
      <w:r w:rsidRPr="00AC4658">
        <w:rPr>
          <w:b/>
          <w:i/>
        </w:rPr>
        <w:t xml:space="preserve"> allergic rhinitis</w:t>
      </w:r>
      <w:r w:rsidRPr="00AC4658">
        <w:t xml:space="preserve"> means chronic or frequently recurrent rhinitis as distinct from rhinitis that is purely seasonal</w:t>
      </w:r>
      <w:r>
        <w:t>.</w:t>
      </w:r>
    </w:p>
    <w:p w14:paraId="7A8DF6B4" w14:textId="77777777" w:rsidR="0090262E" w:rsidRPr="0090262E" w:rsidRDefault="0090262E" w:rsidP="00576E99">
      <w:pPr>
        <w:pStyle w:val="SH3"/>
      </w:pPr>
      <w:r w:rsidRPr="00E424C8">
        <w:rPr>
          <w:b/>
          <w:i/>
        </w:rPr>
        <w:t>relevant service</w:t>
      </w:r>
      <w:r w:rsidRPr="0090262E">
        <w:t xml:space="preserve"> means:</w:t>
      </w:r>
    </w:p>
    <w:p w14:paraId="333E5A4B" w14:textId="77777777" w:rsidR="0090262E" w:rsidRPr="0090262E" w:rsidRDefault="0090262E" w:rsidP="00A3413B">
      <w:pPr>
        <w:pStyle w:val="SH4"/>
      </w:pPr>
      <w:r w:rsidRPr="0090262E">
        <w:t xml:space="preserve">operational service under the VEA; </w:t>
      </w:r>
    </w:p>
    <w:p w14:paraId="7A1AAF4E" w14:textId="77777777" w:rsidR="0090262E" w:rsidRPr="0090262E" w:rsidRDefault="0090262E" w:rsidP="00A3413B">
      <w:pPr>
        <w:pStyle w:val="SH4"/>
      </w:pPr>
      <w:r w:rsidRPr="0090262E">
        <w:t xml:space="preserve">peacekeeping service under the VEA; </w:t>
      </w:r>
    </w:p>
    <w:p w14:paraId="6CC44F26" w14:textId="77777777" w:rsidR="0090262E" w:rsidRPr="0090262E" w:rsidRDefault="0090262E" w:rsidP="00A3413B">
      <w:pPr>
        <w:pStyle w:val="SH4"/>
      </w:pPr>
      <w:r w:rsidRPr="0090262E">
        <w:t xml:space="preserve">hazardous service under the VEA; </w:t>
      </w:r>
    </w:p>
    <w:p w14:paraId="421D62E9" w14:textId="77777777" w:rsidR="0090262E" w:rsidRPr="0090262E" w:rsidRDefault="0090262E" w:rsidP="00A3413B">
      <w:pPr>
        <w:pStyle w:val="SH4"/>
      </w:pPr>
      <w:r w:rsidRPr="0090262E">
        <w:t>British nuclear test defence service under the VEA;</w:t>
      </w:r>
    </w:p>
    <w:p w14:paraId="7C685317" w14:textId="77777777" w:rsidR="0090262E" w:rsidRPr="0090262E" w:rsidRDefault="0090262E" w:rsidP="00A3413B">
      <w:pPr>
        <w:pStyle w:val="SH4"/>
      </w:pPr>
      <w:r w:rsidRPr="0090262E">
        <w:t>warlike service under the MRCA; or</w:t>
      </w:r>
    </w:p>
    <w:p w14:paraId="4948A060" w14:textId="77777777" w:rsidR="00885EAB" w:rsidRPr="0090262E" w:rsidRDefault="0090262E" w:rsidP="00A3413B">
      <w:pPr>
        <w:pStyle w:val="SH4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14:paraId="023D6902" w14:textId="77777777"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Pr="00A36B1A">
        <w:t xml:space="preserve"> are also defined in the Schedule 1 - Dictionary.</w:t>
      </w:r>
    </w:p>
    <w:p w14:paraId="08F214F2" w14:textId="77777777" w:rsidR="00A3413B" w:rsidRDefault="00A3413B" w:rsidP="00A3413B">
      <w:pPr>
        <w:pStyle w:val="SH3"/>
      </w:pPr>
      <w:r w:rsidRPr="00A3413B">
        <w:rPr>
          <w:b/>
          <w:i/>
        </w:rPr>
        <w:t>specified list of autoimmune diseases</w:t>
      </w:r>
      <w:r w:rsidRPr="00A3413B">
        <w:t xml:space="preserve"> means</w:t>
      </w:r>
      <w:r>
        <w:t>:</w:t>
      </w:r>
    </w:p>
    <w:p w14:paraId="4A1A49A1" w14:textId="77777777" w:rsidR="009D77E2" w:rsidRDefault="009D77E2" w:rsidP="009D77E2">
      <w:pPr>
        <w:pStyle w:val="SH4"/>
      </w:pPr>
      <w:proofErr w:type="spellStart"/>
      <w:r>
        <w:t>Behcet</w:t>
      </w:r>
      <w:proofErr w:type="spellEnd"/>
      <w:r>
        <w:t xml:space="preserve"> disease; </w:t>
      </w:r>
    </w:p>
    <w:p w14:paraId="6D877B6B" w14:textId="77777777" w:rsidR="009D77E2" w:rsidRDefault="009D77E2" w:rsidP="009D77E2">
      <w:pPr>
        <w:pStyle w:val="SH4"/>
      </w:pPr>
      <w:r>
        <w:t xml:space="preserve">eosinophilic granulomatosis with </w:t>
      </w:r>
      <w:proofErr w:type="spellStart"/>
      <w:r>
        <w:t>polyangiitis</w:t>
      </w:r>
      <w:proofErr w:type="spellEnd"/>
      <w:r>
        <w:t xml:space="preserve"> (</w:t>
      </w:r>
      <w:proofErr w:type="spellStart"/>
      <w:r>
        <w:t>Churg</w:t>
      </w:r>
      <w:proofErr w:type="spellEnd"/>
      <w:r>
        <w:t>-Strauss syndrome);</w:t>
      </w:r>
    </w:p>
    <w:p w14:paraId="0196B5E8" w14:textId="77777777" w:rsidR="009D77E2" w:rsidRDefault="009D77E2" w:rsidP="009D77E2">
      <w:pPr>
        <w:pStyle w:val="SH4"/>
      </w:pPr>
      <w:r>
        <w:t xml:space="preserve">granulomatosis with </w:t>
      </w:r>
      <w:proofErr w:type="spellStart"/>
      <w:r>
        <w:t>polyangiitis</w:t>
      </w:r>
      <w:proofErr w:type="spellEnd"/>
      <w:r>
        <w:t xml:space="preserve"> (Wegener granulomatosis);</w:t>
      </w:r>
    </w:p>
    <w:p w14:paraId="0DCD267A" w14:textId="77777777" w:rsidR="009D77E2" w:rsidRDefault="009D77E2" w:rsidP="009D77E2">
      <w:pPr>
        <w:pStyle w:val="SH4"/>
      </w:pPr>
      <w:r>
        <w:lastRenderedPageBreak/>
        <w:t>IgG4-related disease;</w:t>
      </w:r>
    </w:p>
    <w:p w14:paraId="1249DBB5" w14:textId="77777777" w:rsidR="009D77E2" w:rsidRDefault="009D77E2" w:rsidP="009D77E2">
      <w:pPr>
        <w:pStyle w:val="SH4"/>
      </w:pPr>
      <w:r>
        <w:t>rheumatoid arthritis;</w:t>
      </w:r>
    </w:p>
    <w:p w14:paraId="367E7560" w14:textId="07C99A51" w:rsidR="009D77E2" w:rsidRDefault="009D77E2" w:rsidP="009D77E2">
      <w:pPr>
        <w:pStyle w:val="SH4"/>
      </w:pPr>
      <w:proofErr w:type="spellStart"/>
      <w:r>
        <w:t>Sj</w:t>
      </w:r>
      <w:r w:rsidR="00CC0DB9">
        <w:t>o</w:t>
      </w:r>
      <w:r>
        <w:t>gren</w:t>
      </w:r>
      <w:proofErr w:type="spellEnd"/>
      <w:r>
        <w:t xml:space="preserve"> syndrome; </w:t>
      </w:r>
    </w:p>
    <w:p w14:paraId="2C69B210" w14:textId="77777777" w:rsidR="009D77E2" w:rsidRDefault="009D77E2" w:rsidP="009D77E2">
      <w:pPr>
        <w:pStyle w:val="SH4"/>
      </w:pPr>
      <w:r>
        <w:t>systemic lupus erythematosus; or</w:t>
      </w:r>
    </w:p>
    <w:p w14:paraId="6DE0EB39" w14:textId="77777777" w:rsidR="00A3413B" w:rsidRPr="00A3413B" w:rsidRDefault="009D77E2" w:rsidP="009D77E2">
      <w:pPr>
        <w:pStyle w:val="SH4"/>
      </w:pPr>
      <w:proofErr w:type="gramStart"/>
      <w:r>
        <w:t>systemic</w:t>
      </w:r>
      <w:proofErr w:type="gramEnd"/>
      <w:r>
        <w:t xml:space="preserve"> sclerosis</w:t>
      </w:r>
      <w:r w:rsidR="00F27172">
        <w:t>.</w:t>
      </w:r>
    </w:p>
    <w:p w14:paraId="68ACDA9F" w14:textId="77777777" w:rsidR="003512DE" w:rsidRDefault="003512DE" w:rsidP="003512DE">
      <w:pPr>
        <w:pStyle w:val="SH3"/>
      </w:pPr>
      <w:r w:rsidRPr="00FE5C9E">
        <w:rPr>
          <w:b/>
          <w:i/>
        </w:rPr>
        <w:t>specified list of conditions and procedures</w:t>
      </w:r>
      <w:r>
        <w:t xml:space="preserve"> means:</w:t>
      </w:r>
    </w:p>
    <w:p w14:paraId="4A4BFBC6" w14:textId="77777777" w:rsidR="003512DE" w:rsidRDefault="003512DE" w:rsidP="00A3413B">
      <w:pPr>
        <w:pStyle w:val="SH4"/>
      </w:pPr>
      <w:r>
        <w:t>a head injury;</w:t>
      </w:r>
    </w:p>
    <w:p w14:paraId="6006B7FD" w14:textId="77777777" w:rsidR="003512DE" w:rsidRDefault="003512DE" w:rsidP="00A3413B">
      <w:pPr>
        <w:pStyle w:val="SH4"/>
      </w:pPr>
      <w:r w:rsidRPr="003D3684">
        <w:t>an infection</w:t>
      </w:r>
      <w:r>
        <w:t>;</w:t>
      </w:r>
    </w:p>
    <w:p w14:paraId="7CCD55AD" w14:textId="77777777" w:rsidR="003512DE" w:rsidRDefault="003512DE" w:rsidP="00A3413B">
      <w:pPr>
        <w:pStyle w:val="SH4"/>
      </w:pPr>
      <w:r w:rsidRPr="003D3684">
        <w:t>an injury to the cribriform plate</w:t>
      </w:r>
      <w:r>
        <w:t>;</w:t>
      </w:r>
    </w:p>
    <w:p w14:paraId="6C5CB5D9" w14:textId="77777777" w:rsidR="00A3413B" w:rsidRDefault="003512DE" w:rsidP="00A3413B">
      <w:pPr>
        <w:pStyle w:val="SH4"/>
      </w:pPr>
      <w:r>
        <w:t>a primary or secondary neoplasm; or</w:t>
      </w:r>
    </w:p>
    <w:p w14:paraId="3BB9242B" w14:textId="77777777" w:rsidR="003512DE" w:rsidRPr="003512DE" w:rsidRDefault="003512DE" w:rsidP="00A3413B">
      <w:pPr>
        <w:pStyle w:val="SH4"/>
      </w:pPr>
      <w:proofErr w:type="gramStart"/>
      <w:r>
        <w:t>a</w:t>
      </w:r>
      <w:proofErr w:type="gramEnd"/>
      <w:r>
        <w:t xml:space="preserve"> surgical procedure.</w:t>
      </w:r>
    </w:p>
    <w:p w14:paraId="0E8852A5" w14:textId="123F64AC" w:rsidR="009D1AF7" w:rsidRDefault="009D1AF7" w:rsidP="009D1AF7">
      <w:pPr>
        <w:pStyle w:val="SH3"/>
      </w:pPr>
      <w:r w:rsidRPr="009D1AF7">
        <w:rPr>
          <w:b/>
          <w:i/>
        </w:rPr>
        <w:t>specified list of disorders of mental health</w:t>
      </w:r>
      <w:r w:rsidRPr="009D1AF7">
        <w:t xml:space="preserve"> means</w:t>
      </w:r>
      <w:r>
        <w:t>:</w:t>
      </w:r>
    </w:p>
    <w:p w14:paraId="2E1AB38F" w14:textId="1A6EC29A" w:rsidR="009D1AF7" w:rsidRDefault="009D1AF7" w:rsidP="009D1AF7">
      <w:pPr>
        <w:pStyle w:val="SH4"/>
      </w:pPr>
      <w:r>
        <w:t xml:space="preserve">alcohol-induced </w:t>
      </w:r>
      <w:r w:rsidR="00520C9E">
        <w:t xml:space="preserve">major neurocognitive disorder, </w:t>
      </w:r>
      <w:r w:rsidR="00520C9E">
        <w:br/>
      </w:r>
      <w:r>
        <w:t>amnestic</w:t>
      </w:r>
      <w:r w:rsidR="00520C9E">
        <w:t>-confabulatory type, persistent</w:t>
      </w:r>
      <w:r>
        <w:t>;</w:t>
      </w:r>
    </w:p>
    <w:p w14:paraId="516733D0" w14:textId="0B5AD525" w:rsidR="009D1AF7" w:rsidRDefault="009D1AF7" w:rsidP="009D1AF7">
      <w:pPr>
        <w:pStyle w:val="SH4"/>
      </w:pPr>
      <w:r>
        <w:t xml:space="preserve">alcohol use disorder; </w:t>
      </w:r>
      <w:r w:rsidR="002E3B0C">
        <w:t>or</w:t>
      </w:r>
    </w:p>
    <w:p w14:paraId="2505CDAA" w14:textId="634ECBA6" w:rsidR="009D1AF7" w:rsidRPr="009D1AF7" w:rsidRDefault="009D1AF7" w:rsidP="009D1AF7">
      <w:pPr>
        <w:pStyle w:val="SH4"/>
      </w:pPr>
      <w:proofErr w:type="gramStart"/>
      <w:r>
        <w:t>anorexia</w:t>
      </w:r>
      <w:proofErr w:type="gramEnd"/>
      <w:r>
        <w:t xml:space="preserve"> nervosa.</w:t>
      </w:r>
    </w:p>
    <w:p w14:paraId="747055A7" w14:textId="5CD26562" w:rsidR="00896AA9" w:rsidRDefault="00896AA9" w:rsidP="00896AA9">
      <w:pPr>
        <w:pStyle w:val="SH3"/>
      </w:pPr>
      <w:r w:rsidRPr="00E95380">
        <w:rPr>
          <w:b/>
          <w:i/>
        </w:rPr>
        <w:t xml:space="preserve">specified </w:t>
      </w:r>
      <w:r>
        <w:rPr>
          <w:b/>
          <w:i/>
        </w:rPr>
        <w:t xml:space="preserve">list of </w:t>
      </w:r>
      <w:r w:rsidRPr="00E95380">
        <w:rPr>
          <w:b/>
          <w:i/>
        </w:rPr>
        <w:t>metal</w:t>
      </w:r>
      <w:r>
        <w:rPr>
          <w:b/>
          <w:i/>
        </w:rPr>
        <w:t>s</w:t>
      </w:r>
      <w:r w:rsidRPr="00E95380">
        <w:t xml:space="preserve"> means</w:t>
      </w:r>
      <w:r>
        <w:t>:</w:t>
      </w:r>
    </w:p>
    <w:p w14:paraId="1492CAE0" w14:textId="77777777" w:rsidR="00896AA9" w:rsidRDefault="00896AA9" w:rsidP="00896AA9">
      <w:pPr>
        <w:pStyle w:val="SH4"/>
      </w:pPr>
      <w:r>
        <w:t>cadmium;</w:t>
      </w:r>
    </w:p>
    <w:p w14:paraId="5E7DB9BB" w14:textId="77777777" w:rsidR="00896AA9" w:rsidRDefault="00896AA9" w:rsidP="00896AA9">
      <w:pPr>
        <w:pStyle w:val="SH4"/>
      </w:pPr>
      <w:r>
        <w:t xml:space="preserve">chromium; </w:t>
      </w:r>
    </w:p>
    <w:p w14:paraId="184B2A48" w14:textId="77777777" w:rsidR="00896AA9" w:rsidRDefault="00896AA9" w:rsidP="00896AA9">
      <w:pPr>
        <w:pStyle w:val="SH4"/>
      </w:pPr>
      <w:r>
        <w:t xml:space="preserve">lead; </w:t>
      </w:r>
    </w:p>
    <w:p w14:paraId="16A1BC7D" w14:textId="77777777" w:rsidR="00896AA9" w:rsidRDefault="00896AA9" w:rsidP="00896AA9">
      <w:pPr>
        <w:pStyle w:val="SH4"/>
      </w:pPr>
      <w:r>
        <w:t xml:space="preserve">mercury; </w:t>
      </w:r>
    </w:p>
    <w:p w14:paraId="55C8C0F4" w14:textId="77777777" w:rsidR="00896AA9" w:rsidRDefault="00896AA9" w:rsidP="00896AA9">
      <w:pPr>
        <w:pStyle w:val="SH4"/>
      </w:pPr>
      <w:r>
        <w:t>nickel; or</w:t>
      </w:r>
    </w:p>
    <w:p w14:paraId="119F3DAA" w14:textId="77777777" w:rsidR="00896AA9" w:rsidRPr="00E95380" w:rsidRDefault="00896AA9" w:rsidP="00896AA9">
      <w:pPr>
        <w:pStyle w:val="SH4"/>
      </w:pPr>
      <w:proofErr w:type="gramStart"/>
      <w:r>
        <w:t>zinc</w:t>
      </w:r>
      <w:proofErr w:type="gramEnd"/>
      <w:r>
        <w:t>.</w:t>
      </w:r>
    </w:p>
    <w:p w14:paraId="14FE9631" w14:textId="4F216F54" w:rsidR="00CB0AC2" w:rsidRDefault="00CB0AC2" w:rsidP="00CB0AC2">
      <w:pPr>
        <w:pStyle w:val="SH3"/>
      </w:pPr>
      <w:r w:rsidRPr="00CB0AC2">
        <w:rPr>
          <w:b/>
          <w:i/>
        </w:rPr>
        <w:t xml:space="preserve">specified list of neurological </w:t>
      </w:r>
      <w:r w:rsidR="00CC0DB9">
        <w:rPr>
          <w:b/>
          <w:i/>
        </w:rPr>
        <w:t>diseases</w:t>
      </w:r>
      <w:r w:rsidRPr="00CB0AC2">
        <w:t xml:space="preserve"> means</w:t>
      </w:r>
      <w:r>
        <w:t>:</w:t>
      </w:r>
    </w:p>
    <w:p w14:paraId="4E2CD603" w14:textId="77777777" w:rsidR="00CB0AC2" w:rsidRDefault="00CB0AC2" w:rsidP="00CB0AC2">
      <w:pPr>
        <w:pStyle w:val="SH4"/>
      </w:pPr>
      <w:r>
        <w:t>Alzheimer disease;</w:t>
      </w:r>
    </w:p>
    <w:p w14:paraId="291B0ED4" w14:textId="77777777" w:rsidR="00CB0AC2" w:rsidRDefault="00CB0AC2" w:rsidP="00CB0AC2">
      <w:pPr>
        <w:pStyle w:val="SH4"/>
      </w:pPr>
      <w:r>
        <w:t>cerebrovascular accident;</w:t>
      </w:r>
    </w:p>
    <w:p w14:paraId="0E149769" w14:textId="77777777" w:rsidR="00CB0AC2" w:rsidRDefault="00CB0AC2" w:rsidP="00CB0AC2">
      <w:pPr>
        <w:pStyle w:val="SH4"/>
      </w:pPr>
      <w:r>
        <w:t>frontotemporal dementia;</w:t>
      </w:r>
    </w:p>
    <w:p w14:paraId="47015A0E" w14:textId="188FEFD6" w:rsidR="00CB0AC2" w:rsidRDefault="00CB0AC2" w:rsidP="00CB0AC2">
      <w:pPr>
        <w:pStyle w:val="SH4"/>
      </w:pPr>
      <w:r>
        <w:t>migraine;</w:t>
      </w:r>
    </w:p>
    <w:p w14:paraId="19E8ACCC" w14:textId="77777777" w:rsidR="00CB0AC2" w:rsidRDefault="00CB0AC2" w:rsidP="00CB0AC2">
      <w:pPr>
        <w:pStyle w:val="SH4"/>
      </w:pPr>
      <w:r>
        <w:t>multiple sclerosis;</w:t>
      </w:r>
    </w:p>
    <w:p w14:paraId="0E39BC32" w14:textId="1153B31E" w:rsidR="00CB0AC2" w:rsidRDefault="00CB0AC2" w:rsidP="00CB0AC2">
      <w:pPr>
        <w:pStyle w:val="SH4"/>
      </w:pPr>
      <w:r>
        <w:t>myasthenia gravis;</w:t>
      </w:r>
    </w:p>
    <w:p w14:paraId="57F57279" w14:textId="77777777" w:rsidR="00CB0AC2" w:rsidRDefault="00CB0AC2" w:rsidP="00CB0AC2">
      <w:pPr>
        <w:pStyle w:val="SH4"/>
      </w:pPr>
      <w:r>
        <w:t xml:space="preserve">neurocognitive disorder with </w:t>
      </w:r>
      <w:proofErr w:type="spellStart"/>
      <w:r>
        <w:t>Lewy</w:t>
      </w:r>
      <w:proofErr w:type="spellEnd"/>
      <w:r>
        <w:t xml:space="preserve"> bodies;</w:t>
      </w:r>
    </w:p>
    <w:p w14:paraId="7E358184" w14:textId="77777777" w:rsidR="00CB0AC2" w:rsidRDefault="00CB0AC2" w:rsidP="00CB0AC2">
      <w:pPr>
        <w:pStyle w:val="SH4"/>
      </w:pPr>
      <w:proofErr w:type="spellStart"/>
      <w:r>
        <w:t>neuromyelitis</w:t>
      </w:r>
      <w:proofErr w:type="spellEnd"/>
      <w:r>
        <w:t xml:space="preserve"> </w:t>
      </w:r>
      <w:proofErr w:type="spellStart"/>
      <w:r>
        <w:t>optica</w:t>
      </w:r>
      <w:proofErr w:type="spellEnd"/>
      <w:r>
        <w:t>;</w:t>
      </w:r>
    </w:p>
    <w:p w14:paraId="65B6A4EE" w14:textId="79B969B3" w:rsidR="00CB0AC2" w:rsidRDefault="00CB0AC2" w:rsidP="00CB0AC2">
      <w:pPr>
        <w:pStyle w:val="SH4"/>
      </w:pPr>
      <w:r>
        <w:t>Parkinson</w:t>
      </w:r>
      <w:r w:rsidR="00896AA9">
        <w:t>'</w:t>
      </w:r>
      <w:r>
        <w:t>s disease or secondary parkinsonism;</w:t>
      </w:r>
    </w:p>
    <w:p w14:paraId="2AE22198" w14:textId="77777777" w:rsidR="00CB0AC2" w:rsidRDefault="00CB0AC2" w:rsidP="00CB0AC2">
      <w:pPr>
        <w:pStyle w:val="SH4"/>
      </w:pPr>
      <w:r>
        <w:t>subarachnoid haemorrhage; or</w:t>
      </w:r>
    </w:p>
    <w:p w14:paraId="607A7486" w14:textId="4FC097C5" w:rsidR="00CB0AC2" w:rsidRPr="00CB0AC2" w:rsidRDefault="00CB0AC2" w:rsidP="00CB0AC2">
      <w:pPr>
        <w:pStyle w:val="SH4"/>
      </w:pPr>
      <w:r>
        <w:t>temporal lobe epilepsy</w:t>
      </w:r>
      <w:r w:rsidR="00E6497C">
        <w:t>.</w:t>
      </w:r>
    </w:p>
    <w:p w14:paraId="6EBD4D16" w14:textId="3E5B7EB8" w:rsidR="00844EB7" w:rsidRDefault="00844EB7" w:rsidP="00844EB7">
      <w:pPr>
        <w:pStyle w:val="SH3"/>
      </w:pPr>
      <w:r w:rsidRPr="00844EB7">
        <w:rPr>
          <w:b/>
          <w:i/>
        </w:rPr>
        <w:t>specified list of neurotoxic substances</w:t>
      </w:r>
      <w:r w:rsidRPr="00844EB7">
        <w:t xml:space="preserve"> means</w:t>
      </w:r>
      <w:r>
        <w:t>:</w:t>
      </w:r>
    </w:p>
    <w:p w14:paraId="57C369B7" w14:textId="77777777" w:rsidR="00844EB7" w:rsidRDefault="00844EB7" w:rsidP="00844EB7">
      <w:pPr>
        <w:pStyle w:val="SH4"/>
      </w:pPr>
      <w:r>
        <w:t xml:space="preserve">ammonia; </w:t>
      </w:r>
    </w:p>
    <w:p w14:paraId="7EBB6493" w14:textId="73FF05BF" w:rsidR="00844EB7" w:rsidRDefault="00844EB7" w:rsidP="00844EB7">
      <w:pPr>
        <w:pStyle w:val="SH4"/>
      </w:pPr>
      <w:proofErr w:type="spellStart"/>
      <w:r>
        <w:t>barbituric</w:t>
      </w:r>
      <w:proofErr w:type="spellEnd"/>
      <w:r>
        <w:t xml:space="preserve"> acid; </w:t>
      </w:r>
    </w:p>
    <w:p w14:paraId="760E4619" w14:textId="42241278" w:rsidR="00844EB7" w:rsidRDefault="00844EB7" w:rsidP="00844EB7">
      <w:pPr>
        <w:pStyle w:val="SH4"/>
      </w:pPr>
      <w:r>
        <w:t xml:space="preserve">chlorine; or </w:t>
      </w:r>
    </w:p>
    <w:p w14:paraId="57192CFD" w14:textId="225A5304" w:rsidR="00844EB7" w:rsidRPr="00844EB7" w:rsidRDefault="009F6602" w:rsidP="00844EB7">
      <w:pPr>
        <w:pStyle w:val="SH4"/>
      </w:pPr>
      <w:proofErr w:type="gramStart"/>
      <w:r>
        <w:t>formaldehyde</w:t>
      </w:r>
      <w:proofErr w:type="gramEnd"/>
      <w:r>
        <w:t>.</w:t>
      </w:r>
    </w:p>
    <w:p w14:paraId="6DCA76E6" w14:textId="6D7643F4" w:rsidR="00D107D5" w:rsidRDefault="00D107D5" w:rsidP="00D107D5">
      <w:pPr>
        <w:pStyle w:val="SH3"/>
      </w:pPr>
      <w:r w:rsidRPr="00D107D5">
        <w:rPr>
          <w:b/>
          <w:i/>
        </w:rPr>
        <w:t xml:space="preserve">specified </w:t>
      </w:r>
      <w:r w:rsidR="00896AA9">
        <w:rPr>
          <w:b/>
          <w:i/>
        </w:rPr>
        <w:t xml:space="preserve">list of </w:t>
      </w:r>
      <w:r w:rsidRPr="00D107D5">
        <w:rPr>
          <w:b/>
          <w:i/>
        </w:rPr>
        <w:t>volatile substance</w:t>
      </w:r>
      <w:r w:rsidR="00896AA9">
        <w:rPr>
          <w:b/>
          <w:i/>
        </w:rPr>
        <w:t>s</w:t>
      </w:r>
      <w:r w:rsidRPr="00D107D5">
        <w:t xml:space="preserve"> means</w:t>
      </w:r>
      <w:r>
        <w:t>:</w:t>
      </w:r>
    </w:p>
    <w:p w14:paraId="086FD446" w14:textId="77777777" w:rsidR="00D107D5" w:rsidRDefault="00D107D5" w:rsidP="00D107D5">
      <w:pPr>
        <w:pStyle w:val="SH4"/>
      </w:pPr>
      <w:r>
        <w:t xml:space="preserve">acetone; </w:t>
      </w:r>
    </w:p>
    <w:p w14:paraId="452F45EA" w14:textId="611D4C07" w:rsidR="00D107D5" w:rsidRDefault="00D107D5" w:rsidP="00D107D5">
      <w:pPr>
        <w:pStyle w:val="SH4"/>
      </w:pPr>
      <w:proofErr w:type="spellStart"/>
      <w:r>
        <w:t>acetophenone</w:t>
      </w:r>
      <w:proofErr w:type="spellEnd"/>
      <w:r>
        <w:t xml:space="preserve">; </w:t>
      </w:r>
    </w:p>
    <w:p w14:paraId="4199FC99" w14:textId="0E1F7B07" w:rsidR="00D107D5" w:rsidRDefault="00D107D5" w:rsidP="00D107D5">
      <w:pPr>
        <w:pStyle w:val="SH4"/>
      </w:pPr>
      <w:r>
        <w:t xml:space="preserve">acrylate; </w:t>
      </w:r>
    </w:p>
    <w:p w14:paraId="4B7C4436" w14:textId="21F43A55" w:rsidR="00D107D5" w:rsidRDefault="00D107D5" w:rsidP="00D107D5">
      <w:pPr>
        <w:pStyle w:val="SH4"/>
      </w:pPr>
      <w:r>
        <w:lastRenderedPageBreak/>
        <w:t xml:space="preserve">ammonia; </w:t>
      </w:r>
    </w:p>
    <w:p w14:paraId="7951A228" w14:textId="16872ED2" w:rsidR="00D107D5" w:rsidRDefault="00D107D5" w:rsidP="00D107D5">
      <w:pPr>
        <w:pStyle w:val="SH4"/>
      </w:pPr>
      <w:r>
        <w:t xml:space="preserve">benzene; </w:t>
      </w:r>
    </w:p>
    <w:p w14:paraId="4BC6D0DE" w14:textId="3B2C547A" w:rsidR="00D107D5" w:rsidRDefault="00D107D5" w:rsidP="00D107D5">
      <w:pPr>
        <w:pStyle w:val="SH4"/>
      </w:pPr>
      <w:r>
        <w:t xml:space="preserve">butyl acetate; </w:t>
      </w:r>
    </w:p>
    <w:p w14:paraId="2547A3B3" w14:textId="75EBA49A" w:rsidR="00D107D5" w:rsidRDefault="00D107D5" w:rsidP="00D107D5">
      <w:pPr>
        <w:pStyle w:val="SH4"/>
      </w:pPr>
      <w:r>
        <w:t xml:space="preserve">carbon disulphide; </w:t>
      </w:r>
    </w:p>
    <w:p w14:paraId="485FD5B4" w14:textId="19F44DF4" w:rsidR="00D107D5" w:rsidRDefault="00D107D5" w:rsidP="00D107D5">
      <w:pPr>
        <w:pStyle w:val="SH4"/>
      </w:pPr>
      <w:r>
        <w:t xml:space="preserve">carbon monoxide; </w:t>
      </w:r>
    </w:p>
    <w:p w14:paraId="1F9645C4" w14:textId="7B49C64D" w:rsidR="00D107D5" w:rsidRDefault="00D107D5" w:rsidP="00D107D5">
      <w:pPr>
        <w:pStyle w:val="SH4"/>
      </w:pPr>
      <w:r>
        <w:t xml:space="preserve">chlorine; </w:t>
      </w:r>
    </w:p>
    <w:p w14:paraId="62FF2ED7" w14:textId="701A9ED6" w:rsidR="00D107D5" w:rsidRDefault="004D022F" w:rsidP="004D022F">
      <w:pPr>
        <w:pStyle w:val="SH4"/>
      </w:pPr>
      <w:r w:rsidRPr="004D022F">
        <w:t>chloromethane</w:t>
      </w:r>
      <w:r w:rsidR="00D107D5">
        <w:t xml:space="preserve">; </w:t>
      </w:r>
    </w:p>
    <w:p w14:paraId="72B4E89C" w14:textId="07A0B1FA" w:rsidR="00D107D5" w:rsidRDefault="00D107D5" w:rsidP="00D107D5">
      <w:pPr>
        <w:pStyle w:val="SH4"/>
      </w:pPr>
      <w:r>
        <w:t xml:space="preserve">ethyl acetate; </w:t>
      </w:r>
    </w:p>
    <w:p w14:paraId="214CA834" w14:textId="3B077234" w:rsidR="00D107D5" w:rsidRDefault="00D107D5" w:rsidP="00D107D5">
      <w:pPr>
        <w:pStyle w:val="SH4"/>
      </w:pPr>
      <w:r>
        <w:t xml:space="preserve">fluoride; </w:t>
      </w:r>
    </w:p>
    <w:p w14:paraId="14DD8C5D" w14:textId="2F836113" w:rsidR="00D107D5" w:rsidRDefault="00D107D5" w:rsidP="00D107D5">
      <w:pPr>
        <w:pStyle w:val="SH4"/>
      </w:pPr>
      <w:r>
        <w:t xml:space="preserve">formaldehyde; </w:t>
      </w:r>
    </w:p>
    <w:p w14:paraId="125E8B7A" w14:textId="0C1FE597" w:rsidR="00D107D5" w:rsidRDefault="00D107D5" w:rsidP="00D107D5">
      <w:pPr>
        <w:pStyle w:val="SH4"/>
      </w:pPr>
      <w:r>
        <w:t xml:space="preserve">hydrazine; </w:t>
      </w:r>
    </w:p>
    <w:p w14:paraId="501989EE" w14:textId="7958B22B" w:rsidR="00D107D5" w:rsidRDefault="00D107D5" w:rsidP="00D107D5">
      <w:pPr>
        <w:pStyle w:val="SH4"/>
      </w:pPr>
      <w:r>
        <w:t xml:space="preserve">hydrogen selenide; </w:t>
      </w:r>
    </w:p>
    <w:p w14:paraId="7ECD5BA7" w14:textId="7086D206" w:rsidR="00D107D5" w:rsidRDefault="00D107D5" w:rsidP="00D107D5">
      <w:pPr>
        <w:pStyle w:val="SH4"/>
      </w:pPr>
      <w:r>
        <w:t xml:space="preserve">hydrogen sulphide; </w:t>
      </w:r>
    </w:p>
    <w:p w14:paraId="7D39848D" w14:textId="74BBE5F5" w:rsidR="004D022F" w:rsidRDefault="004D022F" w:rsidP="004D022F">
      <w:pPr>
        <w:pStyle w:val="SH4"/>
      </w:pPr>
      <w:proofErr w:type="spellStart"/>
      <w:r w:rsidRPr="004D022F">
        <w:t>methylacrylate</w:t>
      </w:r>
      <w:proofErr w:type="spellEnd"/>
      <w:r>
        <w:t>;</w:t>
      </w:r>
    </w:p>
    <w:p w14:paraId="2EF74A9F" w14:textId="5DB75F16" w:rsidR="00D107D5" w:rsidRDefault="00D107D5" w:rsidP="004D022F">
      <w:pPr>
        <w:pStyle w:val="SH4"/>
      </w:pPr>
      <w:r>
        <w:t>m</w:t>
      </w:r>
      <w:r w:rsidR="004D022F">
        <w:t>ethyl ethyl ketone;</w:t>
      </w:r>
    </w:p>
    <w:p w14:paraId="620F3F04" w14:textId="390FC0C4" w:rsidR="00175FDA" w:rsidRDefault="00175FDA" w:rsidP="00175FDA">
      <w:pPr>
        <w:pStyle w:val="SH4"/>
      </w:pPr>
      <w:r w:rsidRPr="00175FDA">
        <w:t>organic solvent</w:t>
      </w:r>
      <w:r>
        <w:t>s;</w:t>
      </w:r>
    </w:p>
    <w:p w14:paraId="0CBFA8DC" w14:textId="2B5B210A" w:rsidR="00D107D5" w:rsidRDefault="00D107D5" w:rsidP="00D107D5">
      <w:pPr>
        <w:pStyle w:val="SH4"/>
      </w:pPr>
      <w:r>
        <w:t xml:space="preserve">petroleum; </w:t>
      </w:r>
    </w:p>
    <w:p w14:paraId="2FBDB592" w14:textId="180C148B" w:rsidR="00D107D5" w:rsidRDefault="00D107D5" w:rsidP="00D107D5">
      <w:pPr>
        <w:pStyle w:val="SH4"/>
      </w:pPr>
      <w:r>
        <w:t xml:space="preserve">phosphorous oxychloride; </w:t>
      </w:r>
    </w:p>
    <w:p w14:paraId="1BEB7DFB" w14:textId="3207B919" w:rsidR="00D107D5" w:rsidRDefault="00D107D5" w:rsidP="00D107D5">
      <w:pPr>
        <w:pStyle w:val="SH4"/>
      </w:pPr>
      <w:r>
        <w:t xml:space="preserve">sulphur dioxide; </w:t>
      </w:r>
    </w:p>
    <w:p w14:paraId="344CB4CA" w14:textId="5EF59241" w:rsidR="00D107D5" w:rsidRDefault="00D107D5" w:rsidP="00D107D5">
      <w:pPr>
        <w:pStyle w:val="SH4"/>
      </w:pPr>
      <w:r>
        <w:t xml:space="preserve">toluene; </w:t>
      </w:r>
    </w:p>
    <w:p w14:paraId="7DC08278" w14:textId="22D54A34" w:rsidR="00D107D5" w:rsidRDefault="00D107D5" w:rsidP="00D107D5">
      <w:pPr>
        <w:pStyle w:val="SH4"/>
      </w:pPr>
      <w:r>
        <w:t xml:space="preserve">trichloroethylene; or </w:t>
      </w:r>
    </w:p>
    <w:p w14:paraId="5BFF18C5" w14:textId="500ACF12" w:rsidR="00D107D5" w:rsidRDefault="00D107D5" w:rsidP="00D107D5">
      <w:pPr>
        <w:pStyle w:val="SH4"/>
      </w:pPr>
      <w:proofErr w:type="gramStart"/>
      <w:r>
        <w:t>xylene</w:t>
      </w:r>
      <w:proofErr w:type="gramEnd"/>
      <w:r>
        <w:t>.</w:t>
      </w:r>
    </w:p>
    <w:p w14:paraId="49B6C4D9" w14:textId="7A0C19A9" w:rsidR="00D107D5" w:rsidRPr="00D107D5" w:rsidRDefault="00D107D5" w:rsidP="00D107D5">
      <w:pPr>
        <w:pStyle w:val="ScheduleNote"/>
      </w:pPr>
      <w:r>
        <w:t xml:space="preserve">Note: </w:t>
      </w:r>
      <w:r w:rsidR="00896AA9">
        <w:rPr>
          <w:b/>
          <w:i/>
        </w:rPr>
        <w:t>organic solvent</w:t>
      </w:r>
      <w:r w:rsidR="009F6602">
        <w:rPr>
          <w:b/>
          <w:i/>
        </w:rPr>
        <w:t>s</w:t>
      </w:r>
      <w:r>
        <w:t xml:space="preserve"> is also defined in the Schedule 1 </w:t>
      </w:r>
      <w:r w:rsidR="009F6602">
        <w:t>-</w:t>
      </w:r>
      <w:r>
        <w:t xml:space="preserve"> Dictionary.</w:t>
      </w:r>
    </w:p>
    <w:p w14:paraId="48AD5379" w14:textId="2EEA4E4C"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14:paraId="3C68183B" w14:textId="77777777" w:rsidR="00885EAB" w:rsidRPr="00513D05" w:rsidRDefault="00513D05" w:rsidP="00A3413B">
      <w:pPr>
        <w:pStyle w:val="SH4"/>
      </w:pPr>
      <w:r>
        <w:tab/>
      </w:r>
      <w:r w:rsidR="00885EAB" w:rsidRPr="00513D05">
        <w:t>pneumonia;</w:t>
      </w:r>
    </w:p>
    <w:p w14:paraId="00767005" w14:textId="77777777" w:rsidR="00885EAB" w:rsidRPr="00513D05" w:rsidRDefault="00885EAB" w:rsidP="00A3413B">
      <w:pPr>
        <w:pStyle w:val="SH4"/>
      </w:pPr>
      <w:r w:rsidRPr="00513D05">
        <w:tab/>
        <w:t>respiratory failure;</w:t>
      </w:r>
    </w:p>
    <w:p w14:paraId="5AB42876" w14:textId="77777777" w:rsidR="00885EAB" w:rsidRPr="00513D05" w:rsidRDefault="00885EAB" w:rsidP="00A3413B">
      <w:pPr>
        <w:pStyle w:val="SH4"/>
      </w:pPr>
      <w:r w:rsidRPr="00513D05">
        <w:tab/>
        <w:t>cardiac arrest;</w:t>
      </w:r>
    </w:p>
    <w:p w14:paraId="4C811CFF" w14:textId="77777777" w:rsidR="00885EAB" w:rsidRPr="00513D05" w:rsidRDefault="00885EAB" w:rsidP="00A3413B">
      <w:pPr>
        <w:pStyle w:val="SH4"/>
      </w:pPr>
      <w:r w:rsidRPr="00513D05">
        <w:tab/>
        <w:t>circulatory failure;</w:t>
      </w:r>
      <w:r w:rsidR="002376A0">
        <w:t xml:space="preserve"> or</w:t>
      </w:r>
    </w:p>
    <w:p w14:paraId="104237AF" w14:textId="77777777" w:rsidR="00BD3334" w:rsidRPr="00BD3334" w:rsidRDefault="00885EAB" w:rsidP="00A3413B">
      <w:pPr>
        <w:pStyle w:val="SH4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14:paraId="575EEE45" w14:textId="77777777"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14:paraId="6FE7A1A8" w14:textId="77777777" w:rsidR="00CF2367" w:rsidRPr="00FA33FB" w:rsidRDefault="00CF2367" w:rsidP="00CF2367"/>
    <w:p w14:paraId="2431AD02" w14:textId="77777777"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20C6ECB0" w14:textId="77777777" w:rsidR="00FD775E" w:rsidRDefault="00FD775E" w:rsidP="003F4535">
      <w:pPr>
        <w:rPr>
          <w:b/>
          <w:i/>
        </w:rPr>
      </w:pPr>
    </w:p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410D1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6893822F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619B2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10C18F04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E74BBDF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F583DAB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374292ED" w14:textId="40A609CE" w:rsidR="004A2007" w:rsidRDefault="004102CF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4102CF">
            <w:rPr>
              <w:i/>
              <w:sz w:val="18"/>
              <w:szCs w:val="18"/>
            </w:rPr>
            <w:t>Anosmia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7D36F6" w:rsidRPr="007D36F6">
            <w:rPr>
              <w:i/>
              <w:sz w:val="18"/>
              <w:szCs w:val="18"/>
            </w:rPr>
            <w:t>19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="007D36F6" w:rsidRPr="007D36F6">
            <w:rPr>
              <w:i/>
              <w:sz w:val="18"/>
              <w:szCs w:val="18"/>
            </w:rPr>
            <w:t>2021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100B64B8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023996C" w14:textId="7FC5A616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90D12">
            <w:rPr>
              <w:i/>
              <w:noProof/>
              <w:sz w:val="18"/>
            </w:rPr>
            <w:t>8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990D12">
            <w:rPr>
              <w:i/>
              <w:noProof/>
              <w:sz w:val="18"/>
            </w:rPr>
            <w:t>9</w:t>
          </w:r>
          <w:r>
            <w:rPr>
              <w:i/>
              <w:sz w:val="18"/>
            </w:rPr>
            <w:fldChar w:fldCharType="end"/>
          </w:r>
        </w:p>
      </w:tc>
    </w:tr>
  </w:tbl>
  <w:p w14:paraId="6C984A91" w14:textId="77777777"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0B866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4192AC32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FBF090E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CB3C6C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75D9C902" w14:textId="3F5630DE" w:rsidR="004A2007" w:rsidRDefault="004102CF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4102CF">
            <w:rPr>
              <w:i/>
              <w:sz w:val="18"/>
              <w:szCs w:val="18"/>
            </w:rPr>
            <w:t>Anosmia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7D36F6" w:rsidRPr="007D36F6">
            <w:rPr>
              <w:i/>
              <w:sz w:val="18"/>
              <w:szCs w:val="18"/>
            </w:rPr>
            <w:t>19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="007D36F6" w:rsidRPr="007D36F6">
            <w:rPr>
              <w:i/>
              <w:sz w:val="18"/>
              <w:szCs w:val="18"/>
            </w:rPr>
            <w:t>2021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3F014065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E104779" w14:textId="3714A05E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90D12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990D12">
            <w:rPr>
              <w:i/>
              <w:noProof/>
              <w:sz w:val="18"/>
            </w:rPr>
            <w:t>9</w:t>
          </w:r>
          <w:r>
            <w:rPr>
              <w:i/>
              <w:sz w:val="18"/>
            </w:rPr>
            <w:fldChar w:fldCharType="end"/>
          </w:r>
        </w:p>
      </w:tc>
    </w:tr>
  </w:tbl>
  <w:p w14:paraId="32E4DFB1" w14:textId="77777777"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3F591" w14:textId="77777777"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373C6" w14:textId="77777777"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601F7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4C83E" w14:textId="77777777"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762AC" w14:textId="77777777"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8EFB7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26F6C4CF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23138" w14:textId="2036F58F"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F3379" w14:textId="77777777"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349C1" w14:textId="77777777"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6341385E" w14:textId="77777777"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A0864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109E2" w14:textId="77777777"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EBBAC" w14:textId="77777777"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78998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B0BE0CE6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36EEA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1861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A651F"/>
    <w:rsid w:val="000B1350"/>
    <w:rsid w:val="000B58FA"/>
    <w:rsid w:val="000C21A3"/>
    <w:rsid w:val="000C664A"/>
    <w:rsid w:val="000C6D96"/>
    <w:rsid w:val="000D05EF"/>
    <w:rsid w:val="000D4D03"/>
    <w:rsid w:val="000E2261"/>
    <w:rsid w:val="000E25A0"/>
    <w:rsid w:val="000E4183"/>
    <w:rsid w:val="000F21C1"/>
    <w:rsid w:val="000F4F1B"/>
    <w:rsid w:val="000F76FA"/>
    <w:rsid w:val="00101F89"/>
    <w:rsid w:val="001058EA"/>
    <w:rsid w:val="0010745C"/>
    <w:rsid w:val="00116C09"/>
    <w:rsid w:val="00117F84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75FDA"/>
    <w:rsid w:val="00177EC2"/>
    <w:rsid w:val="001809D7"/>
    <w:rsid w:val="001833C8"/>
    <w:rsid w:val="00187DE1"/>
    <w:rsid w:val="0019084F"/>
    <w:rsid w:val="001939E1"/>
    <w:rsid w:val="00194C3E"/>
    <w:rsid w:val="00195382"/>
    <w:rsid w:val="001967C7"/>
    <w:rsid w:val="001A1438"/>
    <w:rsid w:val="001B0F26"/>
    <w:rsid w:val="001C2AD2"/>
    <w:rsid w:val="001C61C5"/>
    <w:rsid w:val="001C69C4"/>
    <w:rsid w:val="001C7395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08BF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1E04"/>
    <w:rsid w:val="002D2AA2"/>
    <w:rsid w:val="002D6224"/>
    <w:rsid w:val="002D74C5"/>
    <w:rsid w:val="002E35CD"/>
    <w:rsid w:val="002E3B0C"/>
    <w:rsid w:val="002E3F4B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12DE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909FD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0EB2"/>
    <w:rsid w:val="003F39C0"/>
    <w:rsid w:val="003F4535"/>
    <w:rsid w:val="004102CF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01FA"/>
    <w:rsid w:val="00467661"/>
    <w:rsid w:val="004705B7"/>
    <w:rsid w:val="00472DBE"/>
    <w:rsid w:val="00474A19"/>
    <w:rsid w:val="004771B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022F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0C9E"/>
    <w:rsid w:val="005226B5"/>
    <w:rsid w:val="005268CF"/>
    <w:rsid w:val="0053697E"/>
    <w:rsid w:val="00537FBC"/>
    <w:rsid w:val="00545116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5B89"/>
    <w:rsid w:val="00616796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6F6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44EB7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96AA9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17669"/>
    <w:rsid w:val="009254C3"/>
    <w:rsid w:val="00925CA9"/>
    <w:rsid w:val="00932377"/>
    <w:rsid w:val="00940238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0D12"/>
    <w:rsid w:val="00997416"/>
    <w:rsid w:val="009B5A4E"/>
    <w:rsid w:val="009C2B65"/>
    <w:rsid w:val="009C404D"/>
    <w:rsid w:val="009D1AF7"/>
    <w:rsid w:val="009D6BB0"/>
    <w:rsid w:val="009D77E2"/>
    <w:rsid w:val="009E5CFC"/>
    <w:rsid w:val="009F6602"/>
    <w:rsid w:val="00A06E7A"/>
    <w:rsid w:val="00A0785B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413B"/>
    <w:rsid w:val="00A36B1A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36E8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E6A"/>
    <w:rsid w:val="00BD5C93"/>
    <w:rsid w:val="00BD6593"/>
    <w:rsid w:val="00BE2155"/>
    <w:rsid w:val="00BE2213"/>
    <w:rsid w:val="00BE666D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810C2"/>
    <w:rsid w:val="00C93C03"/>
    <w:rsid w:val="00C96667"/>
    <w:rsid w:val="00C9794D"/>
    <w:rsid w:val="00CA61BB"/>
    <w:rsid w:val="00CA7414"/>
    <w:rsid w:val="00CB0AC2"/>
    <w:rsid w:val="00CB1DCB"/>
    <w:rsid w:val="00CB2C8E"/>
    <w:rsid w:val="00CB602E"/>
    <w:rsid w:val="00CC0DB9"/>
    <w:rsid w:val="00CC7039"/>
    <w:rsid w:val="00CD23A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07D5"/>
    <w:rsid w:val="00D13441"/>
    <w:rsid w:val="00D150E7"/>
    <w:rsid w:val="00D17D9D"/>
    <w:rsid w:val="00D32F65"/>
    <w:rsid w:val="00D32F71"/>
    <w:rsid w:val="00D377E3"/>
    <w:rsid w:val="00D50484"/>
    <w:rsid w:val="00D50E46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22949"/>
    <w:rsid w:val="00E263DA"/>
    <w:rsid w:val="00E3270E"/>
    <w:rsid w:val="00E338EF"/>
    <w:rsid w:val="00E35C4E"/>
    <w:rsid w:val="00E424C8"/>
    <w:rsid w:val="00E443FF"/>
    <w:rsid w:val="00E544BB"/>
    <w:rsid w:val="00E55F66"/>
    <w:rsid w:val="00E6497C"/>
    <w:rsid w:val="00E64EE4"/>
    <w:rsid w:val="00E662CB"/>
    <w:rsid w:val="00E73C11"/>
    <w:rsid w:val="00E74DC7"/>
    <w:rsid w:val="00E8075A"/>
    <w:rsid w:val="00E90315"/>
    <w:rsid w:val="00E92D94"/>
    <w:rsid w:val="00E9347E"/>
    <w:rsid w:val="00E93E6F"/>
    <w:rsid w:val="00E94D5E"/>
    <w:rsid w:val="00E95380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27172"/>
    <w:rsid w:val="00F32BA8"/>
    <w:rsid w:val="00F349F1"/>
    <w:rsid w:val="00F4350D"/>
    <w:rsid w:val="00F567F7"/>
    <w:rsid w:val="00F619F0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7414D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D1E04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D1AF7"/>
    <w:pPr>
      <w:numPr>
        <w:ilvl w:val="2"/>
        <w:numId w:val="5"/>
      </w:numPr>
      <w:spacing w:before="100"/>
      <w:ind w:left="851" w:hanging="851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896AA9"/>
    <w:pPr>
      <w:numPr>
        <w:ilvl w:val="3"/>
        <w:numId w:val="5"/>
      </w:numPr>
      <w:spacing w:before="100"/>
      <w:ind w:left="1418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2D1E04"/>
    <w:pPr>
      <w:spacing w:before="200"/>
      <w:ind w:left="284"/>
      <w:jc w:val="center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9D1AF7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341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13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13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1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13B"/>
    <w:rPr>
      <w:b/>
      <w:bCs/>
      <w:lang w:eastAsia="en-US"/>
    </w:rPr>
  </w:style>
  <w:style w:type="paragraph" w:styleId="Revision">
    <w:name w:val="Revision"/>
    <w:hidden/>
    <w:uiPriority w:val="99"/>
    <w:semiHidden/>
    <w:rsid w:val="002D1E04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1871</Words>
  <Characters>10666</Characters>
  <Application>Microsoft Office Word</Application>
  <DocSecurity>0</DocSecurity>
  <PresentationFormat/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2017-10-26T01:51:00Z</dcterms:created>
  <dcterms:modified xsi:type="dcterms:W3CDTF">2020-12-18T01:33:00Z</dcterms:modified>
  <cp:category/>
  <cp:contentStatus/>
  <dc:language/>
  <cp:version/>
</cp:coreProperties>
</file>