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3D74FB" w:rsidP="006647B7">
      <w:pPr>
        <w:pStyle w:val="Plainheader"/>
      </w:pPr>
      <w:bookmarkStart w:id="0" w:name="SoP_Name_Title"/>
      <w:r>
        <w:t xml:space="preserve">CHRONIC GASTRITIS AND CHRONIC </w:t>
      </w:r>
      <w:proofErr w:type="gramStart"/>
      <w:r>
        <w:t>GASTROPATHY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C73BD">
        <w:t>102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3D74FB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121607">
        <w:t>1 October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34373D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</w:p>
          <w:p w:rsidR="00711F91" w:rsidRDefault="00711F91" w:rsidP="0034373D">
            <w:pPr>
              <w:pStyle w:val="Plain"/>
            </w:pPr>
          </w:p>
          <w:p w:rsidR="00711F91" w:rsidRPr="007527C1" w:rsidRDefault="00711F91" w:rsidP="0034373D">
            <w:pPr>
              <w:pStyle w:val="Plain"/>
            </w:pPr>
            <w:r w:rsidRPr="007527C1">
              <w:t xml:space="preserve">Professor </w:t>
            </w:r>
            <w:r w:rsidR="001B02B4">
              <w:t>Terence Campbell AM</w:t>
            </w:r>
          </w:p>
          <w:p w:rsidR="00711F91" w:rsidRDefault="00711F91" w:rsidP="0034373D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68192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681926">
        <w:rPr>
          <w:noProof/>
        </w:rPr>
        <w:t>1</w:t>
      </w:r>
      <w:r w:rsidR="0068192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681926">
        <w:rPr>
          <w:noProof/>
        </w:rPr>
        <w:t>Name</w:t>
      </w:r>
      <w:r w:rsidR="00681926">
        <w:rPr>
          <w:noProof/>
        </w:rPr>
        <w:tab/>
      </w:r>
      <w:r w:rsidR="00681926">
        <w:rPr>
          <w:noProof/>
        </w:rPr>
        <w:fldChar w:fldCharType="begin"/>
      </w:r>
      <w:r w:rsidR="00681926">
        <w:rPr>
          <w:noProof/>
        </w:rPr>
        <w:instrText xml:space="preserve"> PAGEREF _Toc512513542 \h </w:instrText>
      </w:r>
      <w:r w:rsidR="00681926">
        <w:rPr>
          <w:noProof/>
        </w:rPr>
      </w:r>
      <w:r w:rsidR="00681926">
        <w:rPr>
          <w:noProof/>
        </w:rPr>
        <w:fldChar w:fldCharType="separate"/>
      </w:r>
      <w:r w:rsidR="00805101">
        <w:rPr>
          <w:noProof/>
        </w:rPr>
        <w:t>3</w:t>
      </w:r>
      <w:r w:rsidR="00681926"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_Toc512513543 \h </w:instrText>
      </w:r>
      <w:r>
        <w:rPr>
          <w:noProof/>
        </w:rPr>
      </w:r>
      <w:r>
        <w:rPr>
          <w:noProof/>
        </w:rPr>
        <w:fldChar w:fldCharType="separate"/>
      </w:r>
      <w:r w:rsidR="00805101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_Toc512513544 \h </w:instrText>
      </w:r>
      <w:r>
        <w:rPr>
          <w:noProof/>
        </w:rPr>
      </w:r>
      <w:r>
        <w:rPr>
          <w:noProof/>
        </w:rPr>
        <w:fldChar w:fldCharType="separate"/>
      </w:r>
      <w:r w:rsidR="00805101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_Toc512513545 \h </w:instrText>
      </w:r>
      <w:r>
        <w:rPr>
          <w:noProof/>
        </w:rPr>
      </w:r>
      <w:r>
        <w:rPr>
          <w:noProof/>
        </w:rPr>
        <w:fldChar w:fldCharType="separate"/>
      </w:r>
      <w:r w:rsidR="00805101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_Toc512513546 \h </w:instrText>
      </w:r>
      <w:r>
        <w:rPr>
          <w:noProof/>
        </w:rPr>
      </w:r>
      <w:r>
        <w:rPr>
          <w:noProof/>
        </w:rPr>
        <w:fldChar w:fldCharType="separate"/>
      </w:r>
      <w:r w:rsidR="00805101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_Toc512513547 \h </w:instrText>
      </w:r>
      <w:r>
        <w:rPr>
          <w:noProof/>
        </w:rPr>
      </w:r>
      <w:r>
        <w:rPr>
          <w:noProof/>
        </w:rPr>
        <w:fldChar w:fldCharType="separate"/>
      </w:r>
      <w:r w:rsidR="00805101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_Toc512513548 \h </w:instrText>
      </w:r>
      <w:r>
        <w:rPr>
          <w:noProof/>
        </w:rPr>
      </w:r>
      <w:r>
        <w:rPr>
          <w:noProof/>
        </w:rPr>
        <w:fldChar w:fldCharType="separate"/>
      </w:r>
      <w:r w:rsidR="00805101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_Toc512513549 \h </w:instrText>
      </w:r>
      <w:r>
        <w:rPr>
          <w:noProof/>
        </w:rPr>
      </w:r>
      <w:r>
        <w:rPr>
          <w:noProof/>
        </w:rPr>
        <w:fldChar w:fldCharType="separate"/>
      </w:r>
      <w:r w:rsidR="00805101">
        <w:rPr>
          <w:noProof/>
        </w:rPr>
        <w:t>4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_Toc512513550 \h </w:instrText>
      </w:r>
      <w:r>
        <w:rPr>
          <w:noProof/>
        </w:rPr>
      </w:r>
      <w:r>
        <w:rPr>
          <w:noProof/>
        </w:rPr>
        <w:fldChar w:fldCharType="separate"/>
      </w:r>
      <w:r w:rsidR="00805101">
        <w:rPr>
          <w:noProof/>
        </w:rPr>
        <w:t>4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_Toc512513551 \h </w:instrText>
      </w:r>
      <w:r>
        <w:rPr>
          <w:noProof/>
        </w:rPr>
      </w:r>
      <w:r>
        <w:rPr>
          <w:noProof/>
        </w:rPr>
        <w:fldChar w:fldCharType="separate"/>
      </w:r>
      <w:r w:rsidR="00805101">
        <w:rPr>
          <w:noProof/>
        </w:rPr>
        <w:t>7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_Toc512513552 \h </w:instrText>
      </w:r>
      <w:r>
        <w:rPr>
          <w:noProof/>
        </w:rPr>
      </w:r>
      <w:r>
        <w:rPr>
          <w:noProof/>
        </w:rPr>
        <w:fldChar w:fldCharType="separate"/>
      </w:r>
      <w:r w:rsidR="00805101">
        <w:rPr>
          <w:noProof/>
        </w:rPr>
        <w:t>7</w:t>
      </w:r>
      <w:r>
        <w:rPr>
          <w:noProof/>
        </w:rPr>
        <w:fldChar w:fldCharType="end"/>
      </w:r>
    </w:p>
    <w:p w:rsidR="00681926" w:rsidRDefault="006819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_Toc512513553 \h </w:instrText>
      </w:r>
      <w:r>
        <w:rPr>
          <w:noProof/>
        </w:rPr>
      </w:r>
      <w:r>
        <w:rPr>
          <w:noProof/>
        </w:rPr>
        <w:fldChar w:fldCharType="separate"/>
      </w:r>
      <w:r w:rsidR="00805101">
        <w:rPr>
          <w:noProof/>
        </w:rPr>
        <w:t>8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_Toc512513554 \h </w:instrText>
      </w:r>
      <w:r>
        <w:rPr>
          <w:noProof/>
        </w:rPr>
      </w:r>
      <w:r>
        <w:rPr>
          <w:noProof/>
        </w:rPr>
        <w:fldChar w:fldCharType="separate"/>
      </w:r>
      <w:r w:rsidR="00805101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4" w:name="_Toc512513542"/>
      <w:r>
        <w:lastRenderedPageBreak/>
        <w:t>Name</w:t>
      </w:r>
      <w:bookmarkEnd w:id="4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3D74FB">
        <w:rPr>
          <w:i/>
        </w:rPr>
        <w:t>chronic gastritis and chronic gastropathy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DC73BD">
        <w:t>102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C73BD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7" w:name="_Toc512513543"/>
      <w:r w:rsidRPr="00684C0E">
        <w:t>Commencement</w:t>
      </w:r>
      <w:bookmarkEnd w:id="7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>This instrument commences on</w:t>
      </w:r>
      <w:r w:rsidR="00DC73BD">
        <w:t xml:space="preserve"> 1 November 2021</w:t>
      </w:r>
      <w:r w:rsidR="00F67B67" w:rsidRPr="007527C1">
        <w:t>.</w:t>
      </w:r>
    </w:p>
    <w:p w:rsidR="00F67B67" w:rsidRPr="00684C0E" w:rsidRDefault="00F67B67" w:rsidP="00472812">
      <w:pPr>
        <w:pStyle w:val="LV1"/>
      </w:pPr>
      <w:bookmarkStart w:id="8" w:name="_Toc512513544"/>
      <w:r w:rsidRPr="00684C0E">
        <w:t>Authority</w:t>
      </w:r>
      <w:bookmarkEnd w:id="8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9" w:name="_Toc512513545"/>
      <w:r>
        <w:t>Re</w:t>
      </w:r>
      <w:r w:rsidR="00681926">
        <w:t>peal</w:t>
      </w:r>
      <w:bookmarkEnd w:id="9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DC73BD" w:rsidRPr="00DC73BD">
        <w:t xml:space="preserve">chronic gastritis and chronic </w:t>
      </w:r>
      <w:proofErr w:type="spellStart"/>
      <w:r w:rsidR="00DC73BD" w:rsidRPr="00DC73BD">
        <w:t>gastropathy</w:t>
      </w:r>
      <w:proofErr w:type="spellEnd"/>
      <w:r w:rsidR="003D74FB">
        <w:t xml:space="preserve"> No. 26</w:t>
      </w:r>
      <w:r>
        <w:t xml:space="preserve"> of </w:t>
      </w:r>
      <w:r w:rsidR="003D74FB">
        <w:t>2013</w:t>
      </w:r>
      <w:r w:rsidR="00681926">
        <w:t xml:space="preserve"> </w:t>
      </w:r>
      <w:r w:rsidR="00681926" w:rsidRPr="00786DAE">
        <w:t>(Federal Register of Legislation No.</w:t>
      </w:r>
      <w:r w:rsidR="00385915">
        <w:t> </w:t>
      </w:r>
      <w:r w:rsidR="003D74FB" w:rsidRPr="003D74FB">
        <w:t>F2013L00722</w:t>
      </w:r>
      <w:r w:rsidR="00681926" w:rsidRPr="00786DAE">
        <w:t xml:space="preserve">) </w:t>
      </w:r>
      <w:r w:rsidR="00681926" w:rsidRPr="00DA3996">
        <w:t xml:space="preserve">made under subsections </w:t>
      </w:r>
      <w:proofErr w:type="gramStart"/>
      <w:r w:rsidR="00681926" w:rsidRPr="00DA3996">
        <w:t>196B(</w:t>
      </w:r>
      <w:proofErr w:type="gramEnd"/>
      <w:r w:rsidR="008452F9">
        <w:t>3</w:t>
      </w:r>
      <w:r w:rsidR="00681926" w:rsidRPr="00DA3996">
        <w:t xml:space="preserve">) and (8)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10" w:name="_Toc512513546"/>
      <w:r w:rsidRPr="00684C0E">
        <w:t>Application</w:t>
      </w:r>
      <w:bookmarkEnd w:id="10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11" w:name="_Ref410129949"/>
      <w:bookmarkStart w:id="12" w:name="_Toc512513547"/>
      <w:r w:rsidRPr="00684C0E">
        <w:t>Definitions</w:t>
      </w:r>
      <w:bookmarkEnd w:id="11"/>
      <w:bookmarkEnd w:id="12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54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472812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DC73BD" w:rsidRPr="00DC73BD">
        <w:t xml:space="preserve">chronic gastritis and chronic </w:t>
      </w:r>
      <w:proofErr w:type="spellStart"/>
      <w:r w:rsidR="00DC73BD" w:rsidRPr="00DC73BD">
        <w:t>gastropathy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C73BD" w:rsidRPr="00DC73BD">
        <w:t xml:space="preserve">chronic gastritis and chronic </w:t>
      </w:r>
      <w:proofErr w:type="spellStart"/>
      <w:r w:rsidR="00DC73BD" w:rsidRPr="00DC73BD">
        <w:t>gastropathy</w:t>
      </w:r>
      <w:proofErr w:type="spellEnd"/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DC73BD" w:rsidRPr="00DC73BD">
        <w:rPr>
          <w:b/>
        </w:rPr>
        <w:t xml:space="preserve">chronic gastritis and chronic </w:t>
      </w:r>
      <w:proofErr w:type="spellStart"/>
      <w:r w:rsidR="00DC73BD" w:rsidRPr="00DC73BD">
        <w:rPr>
          <w:b/>
        </w:rPr>
        <w:t>gastropathy</w:t>
      </w:r>
      <w:proofErr w:type="spellEnd"/>
    </w:p>
    <w:p w:rsidR="002716E4" w:rsidRPr="00237BAF" w:rsidRDefault="007C7DEE" w:rsidP="00472812">
      <w:pPr>
        <w:pStyle w:val="LV2"/>
      </w:pPr>
      <w:bookmarkStart w:id="18" w:name="_Ref409598124"/>
      <w:bookmarkStart w:id="19" w:name="_Ref402529683"/>
      <w:r w:rsidRPr="00237BAF">
        <w:t xml:space="preserve">For the purposes of </w:t>
      </w:r>
      <w:r w:rsidR="003D74FB">
        <w:t>this Statement of Principles:</w:t>
      </w:r>
      <w:bookmarkEnd w:id="18"/>
    </w:p>
    <w:bookmarkEnd w:id="19"/>
    <w:p w:rsidR="003D74FB" w:rsidRDefault="003D74FB" w:rsidP="003D74FB">
      <w:pPr>
        <w:pStyle w:val="LV3"/>
      </w:pPr>
      <w:r w:rsidRPr="006B5B85">
        <w:t>chronic gastritis means inflammation of the gastric mucosa with histologically demonstrated chron</w:t>
      </w:r>
      <w:r>
        <w:t>ic inflammatory cell infiltrate; and</w:t>
      </w:r>
    </w:p>
    <w:p w:rsidR="003D74FB" w:rsidRDefault="003D74FB" w:rsidP="003D74FB">
      <w:pPr>
        <w:pStyle w:val="LV3"/>
      </w:pPr>
      <w:r w:rsidRPr="006B5B85">
        <w:t>chronic gastropathy</w:t>
      </w:r>
      <w:r w:rsidR="00BE7C31">
        <w:t xml:space="preserve"> means</w:t>
      </w:r>
      <w:r w:rsidRPr="00237BAF">
        <w:t>:</w:t>
      </w:r>
    </w:p>
    <w:p w:rsidR="003D74FB" w:rsidRDefault="003D74FB" w:rsidP="003D74FB">
      <w:pPr>
        <w:pStyle w:val="LV4"/>
      </w:pPr>
      <w:r w:rsidRPr="006B5B85">
        <w:tab/>
        <w:t>histologically demonstrated gastric epithelial cell damage and regeneration with minimal or no associated inflammation; and</w:t>
      </w:r>
    </w:p>
    <w:p w:rsidR="003D74FB" w:rsidRPr="00237BAF" w:rsidRDefault="007208B2" w:rsidP="003D74FB">
      <w:pPr>
        <w:pStyle w:val="LV4"/>
      </w:pPr>
      <w:proofErr w:type="gramStart"/>
      <w:r>
        <w:t>the</w:t>
      </w:r>
      <w:proofErr w:type="gramEnd"/>
      <w:r>
        <w:t xml:space="preserve"> presence of </w:t>
      </w:r>
      <w:r w:rsidR="003D74FB" w:rsidRPr="006B5B85">
        <w:tab/>
        <w:t xml:space="preserve">clinical manifestations that have persisted for at least </w:t>
      </w:r>
      <w:r>
        <w:t>3</w:t>
      </w:r>
      <w:r w:rsidRPr="006B5B85">
        <w:t xml:space="preserve"> </w:t>
      </w:r>
      <w:r w:rsidR="003D74FB" w:rsidRPr="006B5B85">
        <w:t>consecutive months</w:t>
      </w:r>
      <w:r w:rsidR="003D74FB">
        <w:t>.</w:t>
      </w:r>
    </w:p>
    <w:p w:rsidR="003D74FB" w:rsidRDefault="003D74FB" w:rsidP="003D74FB">
      <w:pPr>
        <w:pStyle w:val="Note2"/>
        <w:ind w:left="1872" w:hanging="454"/>
      </w:pPr>
      <w:r>
        <w:lastRenderedPageBreak/>
        <w:t xml:space="preserve">Note: </w:t>
      </w:r>
      <w:r w:rsidRPr="00BF68AC">
        <w:t xml:space="preserve">Clinical </w:t>
      </w:r>
      <w:r w:rsidR="00561D5E">
        <w:t>manifestations</w:t>
      </w:r>
      <w:r w:rsidRPr="00BF68AC">
        <w:t xml:space="preserve"> of chronic gastritis and chronic gastropathy typically include epigastric pain, nausea, bloating and burning</w:t>
      </w:r>
      <w:r w:rsidR="00067316">
        <w:t>.</w:t>
      </w:r>
    </w:p>
    <w:p w:rsidR="003D74FB" w:rsidRDefault="003D74FB" w:rsidP="003D74FB">
      <w:pPr>
        <w:pStyle w:val="LV3"/>
      </w:pPr>
      <w:r w:rsidRPr="007B416F">
        <w:t>Chronic gastritis and chronic gastropathy exclude:</w:t>
      </w:r>
    </w:p>
    <w:p w:rsidR="003D74FB" w:rsidRDefault="003D74FB" w:rsidP="003D74FB">
      <w:pPr>
        <w:pStyle w:val="LV4"/>
      </w:pPr>
      <w:r>
        <w:t xml:space="preserve">acute gastritis; </w:t>
      </w:r>
    </w:p>
    <w:p w:rsidR="003D74FB" w:rsidRDefault="003D74FB" w:rsidP="003D74FB">
      <w:pPr>
        <w:pStyle w:val="LV4"/>
      </w:pPr>
      <w:r>
        <w:t xml:space="preserve">acute gastropathy; </w:t>
      </w:r>
    </w:p>
    <w:p w:rsidR="003D74FB" w:rsidRDefault="003D74FB" w:rsidP="003D74FB">
      <w:pPr>
        <w:pStyle w:val="LV4"/>
      </w:pPr>
      <w:r>
        <w:t>autoimmune gastritis;</w:t>
      </w:r>
    </w:p>
    <w:p w:rsidR="003D74FB" w:rsidRDefault="003D74FB" w:rsidP="003D74FB">
      <w:pPr>
        <w:pStyle w:val="LV4"/>
      </w:pPr>
      <w:r>
        <w:t>chronic non-infectious granulomatous gastritis;</w:t>
      </w:r>
    </w:p>
    <w:p w:rsidR="003D74FB" w:rsidRDefault="003D74FB" w:rsidP="003D74FB">
      <w:pPr>
        <w:pStyle w:val="LV4"/>
      </w:pPr>
      <w:r>
        <w:t xml:space="preserve">eosinophilic gastritis; </w:t>
      </w:r>
    </w:p>
    <w:p w:rsidR="003D74FB" w:rsidRDefault="003D74FB" w:rsidP="003D74FB">
      <w:pPr>
        <w:pStyle w:val="LV4"/>
      </w:pPr>
      <w:r>
        <w:t>gastric antral vascular ectasia;</w:t>
      </w:r>
    </w:p>
    <w:p w:rsidR="003D74FB" w:rsidRDefault="003D74FB" w:rsidP="003D74FB">
      <w:pPr>
        <w:pStyle w:val="LV4"/>
      </w:pPr>
      <w:r>
        <w:t xml:space="preserve">ischaemic gastritis; </w:t>
      </w:r>
    </w:p>
    <w:p w:rsidR="003D74FB" w:rsidRDefault="003D74FB" w:rsidP="003D74FB">
      <w:pPr>
        <w:pStyle w:val="LV4"/>
      </w:pPr>
      <w:r>
        <w:t>lymphocytic gastritis;</w:t>
      </w:r>
    </w:p>
    <w:p w:rsidR="003D74FB" w:rsidRDefault="003D74FB" w:rsidP="003D74FB">
      <w:pPr>
        <w:pStyle w:val="LV4"/>
      </w:pPr>
      <w:r>
        <w:t xml:space="preserve">portal hypertensive gastropathy; </w:t>
      </w:r>
    </w:p>
    <w:p w:rsidR="003D74FB" w:rsidRDefault="003D74FB" w:rsidP="003D74FB">
      <w:pPr>
        <w:pStyle w:val="LV4"/>
      </w:pPr>
      <w:r>
        <w:t xml:space="preserve">stress gastritis/ulcer; and </w:t>
      </w:r>
    </w:p>
    <w:p w:rsidR="003D74FB" w:rsidRPr="007B416F" w:rsidRDefault="003D74FB" w:rsidP="003D74FB">
      <w:pPr>
        <w:pStyle w:val="LV4"/>
      </w:pPr>
      <w:proofErr w:type="gramStart"/>
      <w:r>
        <w:t>uraemic</w:t>
      </w:r>
      <w:proofErr w:type="gramEnd"/>
      <w:r>
        <w:t xml:space="preserve"> gastritis.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DC73BD" w:rsidRPr="00DC73BD">
        <w:rPr>
          <w:b/>
        </w:rPr>
        <w:t xml:space="preserve">chronic gastritis and chronic </w:t>
      </w:r>
      <w:proofErr w:type="spellStart"/>
      <w:r w:rsidR="00DC73BD" w:rsidRPr="00DC73BD">
        <w:rPr>
          <w:b/>
        </w:rPr>
        <w:t>gastropathy</w:t>
      </w:r>
      <w:proofErr w:type="spellEnd"/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D74FB" w:rsidRPr="003D74FB">
        <w:t xml:space="preserve">chronic gastritis </w:t>
      </w:r>
      <w:r w:rsidR="003D74FB">
        <w:t>or</w:t>
      </w:r>
      <w:r w:rsidR="003D74FB" w:rsidRPr="003D74FB">
        <w:t xml:space="preserve"> chronic gastropathy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3D74FB" w:rsidRPr="003D74FB">
        <w:t xml:space="preserve">chronic gastritis </w:t>
      </w:r>
      <w:r w:rsidR="003D74FB">
        <w:t>or</w:t>
      </w:r>
      <w:r w:rsidR="003D74FB" w:rsidRPr="003D74FB">
        <w:t xml:space="preserve"> chronic gastropathy</w:t>
      </w:r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805101">
        <w:t>-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472812">
      <w:pPr>
        <w:pStyle w:val="LV1"/>
      </w:pPr>
      <w:bookmarkStart w:id="20" w:name="_Toc512513549"/>
      <w:r w:rsidRPr="00A20CA1">
        <w:t>Basis for determining the factors</w:t>
      </w:r>
      <w:bookmarkEnd w:id="20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3D74FB">
        <w:t>chronic gastritis or</w:t>
      </w:r>
      <w:r w:rsidR="003D74FB" w:rsidRPr="003D74FB">
        <w:t xml:space="preserve"> chronic gastropathy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3D74FB">
        <w:t xml:space="preserve">chronic gastritis or </w:t>
      </w:r>
      <w:r w:rsidR="003D74FB" w:rsidRPr="003D74FB">
        <w:t>chronic gastropathy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 w:rsidR="00805101">
        <w:t>Schedule 1 -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550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472812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3D74FB">
        <w:t>chronic gastritis or</w:t>
      </w:r>
      <w:r w:rsidR="003D74FB" w:rsidRPr="003D74FB">
        <w:t xml:space="preserve"> chronic gastropathy</w:t>
      </w:r>
      <w:r w:rsidR="007A3989">
        <w:t xml:space="preserve"> </w:t>
      </w:r>
      <w:r w:rsidR="007C7DEE" w:rsidRPr="00AA6D8B">
        <w:t xml:space="preserve">or death from </w:t>
      </w:r>
      <w:r w:rsidR="003D74FB">
        <w:t>chronic gastritis or</w:t>
      </w:r>
      <w:r w:rsidR="003D74FB" w:rsidRPr="003D74FB">
        <w:t xml:space="preserve"> chronic gastropathy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3D74FB" w:rsidRDefault="003D74FB" w:rsidP="003D74FB">
      <w:pPr>
        <w:pStyle w:val="LV2"/>
        <w:numPr>
          <w:ilvl w:val="1"/>
          <w:numId w:val="4"/>
        </w:numPr>
        <w:ind w:left="1418"/>
      </w:pPr>
      <w:bookmarkStart w:id="26" w:name="_Ref402530260"/>
      <w:bookmarkStart w:id="27" w:name="_Ref409598844"/>
      <w:r w:rsidRPr="00725D8F">
        <w:t>for chronic gastritis only</w:t>
      </w:r>
      <w:r>
        <w:t>:</w:t>
      </w:r>
    </w:p>
    <w:p w:rsidR="003D74FB" w:rsidRDefault="003D74FB" w:rsidP="003D74FB">
      <w:pPr>
        <w:pStyle w:val="LV3"/>
        <w:numPr>
          <w:ilvl w:val="2"/>
          <w:numId w:val="4"/>
        </w:numPr>
        <w:spacing w:after="120"/>
        <w:ind w:left="1985"/>
        <w:contextualSpacing w:val="0"/>
      </w:pPr>
      <w:r w:rsidRPr="00725D8F">
        <w:t xml:space="preserve">having a </w:t>
      </w:r>
      <w:r w:rsidRPr="00725D8F">
        <w:rPr>
          <w:i/>
        </w:rPr>
        <w:t>Helicobacter pylori</w:t>
      </w:r>
      <w:r w:rsidRPr="00725D8F">
        <w:t xml:space="preserve"> infection of the gastric mucosa before the clinical onset of chronic gastritis;</w:t>
      </w:r>
    </w:p>
    <w:p w:rsidR="003D74FB" w:rsidRDefault="003D74FB" w:rsidP="003D74FB">
      <w:pPr>
        <w:pStyle w:val="LV3"/>
        <w:numPr>
          <w:ilvl w:val="2"/>
          <w:numId w:val="4"/>
        </w:numPr>
        <w:spacing w:after="120"/>
        <w:ind w:left="1985"/>
        <w:contextualSpacing w:val="0"/>
      </w:pPr>
      <w:r w:rsidRPr="00BF35C6">
        <w:t xml:space="preserve">having </w:t>
      </w:r>
      <w:r w:rsidRPr="00BF35C6">
        <w:rPr>
          <w:i/>
        </w:rPr>
        <w:t xml:space="preserve">Helicobacter </w:t>
      </w:r>
      <w:proofErr w:type="spellStart"/>
      <w:r w:rsidRPr="00BF35C6">
        <w:rPr>
          <w:i/>
        </w:rPr>
        <w:t>heilmannii</w:t>
      </w:r>
      <w:proofErr w:type="spellEnd"/>
      <w:r w:rsidRPr="00BF35C6">
        <w:rPr>
          <w:i/>
        </w:rPr>
        <w:t xml:space="preserve"> </w:t>
      </w:r>
      <w:proofErr w:type="spellStart"/>
      <w:r w:rsidRPr="00BF35C6">
        <w:rPr>
          <w:i/>
        </w:rPr>
        <w:t>sensu</w:t>
      </w:r>
      <w:proofErr w:type="spellEnd"/>
      <w:r w:rsidRPr="00BF35C6">
        <w:rPr>
          <w:i/>
        </w:rPr>
        <w:t xml:space="preserve"> </w:t>
      </w:r>
      <w:proofErr w:type="spellStart"/>
      <w:r w:rsidRPr="00BF35C6">
        <w:rPr>
          <w:i/>
        </w:rPr>
        <w:t>lato</w:t>
      </w:r>
      <w:proofErr w:type="spellEnd"/>
      <w:r w:rsidRPr="00BF35C6">
        <w:t xml:space="preserve"> infection of the gastric mucosa before the clinical onset</w:t>
      </w:r>
      <w:r>
        <w:t xml:space="preserve"> of chronic gastritis;</w:t>
      </w:r>
    </w:p>
    <w:p w:rsidR="003D74FB" w:rsidRDefault="003D74FB" w:rsidP="003D74FB">
      <w:pPr>
        <w:pStyle w:val="Note1"/>
      </w:pPr>
      <w:r>
        <w:t xml:space="preserve">Note: </w:t>
      </w:r>
      <w:r w:rsidRPr="00AC1C85">
        <w:rPr>
          <w:b/>
          <w:i/>
          <w:szCs w:val="24"/>
        </w:rPr>
        <w:t xml:space="preserve">Helicobacter </w:t>
      </w:r>
      <w:proofErr w:type="spellStart"/>
      <w:r w:rsidRPr="00AC1C85">
        <w:rPr>
          <w:b/>
          <w:i/>
          <w:szCs w:val="24"/>
        </w:rPr>
        <w:t>heilmannii</w:t>
      </w:r>
      <w:proofErr w:type="spellEnd"/>
      <w:r w:rsidRPr="00AC1C85">
        <w:rPr>
          <w:b/>
          <w:i/>
          <w:szCs w:val="24"/>
        </w:rPr>
        <w:t xml:space="preserve"> </w:t>
      </w:r>
      <w:proofErr w:type="spellStart"/>
      <w:r w:rsidRPr="00AC1C85">
        <w:rPr>
          <w:b/>
          <w:i/>
          <w:szCs w:val="24"/>
        </w:rPr>
        <w:t>sensu</w:t>
      </w:r>
      <w:proofErr w:type="spellEnd"/>
      <w:r w:rsidRPr="00AC1C85">
        <w:rPr>
          <w:b/>
          <w:i/>
          <w:szCs w:val="24"/>
        </w:rPr>
        <w:t xml:space="preserve"> </w:t>
      </w:r>
      <w:proofErr w:type="spellStart"/>
      <w:r w:rsidRPr="00AC1C85">
        <w:rPr>
          <w:b/>
          <w:i/>
          <w:szCs w:val="24"/>
        </w:rPr>
        <w:t>lato</w:t>
      </w:r>
      <w:proofErr w:type="spellEnd"/>
      <w:r>
        <w:rPr>
          <w:b/>
          <w:i/>
          <w:szCs w:val="24"/>
        </w:rPr>
        <w:t xml:space="preserve"> </w:t>
      </w:r>
      <w:r w:rsidRPr="00046E67">
        <w:t xml:space="preserve">is defined in the </w:t>
      </w:r>
      <w:r>
        <w:t xml:space="preserve">Schedule 1 - </w:t>
      </w:r>
      <w:r w:rsidRPr="00046E67">
        <w:t>Dictionary</w:t>
      </w:r>
      <w:r>
        <w:t>.</w:t>
      </w:r>
    </w:p>
    <w:p w:rsidR="003D74FB" w:rsidRDefault="003D74FB" w:rsidP="003D74FB">
      <w:pPr>
        <w:pStyle w:val="LV3"/>
        <w:numPr>
          <w:ilvl w:val="2"/>
          <w:numId w:val="4"/>
        </w:numPr>
        <w:spacing w:after="120"/>
        <w:ind w:left="1985"/>
        <w:contextualSpacing w:val="0"/>
      </w:pPr>
      <w:r w:rsidRPr="008671AE">
        <w:lastRenderedPageBreak/>
        <w:t>having an infection of the gastric mucosa from the specified list of infections at the time of the clinical onset of chronic gastritis;</w:t>
      </w:r>
    </w:p>
    <w:p w:rsidR="003D74FB" w:rsidRDefault="003D74FB" w:rsidP="003D74FB">
      <w:pPr>
        <w:pStyle w:val="Note1"/>
      </w:pPr>
      <w:r w:rsidRPr="008671AE">
        <w:t xml:space="preserve">Note: </w:t>
      </w:r>
      <w:r w:rsidRPr="008671AE">
        <w:rPr>
          <w:b/>
          <w:i/>
        </w:rPr>
        <w:t>specified list of infections</w:t>
      </w:r>
      <w:r w:rsidRPr="008671AE">
        <w:t xml:space="preserve"> is defined in the Schedule 1 </w:t>
      </w:r>
      <w:r>
        <w:t>-</w:t>
      </w:r>
      <w:r w:rsidRPr="008671AE">
        <w:t xml:space="preserve"> Dictionary.</w:t>
      </w:r>
    </w:p>
    <w:p w:rsidR="003D74FB" w:rsidRDefault="003D74FB" w:rsidP="003D74FB">
      <w:pPr>
        <w:pStyle w:val="LV3"/>
        <w:numPr>
          <w:ilvl w:val="2"/>
          <w:numId w:val="4"/>
        </w:numPr>
        <w:spacing w:after="120"/>
        <w:ind w:left="1985"/>
        <w:contextualSpacing w:val="0"/>
      </w:pPr>
      <w:r w:rsidRPr="00F12D5C">
        <w:t>being in an immunocompromised state as specified at the time of the clinical onset of chronic gastritis;</w:t>
      </w:r>
      <w:r w:rsidR="00915E0C">
        <w:t xml:space="preserve"> or</w:t>
      </w:r>
    </w:p>
    <w:p w:rsidR="003D74FB" w:rsidRDefault="003D74FB" w:rsidP="003D74FB">
      <w:pPr>
        <w:pStyle w:val="Note1"/>
        <w:ind w:left="2439" w:hanging="454"/>
      </w:pPr>
      <w:r w:rsidRPr="00F12D5C">
        <w:t xml:space="preserve">Note: </w:t>
      </w:r>
      <w:r w:rsidRPr="00F12D5C">
        <w:rPr>
          <w:b/>
          <w:i/>
        </w:rPr>
        <w:t>immunocompromised state as specified</w:t>
      </w:r>
      <w:r w:rsidRPr="00F12D5C">
        <w:t xml:space="preserve"> is defined in the Schedule</w:t>
      </w:r>
      <w:r w:rsidR="009575B9">
        <w:t> </w:t>
      </w:r>
      <w:r w:rsidRPr="00F12D5C">
        <w:t>1</w:t>
      </w:r>
      <w:r w:rsidR="009575B9">
        <w:t> </w:t>
      </w:r>
      <w:r>
        <w:t>-</w:t>
      </w:r>
      <w:r w:rsidR="009575B9">
        <w:t> </w:t>
      </w:r>
      <w:r w:rsidRPr="00F12D5C">
        <w:t>Dictionary.</w:t>
      </w:r>
    </w:p>
    <w:p w:rsidR="003D74FB" w:rsidRDefault="003D74FB" w:rsidP="003D74FB">
      <w:pPr>
        <w:pStyle w:val="LV3"/>
        <w:numPr>
          <w:ilvl w:val="2"/>
          <w:numId w:val="4"/>
        </w:numPr>
        <w:spacing w:after="120"/>
        <w:ind w:left="1985"/>
        <w:contextualSpacing w:val="0"/>
      </w:pPr>
      <w:r w:rsidRPr="009132BF">
        <w:t>taking an immune checkpoint inhibitor for at least the 4 weeks before the clinical onset of chronic gastritis;</w:t>
      </w:r>
    </w:p>
    <w:p w:rsidR="003D74FB" w:rsidRDefault="003D74FB" w:rsidP="003D74FB">
      <w:pPr>
        <w:pStyle w:val="Note1"/>
        <w:ind w:left="2439" w:hanging="454"/>
      </w:pPr>
      <w:r w:rsidRPr="009132BF">
        <w:t xml:space="preserve">Note: Examples of immune checkpoint inhibitors include </w:t>
      </w:r>
      <w:proofErr w:type="spellStart"/>
      <w:r w:rsidRPr="009132BF">
        <w:t>ipilimumab</w:t>
      </w:r>
      <w:proofErr w:type="spellEnd"/>
      <w:r w:rsidRPr="009132BF">
        <w:t xml:space="preserve">, </w:t>
      </w:r>
      <w:proofErr w:type="spellStart"/>
      <w:r w:rsidRPr="009132BF">
        <w:t>tremelimumab</w:t>
      </w:r>
      <w:proofErr w:type="spellEnd"/>
      <w:r w:rsidRPr="009132BF">
        <w:t xml:space="preserve">, </w:t>
      </w:r>
      <w:proofErr w:type="spellStart"/>
      <w:r w:rsidRPr="009132BF">
        <w:t>nivolumab</w:t>
      </w:r>
      <w:proofErr w:type="spellEnd"/>
      <w:r w:rsidRPr="009132BF">
        <w:t xml:space="preserve"> and </w:t>
      </w:r>
      <w:proofErr w:type="spellStart"/>
      <w:r w:rsidRPr="009132BF">
        <w:t>pembrolizumab</w:t>
      </w:r>
      <w:proofErr w:type="spellEnd"/>
      <w:r w:rsidRPr="009132BF">
        <w:t>.</w:t>
      </w:r>
    </w:p>
    <w:p w:rsidR="003D74FB" w:rsidRDefault="003D74FB" w:rsidP="003D74FB">
      <w:pPr>
        <w:pStyle w:val="LV2"/>
        <w:numPr>
          <w:ilvl w:val="1"/>
          <w:numId w:val="4"/>
        </w:numPr>
        <w:ind w:left="1418"/>
      </w:pPr>
      <w:r w:rsidRPr="009132BF">
        <w:t>for chronic gastropathy only</w:t>
      </w:r>
      <w:r>
        <w:t>:</w:t>
      </w:r>
    </w:p>
    <w:p w:rsidR="003D74FB" w:rsidRDefault="003D74FB" w:rsidP="003D74FB">
      <w:pPr>
        <w:pStyle w:val="LV3"/>
        <w:numPr>
          <w:ilvl w:val="2"/>
          <w:numId w:val="4"/>
        </w:numPr>
        <w:spacing w:after="120"/>
        <w:ind w:left="1985"/>
        <w:contextualSpacing w:val="0"/>
      </w:pPr>
      <w:r w:rsidRPr="009132BF">
        <w:t>having reflux of bile acids into the stomach at the time of the clinical onset of chronic gastropathy;</w:t>
      </w:r>
    </w:p>
    <w:p w:rsidR="003D74FB" w:rsidRDefault="003D74FB" w:rsidP="003D74FB">
      <w:pPr>
        <w:pStyle w:val="Note1"/>
        <w:ind w:left="2439" w:hanging="454"/>
      </w:pPr>
      <w:r w:rsidRPr="009132BF">
        <w:t>Note: Examples of circumstances in which reflux of bile acids into the stomach can occur include post-ga</w:t>
      </w:r>
      <w:r w:rsidR="00BE0FEB">
        <w:t>strectomy, post-biliary surgery</w:t>
      </w:r>
      <w:r w:rsidRPr="009132BF">
        <w:t xml:space="preserve"> and decreased gastric or duodenal motility</w:t>
      </w:r>
      <w:r>
        <w:t>.</w:t>
      </w:r>
    </w:p>
    <w:p w:rsidR="003D74FB" w:rsidRDefault="003D74FB" w:rsidP="003D74FB">
      <w:pPr>
        <w:pStyle w:val="LV3"/>
        <w:numPr>
          <w:ilvl w:val="2"/>
          <w:numId w:val="4"/>
        </w:numPr>
        <w:spacing w:after="120"/>
        <w:ind w:left="1985"/>
        <w:contextualSpacing w:val="0"/>
      </w:pPr>
      <w:r w:rsidRPr="009132BF">
        <w:t>taking a non-topical, non</w:t>
      </w:r>
      <w:r w:rsidR="007208B2">
        <w:t>-</w:t>
      </w:r>
      <w:r w:rsidRPr="009132BF">
        <w:t>steroidal, anti-inflammatory drug, including aspirin, on more days than not for a continuous period of at least 2 weeks, within the 30 days before the clinical onset of chronic gastropathy;</w:t>
      </w:r>
    </w:p>
    <w:p w:rsidR="003D74FB" w:rsidRDefault="003D74FB" w:rsidP="003D74FB">
      <w:pPr>
        <w:pStyle w:val="LV3"/>
        <w:numPr>
          <w:ilvl w:val="2"/>
          <w:numId w:val="4"/>
        </w:numPr>
        <w:spacing w:after="120"/>
        <w:ind w:left="1985"/>
        <w:contextualSpacing w:val="0"/>
      </w:pPr>
      <w:r w:rsidRPr="00532C7B">
        <w:t>taking a drug from the Specified List 1 of drugs for at least the 4</w:t>
      </w:r>
      <w:r w:rsidR="00BE0FEB">
        <w:t> </w:t>
      </w:r>
      <w:r w:rsidRPr="00532C7B">
        <w:t>weeks before the clinical onset of chronic gastropathy;</w:t>
      </w:r>
    </w:p>
    <w:p w:rsidR="003D74FB" w:rsidRDefault="003D74FB" w:rsidP="003D74FB">
      <w:pPr>
        <w:pStyle w:val="Note1"/>
      </w:pPr>
      <w:r w:rsidRPr="002D2FA8">
        <w:t xml:space="preserve">Note: </w:t>
      </w:r>
      <w:r w:rsidRPr="002D2FA8">
        <w:rPr>
          <w:b/>
          <w:i/>
        </w:rPr>
        <w:t>Specified List 1 of drugs</w:t>
      </w:r>
      <w:r w:rsidRPr="002D2FA8">
        <w:t xml:space="preserve"> is defined in the Schedule 1 </w:t>
      </w:r>
      <w:r>
        <w:t>-</w:t>
      </w:r>
      <w:r w:rsidRPr="002D2FA8">
        <w:t xml:space="preserve"> Dictionary.</w:t>
      </w:r>
    </w:p>
    <w:p w:rsidR="003D74FB" w:rsidRDefault="003D74FB" w:rsidP="003D74FB">
      <w:pPr>
        <w:pStyle w:val="LV3"/>
        <w:numPr>
          <w:ilvl w:val="2"/>
          <w:numId w:val="4"/>
        </w:numPr>
        <w:spacing w:after="120"/>
        <w:ind w:left="1985"/>
        <w:contextualSpacing w:val="0"/>
      </w:pPr>
      <w:r w:rsidRPr="006A1C06">
        <w:t xml:space="preserve">consuming an average of at least 350 grams of alcohol per week for at least </w:t>
      </w:r>
      <w:r w:rsidRPr="00B60AA9">
        <w:t>the 5 years before the clinical onset of chronic gastropathy;</w:t>
      </w:r>
    </w:p>
    <w:p w:rsidR="003D74FB" w:rsidRDefault="003D74FB" w:rsidP="003D74FB">
      <w:pPr>
        <w:pStyle w:val="Note1"/>
        <w:ind w:left="2439" w:hanging="454"/>
      </w:pPr>
      <w:r w:rsidRPr="006A1C06">
        <w:t>Note: Alcohol consumption is calculated utilising the Australian Standard of 10 grams of alcohol per standard alcoholic drink.</w:t>
      </w:r>
    </w:p>
    <w:p w:rsidR="003D74FB" w:rsidRDefault="003D74FB" w:rsidP="003D74FB">
      <w:pPr>
        <w:pStyle w:val="LV3"/>
        <w:numPr>
          <w:ilvl w:val="2"/>
          <w:numId w:val="4"/>
        </w:numPr>
        <w:spacing w:after="120"/>
        <w:ind w:left="1985"/>
        <w:contextualSpacing w:val="0"/>
      </w:pPr>
      <w:r w:rsidRPr="00C35D75">
        <w:t>undergoing a course of therapeutic radiation for cancer, where the stomach was in the field of radiation, within the 1 year before the clinical onset of chronic gastropathy;</w:t>
      </w:r>
      <w:r w:rsidR="00915E0C">
        <w:t xml:space="preserve"> or</w:t>
      </w:r>
    </w:p>
    <w:p w:rsidR="003D74FB" w:rsidRDefault="003D74FB" w:rsidP="003D74FB">
      <w:pPr>
        <w:pStyle w:val="LV3"/>
        <w:numPr>
          <w:ilvl w:val="2"/>
          <w:numId w:val="4"/>
        </w:numPr>
        <w:spacing w:after="120"/>
        <w:ind w:left="1985"/>
        <w:contextualSpacing w:val="0"/>
      </w:pPr>
      <w:r w:rsidRPr="00C35D75">
        <w:t>having received yttrium-90 microspheres as therapy for primary and metastatic liver tumours, within the 1 year before the clinical onset of chronic gastropathy;</w:t>
      </w:r>
    </w:p>
    <w:p w:rsidR="003D74FB" w:rsidRDefault="003D74FB" w:rsidP="003D74FB">
      <w:pPr>
        <w:pStyle w:val="LV2"/>
        <w:numPr>
          <w:ilvl w:val="1"/>
          <w:numId w:val="4"/>
        </w:numPr>
        <w:ind w:left="1418"/>
      </w:pPr>
      <w:r>
        <w:t>having reflux of bile acids into the stomach at the time of the clinical worsening of chronic gastritis or chronic gastropathy;</w:t>
      </w:r>
    </w:p>
    <w:p w:rsidR="003D74FB" w:rsidRDefault="003D74FB" w:rsidP="00B60AA9">
      <w:pPr>
        <w:pStyle w:val="Note2"/>
        <w:ind w:left="1872" w:hanging="454"/>
      </w:pPr>
      <w:r>
        <w:t>Note: Examples of circumstances in which reflux of bile acids into the stomach can occur include post-gastrectomy, post-biliary surg</w:t>
      </w:r>
      <w:r w:rsidR="00692CEF">
        <w:t>ery</w:t>
      </w:r>
      <w:r>
        <w:t xml:space="preserve"> and decreased gastric or duodenal motility.  </w:t>
      </w:r>
    </w:p>
    <w:p w:rsidR="003D74FB" w:rsidRDefault="003D74FB" w:rsidP="003D74FB">
      <w:pPr>
        <w:pStyle w:val="LV2"/>
        <w:numPr>
          <w:ilvl w:val="1"/>
          <w:numId w:val="4"/>
        </w:numPr>
        <w:ind w:left="1418"/>
      </w:pPr>
      <w:r>
        <w:lastRenderedPageBreak/>
        <w:t>taking a non-topical, non</w:t>
      </w:r>
      <w:r w:rsidR="007208B2">
        <w:t>-</w:t>
      </w:r>
      <w:r>
        <w:t>steroidal, anti-inflammatory drug, including aspirin, on more days than not for a continuous period of at least 8</w:t>
      </w:r>
      <w:r w:rsidR="002478EC">
        <w:t> </w:t>
      </w:r>
      <w:r>
        <w:t>days, within the 30 days before the clinical worsening of chronic gastritis or chronic gastropathy;</w:t>
      </w:r>
    </w:p>
    <w:p w:rsidR="003D74FB" w:rsidRDefault="003D74FB" w:rsidP="003D74FB">
      <w:pPr>
        <w:pStyle w:val="LV2"/>
        <w:numPr>
          <w:ilvl w:val="1"/>
          <w:numId w:val="4"/>
        </w:numPr>
        <w:ind w:left="1418"/>
      </w:pPr>
      <w:r>
        <w:t>taking a drug from the Specified List 2 of drugs at the time of the clinical worsening of chronic gastritis or chronic gastropathy;</w:t>
      </w:r>
    </w:p>
    <w:p w:rsidR="003D74FB" w:rsidRDefault="003D74FB" w:rsidP="003D74FB">
      <w:pPr>
        <w:pStyle w:val="Note2"/>
      </w:pPr>
      <w:r>
        <w:t xml:space="preserve">Note: </w:t>
      </w:r>
      <w:r w:rsidRPr="00AA4CCC">
        <w:rPr>
          <w:b/>
          <w:i/>
        </w:rPr>
        <w:t>Specified List 2 of drugs</w:t>
      </w:r>
      <w:r>
        <w:t xml:space="preserve"> is defined in the Schedule 1 </w:t>
      </w:r>
      <w:r w:rsidR="001A5DB9">
        <w:t>-</w:t>
      </w:r>
      <w:r>
        <w:t xml:space="preserve"> Dictionary.</w:t>
      </w:r>
    </w:p>
    <w:p w:rsidR="003D74FB" w:rsidRDefault="003D74FB" w:rsidP="003D74FB">
      <w:pPr>
        <w:pStyle w:val="LV2"/>
        <w:numPr>
          <w:ilvl w:val="1"/>
          <w:numId w:val="4"/>
        </w:numPr>
        <w:ind w:left="1418"/>
      </w:pPr>
      <w:r>
        <w:t xml:space="preserve">consuming an average of at least 350 grams of alcohol per week for at least the </w:t>
      </w:r>
      <w:r w:rsidRPr="00B60AA9">
        <w:t>1 year before</w:t>
      </w:r>
      <w:r>
        <w:t xml:space="preserve"> the clinical worsening of chronic gastritis or chronic gastropathy;</w:t>
      </w:r>
    </w:p>
    <w:p w:rsidR="003D74FB" w:rsidRDefault="003D74FB" w:rsidP="00B60AA9">
      <w:pPr>
        <w:pStyle w:val="Note2"/>
        <w:ind w:left="1872" w:hanging="454"/>
      </w:pPr>
      <w:r>
        <w:t>Note: Alcohol consumption is calculated utilising the Australian Standard of 10 grams of alcohol per standard alcoholic drink.</w:t>
      </w:r>
    </w:p>
    <w:p w:rsidR="003D74FB" w:rsidRDefault="003D74FB" w:rsidP="003D74FB">
      <w:pPr>
        <w:pStyle w:val="LV2"/>
        <w:numPr>
          <w:ilvl w:val="1"/>
          <w:numId w:val="4"/>
        </w:numPr>
        <w:ind w:left="1418"/>
      </w:pPr>
      <w:r>
        <w:t>undergoing a course of therapeutic radiation for cancer, where the stomach was in the field of radiation, within the 1 year before the clinical worsening of chronic gastritis or chronic gastropathy;</w:t>
      </w:r>
    </w:p>
    <w:p w:rsidR="003D74FB" w:rsidRDefault="003D74FB" w:rsidP="003D74FB">
      <w:pPr>
        <w:pStyle w:val="LV2"/>
        <w:numPr>
          <w:ilvl w:val="1"/>
          <w:numId w:val="4"/>
        </w:numPr>
        <w:ind w:left="1418"/>
      </w:pPr>
      <w:r>
        <w:t>having received yttrium-90 microspheres as therapy for primary and metastatic liver tumours, within the 1 year before the clinical worsening of chronic gastritis or chronic gastropathy;</w:t>
      </w:r>
    </w:p>
    <w:p w:rsidR="003D74FB" w:rsidRDefault="003D74FB" w:rsidP="003D74FB">
      <w:pPr>
        <w:pStyle w:val="LV2"/>
        <w:numPr>
          <w:ilvl w:val="1"/>
          <w:numId w:val="4"/>
        </w:numPr>
        <w:ind w:left="1418"/>
      </w:pPr>
      <w:r w:rsidRPr="00725D8F">
        <w:t>for chronic gastritis only</w:t>
      </w:r>
      <w:r>
        <w:t>:</w:t>
      </w:r>
    </w:p>
    <w:p w:rsidR="003D74FB" w:rsidRPr="001F536D" w:rsidRDefault="003D74FB" w:rsidP="003D74FB">
      <w:pPr>
        <w:pStyle w:val="LV3"/>
        <w:numPr>
          <w:ilvl w:val="2"/>
          <w:numId w:val="4"/>
        </w:numPr>
        <w:spacing w:after="120"/>
        <w:ind w:left="1985"/>
        <w:contextualSpacing w:val="0"/>
      </w:pPr>
      <w:r w:rsidRPr="00725D8F">
        <w:t xml:space="preserve">having a </w:t>
      </w:r>
      <w:r w:rsidRPr="00725D8F">
        <w:rPr>
          <w:i/>
        </w:rPr>
        <w:t>Helicobacter pylori</w:t>
      </w:r>
      <w:r w:rsidRPr="00725D8F">
        <w:t xml:space="preserve"> infection of the gastric mucosa before the clinical </w:t>
      </w:r>
      <w:r w:rsidRPr="001F536D">
        <w:t>worsening of chronic gastritis;</w:t>
      </w:r>
    </w:p>
    <w:p w:rsidR="003D74FB" w:rsidRPr="001F536D" w:rsidRDefault="003D74FB" w:rsidP="003D74FB">
      <w:pPr>
        <w:pStyle w:val="LV3"/>
        <w:numPr>
          <w:ilvl w:val="2"/>
          <w:numId w:val="4"/>
        </w:numPr>
        <w:spacing w:after="120"/>
        <w:ind w:left="1985"/>
        <w:contextualSpacing w:val="0"/>
      </w:pPr>
      <w:r w:rsidRPr="001F536D">
        <w:t xml:space="preserve">having </w:t>
      </w:r>
      <w:r w:rsidRPr="001F536D">
        <w:rPr>
          <w:i/>
        </w:rPr>
        <w:t xml:space="preserve">Helicobacter </w:t>
      </w:r>
      <w:proofErr w:type="spellStart"/>
      <w:r w:rsidRPr="001F536D">
        <w:rPr>
          <w:i/>
        </w:rPr>
        <w:t>heilmannii</w:t>
      </w:r>
      <w:proofErr w:type="spellEnd"/>
      <w:r w:rsidRPr="001F536D">
        <w:rPr>
          <w:i/>
        </w:rPr>
        <w:t xml:space="preserve"> </w:t>
      </w:r>
      <w:proofErr w:type="spellStart"/>
      <w:r w:rsidRPr="001F536D">
        <w:rPr>
          <w:i/>
        </w:rPr>
        <w:t>sensu</w:t>
      </w:r>
      <w:proofErr w:type="spellEnd"/>
      <w:r w:rsidRPr="001F536D">
        <w:rPr>
          <w:i/>
        </w:rPr>
        <w:t xml:space="preserve"> </w:t>
      </w:r>
      <w:proofErr w:type="spellStart"/>
      <w:r w:rsidRPr="001F536D">
        <w:rPr>
          <w:i/>
        </w:rPr>
        <w:t>lato</w:t>
      </w:r>
      <w:proofErr w:type="spellEnd"/>
      <w:r w:rsidRPr="001F536D">
        <w:t xml:space="preserve"> infection of the gastric mucosa before the clinical worsening of chronic gastritis;</w:t>
      </w:r>
    </w:p>
    <w:p w:rsidR="003D74FB" w:rsidRPr="001F536D" w:rsidRDefault="003D74FB" w:rsidP="003D74FB">
      <w:pPr>
        <w:pStyle w:val="Note1"/>
      </w:pPr>
      <w:r w:rsidRPr="001F536D">
        <w:t xml:space="preserve">Note: </w:t>
      </w:r>
      <w:r w:rsidRPr="001F536D">
        <w:rPr>
          <w:b/>
          <w:i/>
          <w:szCs w:val="24"/>
        </w:rPr>
        <w:t xml:space="preserve">Helicobacter </w:t>
      </w:r>
      <w:proofErr w:type="spellStart"/>
      <w:r w:rsidRPr="001F536D">
        <w:rPr>
          <w:b/>
          <w:i/>
          <w:szCs w:val="24"/>
        </w:rPr>
        <w:t>heilmannii</w:t>
      </w:r>
      <w:proofErr w:type="spellEnd"/>
      <w:r w:rsidRPr="001F536D">
        <w:rPr>
          <w:b/>
          <w:i/>
          <w:szCs w:val="24"/>
        </w:rPr>
        <w:t xml:space="preserve"> </w:t>
      </w:r>
      <w:proofErr w:type="spellStart"/>
      <w:r w:rsidRPr="001F536D">
        <w:rPr>
          <w:b/>
          <w:i/>
          <w:szCs w:val="24"/>
        </w:rPr>
        <w:t>sensu</w:t>
      </w:r>
      <w:proofErr w:type="spellEnd"/>
      <w:r w:rsidRPr="001F536D">
        <w:rPr>
          <w:b/>
          <w:i/>
          <w:szCs w:val="24"/>
        </w:rPr>
        <w:t xml:space="preserve"> </w:t>
      </w:r>
      <w:proofErr w:type="spellStart"/>
      <w:r w:rsidRPr="001F536D">
        <w:rPr>
          <w:b/>
          <w:i/>
          <w:szCs w:val="24"/>
        </w:rPr>
        <w:t>lato</w:t>
      </w:r>
      <w:proofErr w:type="spellEnd"/>
      <w:r w:rsidRPr="001F536D">
        <w:rPr>
          <w:b/>
          <w:i/>
          <w:szCs w:val="24"/>
        </w:rPr>
        <w:t xml:space="preserve"> </w:t>
      </w:r>
      <w:r w:rsidRPr="001F536D">
        <w:t>is defined in the Schedule 1 - Dictionary.</w:t>
      </w:r>
    </w:p>
    <w:p w:rsidR="003D74FB" w:rsidRPr="001F536D" w:rsidRDefault="003D74FB" w:rsidP="003D74FB">
      <w:pPr>
        <w:pStyle w:val="LV3"/>
        <w:numPr>
          <w:ilvl w:val="2"/>
          <w:numId w:val="4"/>
        </w:numPr>
        <w:spacing w:after="120"/>
        <w:ind w:left="1985"/>
        <w:contextualSpacing w:val="0"/>
      </w:pPr>
      <w:r w:rsidRPr="001F536D">
        <w:t>having an infection of the gastric mucosa from the specified list of infections at the time of the clinical worsening of chronic gastritis;</w:t>
      </w:r>
    </w:p>
    <w:p w:rsidR="003D74FB" w:rsidRPr="001F536D" w:rsidRDefault="003D74FB" w:rsidP="003D74FB">
      <w:pPr>
        <w:pStyle w:val="Note1"/>
      </w:pPr>
      <w:r w:rsidRPr="001F536D">
        <w:t xml:space="preserve">Note: </w:t>
      </w:r>
      <w:r w:rsidRPr="001F536D">
        <w:rPr>
          <w:b/>
          <w:i/>
        </w:rPr>
        <w:t>specified list of infections</w:t>
      </w:r>
      <w:r w:rsidRPr="001F536D">
        <w:t xml:space="preserve"> is defined in the Schedule 1 - Dictionary.</w:t>
      </w:r>
    </w:p>
    <w:p w:rsidR="003D74FB" w:rsidRPr="001F536D" w:rsidRDefault="003D74FB" w:rsidP="003D74FB">
      <w:pPr>
        <w:pStyle w:val="LV3"/>
        <w:numPr>
          <w:ilvl w:val="2"/>
          <w:numId w:val="4"/>
        </w:numPr>
        <w:spacing w:after="120"/>
        <w:ind w:left="1985"/>
        <w:contextualSpacing w:val="0"/>
      </w:pPr>
      <w:r w:rsidRPr="001F536D">
        <w:t>being in an immunocompromised state as specified at the time of the clinical worsening of chronic gastritis;</w:t>
      </w:r>
      <w:r w:rsidR="00915E0C">
        <w:t xml:space="preserve"> or</w:t>
      </w:r>
    </w:p>
    <w:p w:rsidR="003D74FB" w:rsidRPr="001F536D" w:rsidRDefault="003D74FB" w:rsidP="003D74FB">
      <w:pPr>
        <w:pStyle w:val="Note1"/>
        <w:ind w:left="2439" w:hanging="454"/>
      </w:pPr>
      <w:r w:rsidRPr="001F536D">
        <w:t xml:space="preserve">Note: </w:t>
      </w:r>
      <w:r w:rsidRPr="001F536D">
        <w:rPr>
          <w:b/>
          <w:i/>
        </w:rPr>
        <w:t>immunocompromised state as specified</w:t>
      </w:r>
      <w:r w:rsidRPr="001F536D">
        <w:t xml:space="preserve"> is defined in the Schedule</w:t>
      </w:r>
      <w:r w:rsidR="007853B6">
        <w:t> </w:t>
      </w:r>
      <w:r w:rsidRPr="001F536D">
        <w:t>1</w:t>
      </w:r>
      <w:r w:rsidR="007853B6">
        <w:t> </w:t>
      </w:r>
      <w:r w:rsidRPr="001F536D">
        <w:t>-</w:t>
      </w:r>
      <w:r w:rsidR="007853B6">
        <w:t> </w:t>
      </w:r>
      <w:bookmarkStart w:id="28" w:name="_GoBack"/>
      <w:bookmarkEnd w:id="28"/>
      <w:r w:rsidRPr="001F536D">
        <w:t>Dictionary.</w:t>
      </w:r>
    </w:p>
    <w:p w:rsidR="003D74FB" w:rsidRDefault="003D74FB" w:rsidP="003D74FB">
      <w:pPr>
        <w:pStyle w:val="LV3"/>
        <w:numPr>
          <w:ilvl w:val="2"/>
          <w:numId w:val="4"/>
        </w:numPr>
        <w:spacing w:after="120"/>
        <w:ind w:left="1985"/>
        <w:contextualSpacing w:val="0"/>
      </w:pPr>
      <w:r w:rsidRPr="001F536D">
        <w:t xml:space="preserve">taking an immune checkpoint inhibitor for at least the 4 weeks before the clinical worsening </w:t>
      </w:r>
      <w:r w:rsidRPr="009132BF">
        <w:t>of chronic gastritis;</w:t>
      </w:r>
    </w:p>
    <w:p w:rsidR="003D74FB" w:rsidRDefault="003D74FB" w:rsidP="003D74FB">
      <w:pPr>
        <w:pStyle w:val="Note1"/>
        <w:ind w:left="2439" w:hanging="454"/>
      </w:pPr>
      <w:r w:rsidRPr="009132BF">
        <w:t xml:space="preserve">Note: Examples of immune checkpoint inhibitors include </w:t>
      </w:r>
      <w:proofErr w:type="spellStart"/>
      <w:r w:rsidRPr="009132BF">
        <w:t>ipilimumab</w:t>
      </w:r>
      <w:proofErr w:type="spellEnd"/>
      <w:r w:rsidRPr="009132BF">
        <w:t xml:space="preserve">, </w:t>
      </w:r>
      <w:proofErr w:type="spellStart"/>
      <w:r w:rsidRPr="009132BF">
        <w:t>tremelimumab</w:t>
      </w:r>
      <w:proofErr w:type="spellEnd"/>
      <w:r w:rsidRPr="009132BF">
        <w:t xml:space="preserve">, </w:t>
      </w:r>
      <w:proofErr w:type="spellStart"/>
      <w:r w:rsidRPr="009132BF">
        <w:t>nivolumab</w:t>
      </w:r>
      <w:proofErr w:type="spellEnd"/>
      <w:r w:rsidRPr="009132BF">
        <w:t xml:space="preserve"> and </w:t>
      </w:r>
      <w:proofErr w:type="spellStart"/>
      <w:r w:rsidRPr="009132BF">
        <w:t>pembrolizumab</w:t>
      </w:r>
      <w:proofErr w:type="spellEnd"/>
      <w:r w:rsidRPr="009132BF">
        <w:t>.</w:t>
      </w:r>
    </w:p>
    <w:p w:rsidR="007C7DEE" w:rsidRPr="008D1B8B" w:rsidRDefault="007C7DEE" w:rsidP="004842E0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B60AA9">
        <w:t>chronic gastritis or</w:t>
      </w:r>
      <w:r w:rsidR="003D74FB" w:rsidRPr="003D74FB">
        <w:t xml:space="preserve"> chronic gastropathy</w:t>
      </w:r>
      <w:r w:rsidR="00D5620B" w:rsidRPr="008D1B8B">
        <w:t>.</w:t>
      </w:r>
      <w:bookmarkEnd w:id="27"/>
    </w:p>
    <w:p w:rsidR="000C21A3" w:rsidRPr="00684C0E" w:rsidRDefault="00D32F71" w:rsidP="00B60AA9">
      <w:pPr>
        <w:pStyle w:val="LV1"/>
        <w:keepNext/>
      </w:pPr>
      <w:bookmarkStart w:id="29" w:name="_Toc512513551"/>
      <w:bookmarkStart w:id="30" w:name="_Ref402530057"/>
      <w:r>
        <w:lastRenderedPageBreak/>
        <w:t>Relationship to s</w:t>
      </w:r>
      <w:r w:rsidR="000C21A3" w:rsidRPr="00684C0E">
        <w:t>ervice</w:t>
      </w:r>
      <w:bookmarkEnd w:id="29"/>
    </w:p>
    <w:p w:rsidR="00F03C06" w:rsidRPr="00187DE1" w:rsidRDefault="00F03C06" w:rsidP="00B60AA9">
      <w:pPr>
        <w:pStyle w:val="LV2"/>
        <w:keepNext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472812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B60AA9">
        <w:t>3</w:t>
      </w:r>
      <w:r w:rsidR="00FF1D47">
        <w:t>)</w:t>
      </w:r>
      <w:r w:rsidR="009E7327">
        <w:t xml:space="preserve"> to</w:t>
      </w:r>
      <w:r w:rsidR="00B60AA9">
        <w:t xml:space="preserve"> 9(10)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3D74FB" w:rsidRPr="003D74FB">
        <w:t xml:space="preserve">chronic gastritis </w:t>
      </w:r>
      <w:r w:rsidR="00B60AA9">
        <w:t xml:space="preserve">or </w:t>
      </w:r>
      <w:r w:rsidR="003D74FB" w:rsidRPr="003D74FB">
        <w:t>chronic gastropathy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3D74FB" w:rsidRPr="003D74FB">
        <w:t xml:space="preserve">chronic gastritis </w:t>
      </w:r>
      <w:r w:rsidR="00B60AA9">
        <w:t>or</w:t>
      </w:r>
      <w:r w:rsidR="003D74FB" w:rsidRPr="003D74FB">
        <w:t xml:space="preserve"> chronic gastropathy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472812">
      <w:pPr>
        <w:pStyle w:val="LV1"/>
      </w:pPr>
      <w:bookmarkStart w:id="31" w:name="_Toc51251355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72812">
      <w:pPr>
        <w:pStyle w:val="PlainIndent"/>
      </w:pP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1251355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12513554"/>
      <w:r w:rsidRPr="00D97BB3">
        <w:t>Definitions</w:t>
      </w:r>
      <w:bookmarkEnd w:id="35"/>
      <w:bookmarkEnd w:id="36"/>
    </w:p>
    <w:p w:rsidR="00702C42" w:rsidRPr="00516768" w:rsidRDefault="00702C42" w:rsidP="00472812">
      <w:pPr>
        <w:pStyle w:val="SH2"/>
      </w:pPr>
      <w:r w:rsidRPr="00516768">
        <w:t>In this instrument:</w:t>
      </w:r>
    </w:p>
    <w:p w:rsidR="00B60AA9" w:rsidRPr="00513D05" w:rsidRDefault="00DC73BD" w:rsidP="00B60AA9">
      <w:pPr>
        <w:pStyle w:val="SH3"/>
        <w:ind w:left="851" w:hanging="851"/>
      </w:pPr>
      <w:bookmarkStart w:id="37" w:name="_Ref402530810"/>
      <w:proofErr w:type="gramStart"/>
      <w:r w:rsidRPr="00DC73BD">
        <w:rPr>
          <w:b/>
          <w:i/>
        </w:rPr>
        <w:t>chronic</w:t>
      </w:r>
      <w:proofErr w:type="gramEnd"/>
      <w:r w:rsidRPr="00DC73BD">
        <w:rPr>
          <w:b/>
          <w:i/>
        </w:rPr>
        <w:t xml:space="preserve"> gastritis and chronic </w:t>
      </w:r>
      <w:proofErr w:type="spellStart"/>
      <w:r w:rsidRPr="00DC73BD">
        <w:rPr>
          <w:b/>
          <w:i/>
        </w:rPr>
        <w:t>gastropathy</w:t>
      </w:r>
      <w:proofErr w:type="spellEnd"/>
      <w:r w:rsidR="00B60AA9" w:rsidRPr="00513D05">
        <w:t>—see subsection</w:t>
      </w:r>
      <w:r w:rsidR="00B60AA9">
        <w:t xml:space="preserve"> 7(2).</w:t>
      </w:r>
    </w:p>
    <w:p w:rsidR="00B60AA9" w:rsidRDefault="00B60AA9" w:rsidP="00B60AA9">
      <w:pPr>
        <w:pStyle w:val="SH3"/>
        <w:ind w:left="851" w:hanging="851"/>
      </w:pPr>
      <w:r w:rsidRPr="002423A6">
        <w:rPr>
          <w:b/>
          <w:i/>
        </w:rPr>
        <w:t>chronic renal failure</w:t>
      </w:r>
      <w:r w:rsidRPr="002423A6">
        <w:t xml:space="preserve"> means:</w:t>
      </w:r>
    </w:p>
    <w:p w:rsidR="00B60AA9" w:rsidRDefault="00B60AA9" w:rsidP="00B60AA9">
      <w:pPr>
        <w:pStyle w:val="SH4"/>
      </w:pPr>
      <w:r>
        <w:t>having a glomerular filtration rate of less than 15 mL/min/1.73 m</w:t>
      </w:r>
      <w:r w:rsidRPr="00BA583F">
        <w:rPr>
          <w:vertAlign w:val="superscript"/>
        </w:rPr>
        <w:t>2</w:t>
      </w:r>
      <w:r>
        <w:t xml:space="preserve"> for a period of at least </w:t>
      </w:r>
      <w:r w:rsidR="007208B2">
        <w:t xml:space="preserve">3 </w:t>
      </w:r>
      <w:r>
        <w:t xml:space="preserve">months; or </w:t>
      </w:r>
    </w:p>
    <w:p w:rsidR="00B60AA9" w:rsidRDefault="00B60AA9" w:rsidP="00B60AA9">
      <w:pPr>
        <w:pStyle w:val="SH4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B60AA9" w:rsidRPr="002423A6" w:rsidRDefault="00B60AA9" w:rsidP="00B60AA9">
      <w:pPr>
        <w:pStyle w:val="SH4"/>
      </w:pPr>
      <w:proofErr w:type="gramStart"/>
      <w:r>
        <w:t>undergoing</w:t>
      </w:r>
      <w:proofErr w:type="gramEnd"/>
      <w:r>
        <w:t xml:space="preserve"> chronic dialysis.</w:t>
      </w:r>
    </w:p>
    <w:p w:rsidR="00B60AA9" w:rsidRDefault="00B60AA9" w:rsidP="00B60AA9">
      <w:pPr>
        <w:pStyle w:val="SH3"/>
      </w:pPr>
      <w:r w:rsidRPr="00FC2ECC">
        <w:rPr>
          <w:b/>
          <w:i/>
        </w:rPr>
        <w:t xml:space="preserve">Helicobacter </w:t>
      </w:r>
      <w:proofErr w:type="spellStart"/>
      <w:r w:rsidRPr="00FC2ECC">
        <w:rPr>
          <w:b/>
          <w:i/>
        </w:rPr>
        <w:t>heilmannii</w:t>
      </w:r>
      <w:proofErr w:type="spellEnd"/>
      <w:r w:rsidRPr="00FC2ECC">
        <w:rPr>
          <w:b/>
          <w:i/>
        </w:rPr>
        <w:t xml:space="preserve"> </w:t>
      </w:r>
      <w:proofErr w:type="spellStart"/>
      <w:r w:rsidRPr="00FC2ECC">
        <w:rPr>
          <w:b/>
          <w:i/>
        </w:rPr>
        <w:t>sensu</w:t>
      </w:r>
      <w:proofErr w:type="spellEnd"/>
      <w:r w:rsidRPr="00FC2ECC">
        <w:rPr>
          <w:b/>
          <w:i/>
        </w:rPr>
        <w:t xml:space="preserve"> </w:t>
      </w:r>
      <w:proofErr w:type="spellStart"/>
      <w:r w:rsidRPr="00FC2ECC">
        <w:rPr>
          <w:b/>
          <w:i/>
        </w:rPr>
        <w:t>lato</w:t>
      </w:r>
      <w:proofErr w:type="spellEnd"/>
      <w:r w:rsidRPr="00FC2ECC">
        <w:t xml:space="preserve"> means species of </w:t>
      </w:r>
      <w:r w:rsidRPr="00FC2ECC">
        <w:rPr>
          <w:i/>
        </w:rPr>
        <w:t>Helicobacter</w:t>
      </w:r>
      <w:r w:rsidRPr="00FC2ECC">
        <w:t xml:space="preserve"> other than </w:t>
      </w:r>
      <w:r w:rsidRPr="00FC2ECC">
        <w:rPr>
          <w:i/>
        </w:rPr>
        <w:t>Helicobacter pylori</w:t>
      </w:r>
      <w:r w:rsidRPr="00FC2ECC">
        <w:t xml:space="preserve">, including </w:t>
      </w:r>
      <w:r w:rsidRPr="00FC2ECC">
        <w:rPr>
          <w:i/>
        </w:rPr>
        <w:t xml:space="preserve">Helicobacter </w:t>
      </w:r>
      <w:proofErr w:type="spellStart"/>
      <w:proofErr w:type="gramStart"/>
      <w:r w:rsidRPr="00FC2ECC">
        <w:rPr>
          <w:i/>
        </w:rPr>
        <w:t>suis</w:t>
      </w:r>
      <w:proofErr w:type="spellEnd"/>
      <w:proofErr w:type="gramEnd"/>
      <w:r w:rsidRPr="00FC2ECC">
        <w:t xml:space="preserve">, </w:t>
      </w:r>
      <w:r w:rsidRPr="00FC2ECC">
        <w:rPr>
          <w:i/>
        </w:rPr>
        <w:t xml:space="preserve">Helicobacter </w:t>
      </w:r>
      <w:proofErr w:type="spellStart"/>
      <w:r w:rsidRPr="00FC2ECC">
        <w:rPr>
          <w:i/>
        </w:rPr>
        <w:t>felis</w:t>
      </w:r>
      <w:proofErr w:type="spellEnd"/>
      <w:r w:rsidRPr="00FC2ECC">
        <w:t xml:space="preserve">, </w:t>
      </w:r>
      <w:r w:rsidRPr="00FC2ECC">
        <w:rPr>
          <w:i/>
        </w:rPr>
        <w:t xml:space="preserve">Helicobacter </w:t>
      </w:r>
      <w:proofErr w:type="spellStart"/>
      <w:r w:rsidRPr="00FC2ECC">
        <w:rPr>
          <w:i/>
        </w:rPr>
        <w:t>bizzozeronii</w:t>
      </w:r>
      <w:proofErr w:type="spellEnd"/>
      <w:r w:rsidRPr="00FC2ECC">
        <w:t xml:space="preserve">, </w:t>
      </w:r>
      <w:r w:rsidRPr="00FC2ECC">
        <w:rPr>
          <w:i/>
        </w:rPr>
        <w:t xml:space="preserve">Helicobacter </w:t>
      </w:r>
      <w:proofErr w:type="spellStart"/>
      <w:r w:rsidRPr="00FC2ECC">
        <w:rPr>
          <w:i/>
        </w:rPr>
        <w:t>heilmannii</w:t>
      </w:r>
      <w:proofErr w:type="spellEnd"/>
      <w:r w:rsidRPr="00FC2ECC">
        <w:rPr>
          <w:i/>
        </w:rPr>
        <w:t xml:space="preserve"> </w:t>
      </w:r>
      <w:proofErr w:type="spellStart"/>
      <w:r w:rsidRPr="00FC2ECC">
        <w:rPr>
          <w:i/>
        </w:rPr>
        <w:t>sensu</w:t>
      </w:r>
      <w:proofErr w:type="spellEnd"/>
      <w:r w:rsidRPr="00FC2ECC">
        <w:rPr>
          <w:i/>
        </w:rPr>
        <w:t xml:space="preserve"> </w:t>
      </w:r>
      <w:proofErr w:type="spellStart"/>
      <w:r w:rsidRPr="00FC2ECC">
        <w:rPr>
          <w:i/>
        </w:rPr>
        <w:t>stricto</w:t>
      </w:r>
      <w:proofErr w:type="spellEnd"/>
      <w:r w:rsidRPr="00FC2ECC">
        <w:t xml:space="preserve"> and </w:t>
      </w:r>
      <w:r w:rsidRPr="00FC2ECC">
        <w:rPr>
          <w:i/>
        </w:rPr>
        <w:t xml:space="preserve">Helicobacter </w:t>
      </w:r>
      <w:proofErr w:type="spellStart"/>
      <w:r w:rsidRPr="00FC2ECC">
        <w:rPr>
          <w:i/>
        </w:rPr>
        <w:t>salomonis</w:t>
      </w:r>
      <w:proofErr w:type="spellEnd"/>
      <w:r w:rsidRPr="00FC2ECC">
        <w:t>.</w:t>
      </w:r>
    </w:p>
    <w:p w:rsidR="00B60AA9" w:rsidRDefault="00B60AA9" w:rsidP="00B60AA9">
      <w:pPr>
        <w:pStyle w:val="SH3"/>
        <w:ind w:left="851" w:hanging="851"/>
      </w:pPr>
      <w:r w:rsidRPr="00F12D5C">
        <w:rPr>
          <w:b/>
          <w:i/>
        </w:rPr>
        <w:t>immunocompromised state as specified</w:t>
      </w:r>
      <w:r w:rsidRPr="00F12D5C">
        <w:t xml:space="preserve"> means a condition of substantially lowered immune function, such as would occur in the following conditions or circumstances:</w:t>
      </w:r>
    </w:p>
    <w:p w:rsidR="00B60AA9" w:rsidRDefault="00B60AA9" w:rsidP="00B60AA9">
      <w:pPr>
        <w:pStyle w:val="SH4"/>
      </w:pPr>
      <w:r>
        <w:t>having a haematological or solid organ malignancy;</w:t>
      </w:r>
    </w:p>
    <w:p w:rsidR="00B60AA9" w:rsidRDefault="00B60AA9" w:rsidP="00B60AA9">
      <w:pPr>
        <w:pStyle w:val="SH4"/>
      </w:pPr>
      <w:r>
        <w:t xml:space="preserve">having chronic renal failure; </w:t>
      </w:r>
    </w:p>
    <w:p w:rsidR="00B60AA9" w:rsidRDefault="00B60AA9" w:rsidP="00B60AA9">
      <w:pPr>
        <w:pStyle w:val="SH4"/>
      </w:pPr>
      <w:r>
        <w:t>having infection with human immunodeficiency virus;</w:t>
      </w:r>
    </w:p>
    <w:p w:rsidR="00B60AA9" w:rsidRDefault="00B60AA9" w:rsidP="00B60AA9">
      <w:pPr>
        <w:pStyle w:val="SH4"/>
      </w:pPr>
      <w:r>
        <w:t xml:space="preserve">having severe malnutrition; </w:t>
      </w:r>
    </w:p>
    <w:p w:rsidR="00B60AA9" w:rsidRDefault="00B60AA9" w:rsidP="00B60AA9">
      <w:pPr>
        <w:pStyle w:val="SH4"/>
      </w:pPr>
      <w:r>
        <w:t>taking an immunosuppressive drug; or</w:t>
      </w:r>
    </w:p>
    <w:p w:rsidR="00B60AA9" w:rsidRDefault="00B60AA9" w:rsidP="00B60AA9">
      <w:pPr>
        <w:pStyle w:val="SH4"/>
      </w:pPr>
      <w:proofErr w:type="gramStart"/>
      <w:r>
        <w:t>undergoing</w:t>
      </w:r>
      <w:proofErr w:type="gramEnd"/>
      <w:r>
        <w:t xml:space="preserve"> solid organ, stem cell or bone marrow transplantation.</w:t>
      </w:r>
    </w:p>
    <w:p w:rsidR="00B60AA9" w:rsidRPr="00FC2ECC" w:rsidRDefault="00B60AA9" w:rsidP="00B60AA9">
      <w:pPr>
        <w:pStyle w:val="ScheduleNote"/>
        <w:ind w:left="1305" w:hanging="454"/>
      </w:pPr>
      <w:r w:rsidRPr="00F12D5C">
        <w:t xml:space="preserve">Note: </w:t>
      </w:r>
      <w:r w:rsidRPr="00F12D5C">
        <w:rPr>
          <w:b/>
          <w:i/>
        </w:rPr>
        <w:t>chronic renal failure</w:t>
      </w:r>
      <w:r w:rsidRPr="00F12D5C">
        <w:t xml:space="preserve"> and </w:t>
      </w:r>
      <w:r w:rsidRPr="00F12D5C">
        <w:rPr>
          <w:b/>
          <w:i/>
        </w:rPr>
        <w:t>immunosuppressive drug</w:t>
      </w:r>
      <w:r w:rsidRPr="00F12D5C">
        <w:t xml:space="preserve"> ar</w:t>
      </w:r>
      <w:r w:rsidR="002135F3">
        <w:t>e also defined in the Schedule </w:t>
      </w:r>
      <w:r w:rsidRPr="00F12D5C">
        <w:t>1</w:t>
      </w:r>
      <w:r w:rsidR="002135F3">
        <w:t> - </w:t>
      </w:r>
      <w:r w:rsidRPr="00F12D5C">
        <w:t>Dictionary.</w:t>
      </w:r>
    </w:p>
    <w:p w:rsidR="00B60AA9" w:rsidRDefault="00B60AA9" w:rsidP="00B60AA9">
      <w:pPr>
        <w:pStyle w:val="SH3"/>
        <w:ind w:left="851" w:hanging="851"/>
      </w:pPr>
      <w:proofErr w:type="gramStart"/>
      <w:r w:rsidRPr="005016E7">
        <w:rPr>
          <w:b/>
          <w:i/>
        </w:rPr>
        <w:t>immunosuppressive</w:t>
      </w:r>
      <w:proofErr w:type="gramEnd"/>
      <w:r w:rsidRPr="005016E7">
        <w:rPr>
          <w:b/>
          <w:i/>
        </w:rPr>
        <w:t xml:space="preserve"> drug</w:t>
      </w:r>
      <w:r w:rsidRPr="005016E7">
        <w:t xml:space="preserve"> means a drug or an agent which results in substantial suppression of immune responses.</w:t>
      </w:r>
    </w:p>
    <w:p w:rsidR="00B60AA9" w:rsidRDefault="00B60AA9" w:rsidP="00B60AA9">
      <w:pPr>
        <w:pStyle w:val="ScheduleNote"/>
      </w:pPr>
      <w:r>
        <w:t xml:space="preserve">Note: Examples of an immunosuppressive drug include: </w:t>
      </w:r>
    </w:p>
    <w:p w:rsidR="00B60AA9" w:rsidRDefault="00B60AA9" w:rsidP="00B60AA9">
      <w:pPr>
        <w:pStyle w:val="ScheduleNote"/>
        <w:spacing w:before="0"/>
        <w:ind w:left="1701" w:right="227" w:hanging="425"/>
      </w:pPr>
      <w:r>
        <w:t>(a)</w:t>
      </w:r>
      <w:r>
        <w:tab/>
      </w:r>
      <w:proofErr w:type="gramStart"/>
      <w:r>
        <w:t>chemotherapeutic</w:t>
      </w:r>
      <w:proofErr w:type="gramEnd"/>
      <w:r>
        <w:t xml:space="preserve"> agents used for the treatment of cancer;</w:t>
      </w:r>
    </w:p>
    <w:p w:rsidR="00B60AA9" w:rsidRDefault="00B60AA9" w:rsidP="00B60AA9">
      <w:pPr>
        <w:pStyle w:val="ScheduleNote"/>
        <w:spacing w:before="0"/>
        <w:ind w:left="1701" w:right="227" w:hanging="425"/>
      </w:pPr>
      <w:r>
        <w:t>(b)</w:t>
      </w:r>
      <w:r>
        <w:tab/>
      </w:r>
      <w:proofErr w:type="gramStart"/>
      <w:r>
        <w:t>corticosteroids</w:t>
      </w:r>
      <w:proofErr w:type="gramEnd"/>
      <w:r>
        <w:t>, other than inhaled or topical corticosteroids;</w:t>
      </w:r>
    </w:p>
    <w:p w:rsidR="00B60AA9" w:rsidRDefault="00B60AA9" w:rsidP="00B60AA9">
      <w:pPr>
        <w:pStyle w:val="ScheduleNote"/>
        <w:spacing w:before="0"/>
        <w:ind w:left="1701" w:right="227" w:hanging="425"/>
      </w:pPr>
      <w:r>
        <w:t>(c)</w:t>
      </w:r>
      <w:r>
        <w:tab/>
      </w:r>
      <w:proofErr w:type="gramStart"/>
      <w:r>
        <w:t>drugs</w:t>
      </w:r>
      <w:proofErr w:type="gramEnd"/>
      <w:r>
        <w:t xml:space="preserve"> used to prevent transplant rejection; and</w:t>
      </w:r>
    </w:p>
    <w:p w:rsidR="00B60AA9" w:rsidRPr="005016E7" w:rsidRDefault="00B60AA9" w:rsidP="00B60AA9">
      <w:pPr>
        <w:pStyle w:val="ScheduleNote"/>
        <w:spacing w:before="0"/>
        <w:ind w:left="1701" w:right="227" w:hanging="425"/>
      </w:pPr>
      <w:r>
        <w:t>(d)</w:t>
      </w:r>
      <w:r>
        <w:tab/>
      </w:r>
      <w:proofErr w:type="gramStart"/>
      <w:r>
        <w:t>tumour</w:t>
      </w:r>
      <w:proofErr w:type="gramEnd"/>
      <w:r>
        <w:t xml:space="preserve"> necrosis factor-α inhibitors.</w:t>
      </w:r>
    </w:p>
    <w:p w:rsidR="00885EAB" w:rsidRPr="009C404D" w:rsidRDefault="00885EAB" w:rsidP="00B60AA9">
      <w:pPr>
        <w:pStyle w:val="SH3"/>
        <w:ind w:left="851" w:hanging="851"/>
      </w:pPr>
      <w:r w:rsidRPr="00B60AA9">
        <w:rPr>
          <w:b/>
          <w:i/>
        </w:rPr>
        <w:t>MRCA</w:t>
      </w:r>
      <w:r w:rsidRPr="00B60AA9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B60AA9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are also defined in the Schedule 1 - Dictionary.</w:t>
      </w:r>
    </w:p>
    <w:p w:rsidR="00B60AA9" w:rsidRPr="00B60AA9" w:rsidRDefault="00B60AA9" w:rsidP="00984EE9">
      <w:pPr>
        <w:pStyle w:val="SH3"/>
        <w:ind w:left="851" w:hanging="851"/>
      </w:pPr>
    </w:p>
    <w:p w:rsidR="00B60AA9" w:rsidRDefault="00B60AA9" w:rsidP="00B60AA9">
      <w:pPr>
        <w:pStyle w:val="SH3"/>
        <w:ind w:left="851" w:hanging="851"/>
      </w:pPr>
      <w:r w:rsidRPr="00CD5B6B">
        <w:rPr>
          <w:b/>
          <w:i/>
        </w:rPr>
        <w:lastRenderedPageBreak/>
        <w:t>Specified List</w:t>
      </w:r>
      <w:r w:rsidRPr="00CD5B6B">
        <w:t xml:space="preserve"> </w:t>
      </w:r>
      <w:r w:rsidRPr="00BA583F">
        <w:rPr>
          <w:b/>
          <w:i/>
        </w:rPr>
        <w:t>1 of drugs</w:t>
      </w:r>
      <w:r w:rsidRPr="00CD5B6B">
        <w:t xml:space="preserve"> means:</w:t>
      </w:r>
    </w:p>
    <w:p w:rsidR="00B60AA9" w:rsidRDefault="00B60AA9" w:rsidP="00B60AA9">
      <w:pPr>
        <w:pStyle w:val="SH4"/>
      </w:pPr>
      <w:r>
        <w:t xml:space="preserve">antiretroviral therapy; </w:t>
      </w:r>
    </w:p>
    <w:p w:rsidR="00B60AA9" w:rsidRDefault="00B60AA9" w:rsidP="00B60AA9">
      <w:pPr>
        <w:pStyle w:val="SH4"/>
      </w:pPr>
      <w:r>
        <w:t xml:space="preserve">chemotherapeutic agents delivered by hepatic arterial infusion; </w:t>
      </w:r>
    </w:p>
    <w:p w:rsidR="00B60AA9" w:rsidRDefault="00B60AA9" w:rsidP="00B60AA9">
      <w:pPr>
        <w:pStyle w:val="SH4"/>
      </w:pPr>
      <w:r>
        <w:t xml:space="preserve">colchicine; </w:t>
      </w:r>
    </w:p>
    <w:p w:rsidR="00B60AA9" w:rsidRDefault="00B60AA9" w:rsidP="00B60AA9">
      <w:pPr>
        <w:pStyle w:val="SH4"/>
      </w:pPr>
      <w:r>
        <w:t xml:space="preserve">dabigatran etexilate; </w:t>
      </w:r>
    </w:p>
    <w:p w:rsidR="00B60AA9" w:rsidRDefault="00B60AA9" w:rsidP="00B60AA9">
      <w:pPr>
        <w:pStyle w:val="SH4"/>
      </w:pPr>
      <w:r>
        <w:t xml:space="preserve">doxycycline;  </w:t>
      </w:r>
    </w:p>
    <w:p w:rsidR="00B60AA9" w:rsidRDefault="00B60AA9" w:rsidP="00B60AA9">
      <w:pPr>
        <w:pStyle w:val="SH4"/>
      </w:pPr>
      <w:r>
        <w:t xml:space="preserve">non-topical corticosteroids; </w:t>
      </w:r>
    </w:p>
    <w:p w:rsidR="00B60AA9" w:rsidRDefault="00B60AA9" w:rsidP="00B60AA9">
      <w:pPr>
        <w:pStyle w:val="SH4"/>
      </w:pPr>
      <w:r>
        <w:t xml:space="preserve">oral bisphosphonates; </w:t>
      </w:r>
    </w:p>
    <w:p w:rsidR="00B60AA9" w:rsidRDefault="00B60AA9" w:rsidP="00B60AA9">
      <w:pPr>
        <w:pStyle w:val="SH4"/>
      </w:pPr>
      <w:r>
        <w:t xml:space="preserve">oral iron supplements; </w:t>
      </w:r>
    </w:p>
    <w:p w:rsidR="00B60AA9" w:rsidRDefault="00B60AA9" w:rsidP="00B60AA9">
      <w:pPr>
        <w:pStyle w:val="SH4"/>
      </w:pPr>
      <w:r>
        <w:t xml:space="preserve">slow-release potassium chloride; or </w:t>
      </w:r>
    </w:p>
    <w:p w:rsidR="00B60AA9" w:rsidRDefault="00B60AA9" w:rsidP="00B60AA9">
      <w:pPr>
        <w:pStyle w:val="SH4"/>
      </w:pPr>
      <w:proofErr w:type="gramStart"/>
      <w:r>
        <w:t>sodium</w:t>
      </w:r>
      <w:proofErr w:type="gramEnd"/>
      <w:r>
        <w:t xml:space="preserve"> polystyrene sulfonate.</w:t>
      </w:r>
    </w:p>
    <w:p w:rsidR="00B60AA9" w:rsidRDefault="00B60AA9" w:rsidP="00B60AA9">
      <w:pPr>
        <w:pStyle w:val="SH3"/>
        <w:ind w:left="851" w:hanging="851"/>
      </w:pPr>
      <w:r w:rsidRPr="00B44116">
        <w:rPr>
          <w:b/>
          <w:i/>
        </w:rPr>
        <w:t>Specified List 2 of drugs</w:t>
      </w:r>
      <w:r w:rsidRPr="00B44116">
        <w:t xml:space="preserve"> means:</w:t>
      </w:r>
    </w:p>
    <w:p w:rsidR="00B60AA9" w:rsidRDefault="00B60AA9" w:rsidP="00B60AA9">
      <w:pPr>
        <w:pStyle w:val="SH4"/>
      </w:pPr>
      <w:r>
        <w:t xml:space="preserve">anticoagulants; </w:t>
      </w:r>
    </w:p>
    <w:p w:rsidR="00B60AA9" w:rsidRDefault="00B60AA9" w:rsidP="00B60AA9">
      <w:pPr>
        <w:pStyle w:val="SH4"/>
      </w:pPr>
      <w:r>
        <w:t xml:space="preserve">antiretroviral therapy; </w:t>
      </w:r>
    </w:p>
    <w:p w:rsidR="00B60AA9" w:rsidRDefault="00B60AA9" w:rsidP="00B60AA9">
      <w:pPr>
        <w:pStyle w:val="SH4"/>
      </w:pPr>
      <w:r>
        <w:t xml:space="preserve">chemotherapeutic agents delivered by hepatic arterial infusion; </w:t>
      </w:r>
    </w:p>
    <w:p w:rsidR="00B60AA9" w:rsidRDefault="00B60AA9" w:rsidP="00B60AA9">
      <w:pPr>
        <w:pStyle w:val="SH4"/>
      </w:pPr>
      <w:r>
        <w:t xml:space="preserve">colchicine; </w:t>
      </w:r>
    </w:p>
    <w:p w:rsidR="00B60AA9" w:rsidRDefault="00B60AA9" w:rsidP="00B60AA9">
      <w:pPr>
        <w:pStyle w:val="SH4"/>
      </w:pPr>
      <w:r>
        <w:t xml:space="preserve">doxycycline;  </w:t>
      </w:r>
    </w:p>
    <w:p w:rsidR="00B60AA9" w:rsidRDefault="00B60AA9" w:rsidP="00B60AA9">
      <w:pPr>
        <w:pStyle w:val="SH4"/>
      </w:pPr>
      <w:r>
        <w:t xml:space="preserve">non-topical corticosteroids; </w:t>
      </w:r>
    </w:p>
    <w:p w:rsidR="00B60AA9" w:rsidRDefault="00B60AA9" w:rsidP="00B60AA9">
      <w:pPr>
        <w:pStyle w:val="SH4"/>
      </w:pPr>
      <w:r>
        <w:t xml:space="preserve">oral bisphosphonates; </w:t>
      </w:r>
    </w:p>
    <w:p w:rsidR="00B60AA9" w:rsidRDefault="00B60AA9" w:rsidP="00B60AA9">
      <w:pPr>
        <w:pStyle w:val="SH4"/>
      </w:pPr>
      <w:r>
        <w:t xml:space="preserve">oral iron supplements; </w:t>
      </w:r>
    </w:p>
    <w:p w:rsidR="00B60AA9" w:rsidRDefault="00B60AA9" w:rsidP="00B60AA9">
      <w:pPr>
        <w:pStyle w:val="SH4"/>
      </w:pPr>
      <w:r>
        <w:t xml:space="preserve">selective serotonin reuptake inhibitors; </w:t>
      </w:r>
    </w:p>
    <w:p w:rsidR="00B60AA9" w:rsidRDefault="00B60AA9" w:rsidP="00B60AA9">
      <w:pPr>
        <w:pStyle w:val="SH4"/>
      </w:pPr>
      <w:r>
        <w:t xml:space="preserve">slow-release potassium chloride; or </w:t>
      </w:r>
    </w:p>
    <w:p w:rsidR="00B60AA9" w:rsidRPr="00B44116" w:rsidRDefault="00B60AA9" w:rsidP="00B60AA9">
      <w:pPr>
        <w:pStyle w:val="SH4"/>
      </w:pPr>
      <w:proofErr w:type="gramStart"/>
      <w:r>
        <w:t>sodium</w:t>
      </w:r>
      <w:proofErr w:type="gramEnd"/>
      <w:r>
        <w:t xml:space="preserve"> polystyrene sulfonate.</w:t>
      </w:r>
    </w:p>
    <w:p w:rsidR="00B60AA9" w:rsidRDefault="00B60AA9" w:rsidP="00B60AA9">
      <w:pPr>
        <w:pStyle w:val="SH3"/>
        <w:ind w:left="851" w:hanging="851"/>
      </w:pPr>
      <w:r w:rsidRPr="008671AE">
        <w:rPr>
          <w:b/>
          <w:i/>
        </w:rPr>
        <w:t>specified list of infections</w:t>
      </w:r>
      <w:r w:rsidRPr="008671AE">
        <w:t xml:space="preserve"> means:</w:t>
      </w:r>
    </w:p>
    <w:p w:rsidR="00B60AA9" w:rsidRDefault="00B60AA9" w:rsidP="00B60AA9">
      <w:pPr>
        <w:pStyle w:val="SH4"/>
      </w:pPr>
      <w:r>
        <w:t xml:space="preserve">actinomycosis; </w:t>
      </w:r>
    </w:p>
    <w:p w:rsidR="00B60AA9" w:rsidRDefault="00B60AA9" w:rsidP="00B60AA9">
      <w:pPr>
        <w:pStyle w:val="SH4"/>
      </w:pPr>
      <w:r>
        <w:t xml:space="preserve">basidiobolomycosis; </w:t>
      </w:r>
    </w:p>
    <w:p w:rsidR="00B60AA9" w:rsidRDefault="00B60AA9" w:rsidP="00B60AA9">
      <w:pPr>
        <w:pStyle w:val="SH4"/>
      </w:pPr>
      <w:r>
        <w:t xml:space="preserve">cytomegalovirus infection; </w:t>
      </w:r>
    </w:p>
    <w:p w:rsidR="00B60AA9" w:rsidRDefault="00B60AA9" w:rsidP="00B60AA9">
      <w:pPr>
        <w:pStyle w:val="SH4"/>
      </w:pPr>
      <w:r>
        <w:t xml:space="preserve">Epstein-Barr virus infection; </w:t>
      </w:r>
    </w:p>
    <w:p w:rsidR="00B60AA9" w:rsidRDefault="00B60AA9" w:rsidP="00B60AA9">
      <w:pPr>
        <w:pStyle w:val="SH4"/>
      </w:pPr>
      <w:r>
        <w:t xml:space="preserve">herpes simplex virus infection; </w:t>
      </w:r>
    </w:p>
    <w:p w:rsidR="00B60AA9" w:rsidRDefault="00B60AA9" w:rsidP="00B60AA9">
      <w:pPr>
        <w:pStyle w:val="SH4"/>
      </w:pPr>
      <w:r>
        <w:t xml:space="preserve">histoplasmosis; </w:t>
      </w:r>
    </w:p>
    <w:p w:rsidR="00B60AA9" w:rsidRDefault="00B60AA9" w:rsidP="00B60AA9">
      <w:pPr>
        <w:pStyle w:val="SH4"/>
      </w:pPr>
      <w:r>
        <w:t xml:space="preserve">human herpesvirus-6 infection; </w:t>
      </w:r>
    </w:p>
    <w:p w:rsidR="00B60AA9" w:rsidRDefault="00B60AA9" w:rsidP="00B60AA9">
      <w:pPr>
        <w:pStyle w:val="SH4"/>
      </w:pPr>
      <w:r>
        <w:t xml:space="preserve">leishmaniasis; </w:t>
      </w:r>
    </w:p>
    <w:p w:rsidR="00B60AA9" w:rsidRDefault="00B60AA9" w:rsidP="00B60AA9">
      <w:pPr>
        <w:pStyle w:val="SH4"/>
      </w:pPr>
      <w:r>
        <w:t xml:space="preserve">mucormycosis; </w:t>
      </w:r>
    </w:p>
    <w:p w:rsidR="00B60AA9" w:rsidRDefault="00B60AA9" w:rsidP="00B60AA9">
      <w:pPr>
        <w:pStyle w:val="SH4"/>
      </w:pPr>
      <w:r w:rsidRPr="00F12D5C">
        <w:rPr>
          <w:i/>
        </w:rPr>
        <w:t>Sarcina ventriculi</w:t>
      </w:r>
      <w:r>
        <w:t xml:space="preserve"> infection; </w:t>
      </w:r>
    </w:p>
    <w:p w:rsidR="00B60AA9" w:rsidRDefault="00B60AA9" w:rsidP="00B60AA9">
      <w:pPr>
        <w:pStyle w:val="SH4"/>
      </w:pPr>
      <w:r>
        <w:t xml:space="preserve">strongyloidiasis; or </w:t>
      </w:r>
    </w:p>
    <w:p w:rsidR="00B60AA9" w:rsidRDefault="00B60AA9" w:rsidP="00B60AA9">
      <w:pPr>
        <w:pStyle w:val="SH4"/>
      </w:pPr>
      <w:r w:rsidRPr="00F12D5C">
        <w:rPr>
          <w:i/>
        </w:rPr>
        <w:t>Treponema pallidum</w:t>
      </w:r>
      <w:r>
        <w:t xml:space="preserve"> infection (syphilis).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DC73BD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C73BD">
            <w:rPr>
              <w:i/>
              <w:sz w:val="18"/>
              <w:szCs w:val="18"/>
            </w:rPr>
            <w:t xml:space="preserve">Chronic Gastritis And Chronic </w:t>
          </w:r>
          <w:proofErr w:type="spellStart"/>
          <w:r w:rsidRPr="00DC73BD">
            <w:rPr>
              <w:i/>
              <w:sz w:val="18"/>
              <w:szCs w:val="18"/>
            </w:rPr>
            <w:t>Gastropathy</w:t>
          </w:r>
          <w:proofErr w:type="spellEnd"/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DC73BD">
            <w:rPr>
              <w:i/>
              <w:sz w:val="18"/>
              <w:szCs w:val="18"/>
            </w:rPr>
            <w:t>102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DC73BD">
            <w:rPr>
              <w:i/>
              <w:sz w:val="18"/>
              <w:szCs w:val="18"/>
            </w:rPr>
            <w:t>2021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853B6">
            <w:rPr>
              <w:i/>
              <w:noProof/>
              <w:sz w:val="18"/>
            </w:rPr>
            <w:t>9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853B6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DC73BD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C73BD">
            <w:rPr>
              <w:i/>
              <w:sz w:val="18"/>
              <w:szCs w:val="18"/>
            </w:rPr>
            <w:t xml:space="preserve">Chronic Gastritis And Chronic </w:t>
          </w:r>
          <w:proofErr w:type="spellStart"/>
          <w:r w:rsidRPr="00DC73BD">
            <w:rPr>
              <w:i/>
              <w:sz w:val="18"/>
              <w:szCs w:val="18"/>
            </w:rPr>
            <w:t>Gastropathy</w:t>
          </w:r>
          <w:proofErr w:type="spellEnd"/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DC73BD">
            <w:rPr>
              <w:i/>
              <w:sz w:val="18"/>
              <w:szCs w:val="18"/>
            </w:rPr>
            <w:t>102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DC73BD">
            <w:rPr>
              <w:i/>
              <w:sz w:val="18"/>
              <w:szCs w:val="18"/>
            </w:rPr>
            <w:t>2021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72F9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72F9E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67316"/>
    <w:rsid w:val="00072F9E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21607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A5DB9"/>
    <w:rsid w:val="001B02B4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35F3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478EC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85915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D74FB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61D5E"/>
    <w:rsid w:val="00571FBB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2CEF"/>
    <w:rsid w:val="00695023"/>
    <w:rsid w:val="00695D58"/>
    <w:rsid w:val="006B5789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208B2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853B6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5101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15E0C"/>
    <w:rsid w:val="009254C3"/>
    <w:rsid w:val="00925CA9"/>
    <w:rsid w:val="00926C44"/>
    <w:rsid w:val="00932377"/>
    <w:rsid w:val="00941893"/>
    <w:rsid w:val="00947D5A"/>
    <w:rsid w:val="009532A5"/>
    <w:rsid w:val="00956922"/>
    <w:rsid w:val="009575B9"/>
    <w:rsid w:val="009612CF"/>
    <w:rsid w:val="00962BFE"/>
    <w:rsid w:val="009724F4"/>
    <w:rsid w:val="00973808"/>
    <w:rsid w:val="00982242"/>
    <w:rsid w:val="00984EE9"/>
    <w:rsid w:val="00985EC2"/>
    <w:rsid w:val="009868E9"/>
    <w:rsid w:val="00997416"/>
    <w:rsid w:val="009B5A4E"/>
    <w:rsid w:val="009B6A81"/>
    <w:rsid w:val="009C2B65"/>
    <w:rsid w:val="009C404D"/>
    <w:rsid w:val="009D6BB0"/>
    <w:rsid w:val="009E5CFC"/>
    <w:rsid w:val="009E7327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A4CCC"/>
    <w:rsid w:val="00AA64D6"/>
    <w:rsid w:val="00AA6D8B"/>
    <w:rsid w:val="00AD2DC7"/>
    <w:rsid w:val="00AD5641"/>
    <w:rsid w:val="00AD7889"/>
    <w:rsid w:val="00AD7AC2"/>
    <w:rsid w:val="00AD7DCC"/>
    <w:rsid w:val="00AE510F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0AA9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583F"/>
    <w:rsid w:val="00BA691F"/>
    <w:rsid w:val="00BB4E1A"/>
    <w:rsid w:val="00BB78C9"/>
    <w:rsid w:val="00BC015E"/>
    <w:rsid w:val="00BC76AC"/>
    <w:rsid w:val="00BD0ECB"/>
    <w:rsid w:val="00BD3334"/>
    <w:rsid w:val="00BD5C93"/>
    <w:rsid w:val="00BE0FEB"/>
    <w:rsid w:val="00BE2155"/>
    <w:rsid w:val="00BE2213"/>
    <w:rsid w:val="00BE719A"/>
    <w:rsid w:val="00BE720A"/>
    <w:rsid w:val="00BE7C31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C73BD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F1BC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2029</Words>
  <Characters>11569</Characters>
  <Application>Microsoft Office Word</Application>
  <DocSecurity>0</DocSecurity>
  <PresentationFormat/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2016-12-07T04:48:00Z</dcterms:created>
  <dcterms:modified xsi:type="dcterms:W3CDTF">2021-09-30T23:50:00Z</dcterms:modified>
  <cp:category/>
  <cp:contentStatus/>
  <dc:language/>
  <cp:version/>
</cp:coreProperties>
</file>