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r w:rsidRPr="00024911">
        <w:t>concerning</w:t>
      </w:r>
    </w:p>
    <w:p w:rsidR="00054930" w:rsidRDefault="0081007D" w:rsidP="000D4972">
      <w:pPr>
        <w:pStyle w:val="Plainheader"/>
      </w:pPr>
      <w:bookmarkStart w:id="0" w:name="SoP_Name_Title"/>
      <w:r>
        <w:t>PORPHYRIA CUTANEA TARDA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07503">
        <w:t>70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1007D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07503">
        <w:t>21 May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FC556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FC5569">
        <w:rPr>
          <w:noProof/>
        </w:rPr>
        <w:t>1</w:t>
      </w:r>
      <w:r w:rsidR="00FC556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C5569">
        <w:rPr>
          <w:noProof/>
        </w:rPr>
        <w:t>Name</w:t>
      </w:r>
      <w:r w:rsidR="00FC5569">
        <w:rPr>
          <w:noProof/>
        </w:rPr>
        <w:tab/>
      </w:r>
      <w:r w:rsidR="00FC5569">
        <w:rPr>
          <w:noProof/>
        </w:rPr>
        <w:fldChar w:fldCharType="begin"/>
      </w:r>
      <w:r w:rsidR="00FC5569">
        <w:rPr>
          <w:noProof/>
        </w:rPr>
        <w:instrText xml:space="preserve"> PAGEREF _Toc72333165 \h </w:instrText>
      </w:r>
      <w:r w:rsidR="00FC5569">
        <w:rPr>
          <w:noProof/>
        </w:rPr>
      </w:r>
      <w:r w:rsidR="00FC5569">
        <w:rPr>
          <w:noProof/>
        </w:rPr>
        <w:fldChar w:fldCharType="separate"/>
      </w:r>
      <w:r w:rsidR="00FC5569">
        <w:rPr>
          <w:noProof/>
        </w:rPr>
        <w:t>3</w:t>
      </w:r>
      <w:r w:rsidR="00FC5569"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C5569" w:rsidRDefault="00FC55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C5569" w:rsidRDefault="00FC556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72333165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81007D">
        <w:rPr>
          <w:i/>
        </w:rPr>
        <w:t>p</w:t>
      </w:r>
      <w:r w:rsidR="0081007D" w:rsidRPr="00AF5BD3">
        <w:rPr>
          <w:i/>
        </w:rPr>
        <w:t xml:space="preserve">orphyria </w:t>
      </w:r>
      <w:r w:rsidR="0081007D">
        <w:rPr>
          <w:i/>
        </w:rPr>
        <w:t>cutanea tarda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07503">
        <w:t>70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1007D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72333166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07503">
        <w:t>21 June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72333167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72333168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1007D" w:rsidRPr="0081007D">
        <w:t>porphyria cutanea tarda</w:t>
      </w:r>
      <w:r w:rsidRPr="00DA3996">
        <w:t xml:space="preserve"> No. </w:t>
      </w:r>
      <w:r w:rsidR="0081007D">
        <w:t>44</w:t>
      </w:r>
      <w:r w:rsidRPr="00DA3996">
        <w:t xml:space="preserve"> of </w:t>
      </w:r>
      <w:r w:rsidR="0081007D">
        <w:t>2012</w:t>
      </w:r>
      <w:r>
        <w:t xml:space="preserve"> </w:t>
      </w:r>
      <w:r w:rsidRPr="00786DAE">
        <w:t xml:space="preserve">(Federal Register of </w:t>
      </w:r>
      <w:r w:rsidRPr="0081007D">
        <w:t xml:space="preserve">Legislation No. </w:t>
      </w:r>
      <w:r w:rsidR="0081007D" w:rsidRPr="0081007D">
        <w:rPr>
          <w:color w:val="000000"/>
          <w:shd w:val="clear" w:color="auto" w:fill="FFFFFF"/>
        </w:rPr>
        <w:t>F2012L01358</w:t>
      </w:r>
      <w:r w:rsidRPr="0081007D">
        <w:t>) made</w:t>
      </w:r>
      <w:r w:rsidRPr="00DA3996">
        <w:t xml:space="preserve"> under subsection 196B(</w:t>
      </w:r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72333169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72333170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7233317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1007D" w:rsidRPr="0081007D">
        <w:t>porphyria cutanea tarda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1007D" w:rsidRPr="0081007D">
        <w:t>porphyria cutanea tarda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1007D" w:rsidRPr="0081007D">
        <w:rPr>
          <w:b/>
        </w:rPr>
        <w:t>porphyria cutanea tarda</w:t>
      </w:r>
    </w:p>
    <w:p w:rsidR="0081007D" w:rsidRPr="00237BAF" w:rsidRDefault="000D4972" w:rsidP="0081007D">
      <w:pPr>
        <w:pStyle w:val="LV2"/>
        <w:numPr>
          <w:ilvl w:val="1"/>
          <w:numId w:val="4"/>
        </w:numPr>
        <w:ind w:left="1418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81007D" w:rsidRPr="0081007D">
        <w:t>porphyria cutanea tarda</w:t>
      </w:r>
      <w:r w:rsidR="0081007D">
        <w:t xml:space="preserve"> </w:t>
      </w:r>
      <w:bookmarkEnd w:id="19"/>
      <w:r w:rsidR="0081007D" w:rsidRPr="00AF5BD3">
        <w:t>means a skin disorder resulting from decreased activity of the enzyme uroporphyrinogen decarboxylase in the liver and accumulation of porphyrins in the circulation.</w:t>
      </w:r>
    </w:p>
    <w:p w:rsidR="0081007D" w:rsidRDefault="0081007D" w:rsidP="0081007D">
      <w:pPr>
        <w:pStyle w:val="Note2"/>
        <w:ind w:left="1843" w:hanging="425"/>
      </w:pPr>
      <w:r>
        <w:t xml:space="preserve">Note: </w:t>
      </w:r>
      <w:r w:rsidRPr="00AF5BD3">
        <w:t>Typical clinical manifestations of porphyria cutanea tarda include blistering of the skin in sun-exposed areas, hyperpigmentation and facial hypertrichosis.</w:t>
      </w:r>
    </w:p>
    <w:bookmarkEnd w:id="20"/>
    <w:p w:rsidR="008F572A" w:rsidRPr="00237BAF" w:rsidRDefault="000D4972" w:rsidP="000D4972">
      <w:pPr>
        <w:pStyle w:val="LV2"/>
      </w:pPr>
      <w:r w:rsidRPr="00237BAF">
        <w:t xml:space="preserve">While </w:t>
      </w:r>
      <w:r w:rsidR="0081007D" w:rsidRPr="0081007D">
        <w:t>porphyria cutanea tarda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81007D" w:rsidRPr="005F1BBC">
        <w:t>E80.1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81007D" w:rsidRPr="0081007D">
        <w:t>porphyria cutanea tarda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A93B6B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1007D" w:rsidRPr="0081007D">
        <w:rPr>
          <w:b/>
        </w:rPr>
        <w:t>porphyria cutanea tarda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1007D" w:rsidRPr="0081007D">
        <w:t>porphyria cutanea tarda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81007D" w:rsidRPr="0081007D">
        <w:t>porphyria cutanea tarda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2177D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72333172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1007D" w:rsidRPr="0081007D">
        <w:t>porphyria cutanea tarda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1007D" w:rsidRPr="0081007D">
        <w:t>porphyria cutanea tarda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52177D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7233317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1007D" w:rsidRPr="0081007D">
        <w:t>porphyria cutanea tarda</w:t>
      </w:r>
      <w:r w:rsidR="007A3989">
        <w:t xml:space="preserve"> </w:t>
      </w:r>
      <w:r w:rsidR="007C7DEE" w:rsidRPr="00AA6D8B">
        <w:t xml:space="preserve">or death from </w:t>
      </w:r>
      <w:r w:rsidR="0081007D" w:rsidRPr="0081007D">
        <w:t>porphyria cutanea tarda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81007D" w:rsidRPr="008D1B8B" w:rsidRDefault="0081007D" w:rsidP="0081007D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5F1BBC">
        <w:t xml:space="preserve">for males, consuming a total of at least 100 kilograms of alcohol within the </w:t>
      </w:r>
      <w:r w:rsidR="00916B71">
        <w:t>10</w:t>
      </w:r>
      <w:r w:rsidRPr="005F1BBC">
        <w:t xml:space="preserve"> years before the clinical onset of porphyria cutanea tarda;</w:t>
      </w:r>
    </w:p>
    <w:p w:rsidR="0081007D" w:rsidRPr="00046E67" w:rsidRDefault="0081007D" w:rsidP="0081007D">
      <w:pPr>
        <w:pStyle w:val="Note2"/>
        <w:ind w:left="1843" w:hanging="425"/>
      </w:pPr>
      <w:r>
        <w:t xml:space="preserve">Note: </w:t>
      </w:r>
      <w:r w:rsidRPr="005F1BBC">
        <w:t xml:space="preserve">Alcohol consumption is calculated utilising the Australian Standard of </w:t>
      </w:r>
      <w:r w:rsidR="00916B71">
        <w:t>10</w:t>
      </w:r>
      <w:r w:rsidRPr="005F1BBC">
        <w:t xml:space="preserve"> grams of alcohol per standard alcoholic drink.</w:t>
      </w:r>
      <w:r w:rsidRPr="00046E67">
        <w:tab/>
      </w:r>
      <w:r>
        <w:t xml:space="preserve"> 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t xml:space="preserve">for females, consuming a total of at least 50 kilograms of alcohol within the </w:t>
      </w:r>
      <w:r w:rsidR="00916B71">
        <w:t>10</w:t>
      </w:r>
      <w:r w:rsidRPr="005F1BBC">
        <w:t xml:space="preserve"> years before the clinical onset of porphyria cutanea tarda;</w:t>
      </w:r>
    </w:p>
    <w:p w:rsidR="0081007D" w:rsidRDefault="0081007D" w:rsidP="0081007D">
      <w:pPr>
        <w:pStyle w:val="Note2"/>
        <w:ind w:left="1843" w:hanging="425"/>
      </w:pPr>
      <w:r>
        <w:t xml:space="preserve">Note: </w:t>
      </w:r>
      <w:r w:rsidRPr="005F1BBC">
        <w:t xml:space="preserve">Alcohol consumption is calculated utilising the Australian Standard of </w:t>
      </w:r>
      <w:r w:rsidR="00916B71">
        <w:t>10</w:t>
      </w:r>
      <w:r w:rsidRPr="005F1BBC">
        <w:t xml:space="preserve"> grams of alcohol per standard alcoholic drink.</w:t>
      </w:r>
      <w:r w:rsidRPr="00046E67">
        <w:tab/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t>having alcohol use disorder at the time of the clinical onset of porphyria cutanea tarda;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t>having cirrhosis of the liver or alcoholic steatohepatitis at the time of the clinical onset of porphyria cutanea tarda;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>
        <w:t>having chronic renal failure at the time of the clinical onset of porphyria cutanea tarda;</w:t>
      </w:r>
    </w:p>
    <w:p w:rsidR="0081007D" w:rsidRDefault="0081007D" w:rsidP="0081007D">
      <w:pPr>
        <w:pStyle w:val="Note2"/>
      </w:pPr>
      <w:r>
        <w:t xml:space="preserve">Note: </w:t>
      </w:r>
      <w:r w:rsidRPr="00A726B3">
        <w:rPr>
          <w:b/>
          <w:i/>
        </w:rPr>
        <w:t>chronic renal failure</w:t>
      </w:r>
      <w:r>
        <w:t xml:space="preserve"> is defined in the Schedule 1 - Dictionary.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A726B3">
        <w:lastRenderedPageBreak/>
        <w:t>having hepatic iron overload at the time of the clinical onset of porphyria cutanea tarda;</w:t>
      </w:r>
    </w:p>
    <w:p w:rsidR="0081007D" w:rsidRDefault="0081007D" w:rsidP="0081007D">
      <w:pPr>
        <w:pStyle w:val="Note2"/>
      </w:pPr>
      <w:r w:rsidRPr="00A726B3">
        <w:t xml:space="preserve">Note: </w:t>
      </w:r>
      <w:r w:rsidRPr="00A726B3">
        <w:rPr>
          <w:b/>
          <w:i/>
        </w:rPr>
        <w:t>iron overload</w:t>
      </w:r>
      <w:r w:rsidRPr="00A726B3">
        <w:t xml:space="preserve"> is defined in the Schedule 1 - Dictionary.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t>having a viral infection from the specified list of viral infections at the time of the clinical onset of porphyria cutanea tarda;</w:t>
      </w:r>
    </w:p>
    <w:p w:rsidR="0081007D" w:rsidRDefault="0081007D" w:rsidP="0081007D">
      <w:pPr>
        <w:pStyle w:val="Note2"/>
      </w:pPr>
      <w:r w:rsidRPr="005F1BBC">
        <w:t xml:space="preserve">Note: </w:t>
      </w:r>
      <w:r w:rsidRPr="005F1BBC">
        <w:rPr>
          <w:b/>
          <w:i/>
        </w:rPr>
        <w:t>specified list of viral infections</w:t>
      </w:r>
      <w:r w:rsidRPr="005F1BBC">
        <w:t xml:space="preserve"> is defined in the Schedule 1 - Dictionary.</w:t>
      </w:r>
      <w:r w:rsidRPr="005F1BBC">
        <w:tab/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>
        <w:t>taking a drug from the specified list of drugs within the 30 days before the clinical onset of porphyria cutanea tarda;</w:t>
      </w:r>
    </w:p>
    <w:p w:rsidR="0081007D" w:rsidRDefault="0081007D" w:rsidP="0081007D">
      <w:pPr>
        <w:pStyle w:val="Note2"/>
      </w:pPr>
      <w:r>
        <w:t xml:space="preserve">Note: </w:t>
      </w:r>
      <w:r w:rsidRPr="00A726B3">
        <w:rPr>
          <w:b/>
          <w:i/>
        </w:rPr>
        <w:t>specified list of drugs</w:t>
      </w:r>
      <w:r>
        <w:t xml:space="preserve"> is defined in the Schedule 1 - Dictionary.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>
        <w:t xml:space="preserve">taking a drug which is associated in the individual with the </w:t>
      </w:r>
      <w:r w:rsidR="00916B71">
        <w:t>clinical onset</w:t>
      </w:r>
      <w:r>
        <w:t xml:space="preserve"> of porphyria cutanea tarda during drug therapy and either: </w:t>
      </w:r>
    </w:p>
    <w:p w:rsidR="0081007D" w:rsidRDefault="0081007D" w:rsidP="0081007D">
      <w:pPr>
        <w:pStyle w:val="LV3"/>
        <w:numPr>
          <w:ilvl w:val="2"/>
          <w:numId w:val="4"/>
        </w:numPr>
        <w:ind w:left="1985"/>
      </w:pPr>
      <w:r>
        <w:t>the improvement of po</w:t>
      </w:r>
      <w:r w:rsidR="009D1B80">
        <w:t>rphyria cutanea tarda within 2</w:t>
      </w:r>
      <w:r>
        <w:t xml:space="preserve"> months of discontinuing or tapering drug therapy; or  </w:t>
      </w:r>
    </w:p>
    <w:p w:rsidR="0081007D" w:rsidRDefault="0081007D" w:rsidP="0081007D">
      <w:pPr>
        <w:pStyle w:val="LV3"/>
        <w:numPr>
          <w:ilvl w:val="2"/>
          <w:numId w:val="4"/>
        </w:numPr>
        <w:ind w:left="1985"/>
      </w:pPr>
      <w:r>
        <w:t xml:space="preserve">the redevelopment of porphyria cutanea tarda on rechallenge with the same drug; </w:t>
      </w:r>
      <w:r w:rsidR="00916B71">
        <w:t>and</w:t>
      </w:r>
    </w:p>
    <w:p w:rsidR="0081007D" w:rsidRDefault="0081007D" w:rsidP="0081007D">
      <w:pPr>
        <w:pStyle w:val="LV2"/>
        <w:numPr>
          <w:ilvl w:val="0"/>
          <w:numId w:val="0"/>
        </w:numPr>
        <w:ind w:left="1418"/>
      </w:pPr>
      <w:r>
        <w:t xml:space="preserve">where </w:t>
      </w:r>
      <w:r w:rsidR="00CF7DD8">
        <w:t>taking</w:t>
      </w:r>
      <w:r>
        <w:t xml:space="preserve"> the drug continued for at least the </w:t>
      </w:r>
      <w:r w:rsidR="00916B71">
        <w:t>7</w:t>
      </w:r>
      <w:r>
        <w:t xml:space="preserve"> days before the clinical onset of porphyria cutanea tarda;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961809">
        <w:t xml:space="preserve">ingesting food contaminated with hexachlorobenzene within the </w:t>
      </w:r>
      <w:r w:rsidR="00916B71">
        <w:t>1</w:t>
      </w:r>
      <w:r w:rsidRPr="00961809">
        <w:t xml:space="preserve"> year before the clinical onset of porphyria cutanea tarda;</w:t>
      </w:r>
    </w:p>
    <w:p w:rsidR="0081007D" w:rsidRPr="008D1B8B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t xml:space="preserve">for males, consuming a total of at least 100 kilograms of alcohol within the </w:t>
      </w:r>
      <w:r w:rsidR="00916B71">
        <w:t>10</w:t>
      </w:r>
      <w:r w:rsidRPr="005F1BBC">
        <w:t xml:space="preserve"> years before the clinical worsening of porphyria cutanea tarda;</w:t>
      </w:r>
    </w:p>
    <w:p w:rsidR="0081007D" w:rsidRPr="00046E67" w:rsidRDefault="0081007D" w:rsidP="0081007D">
      <w:pPr>
        <w:pStyle w:val="Note2"/>
        <w:ind w:left="1843" w:hanging="425"/>
      </w:pPr>
      <w:r>
        <w:t xml:space="preserve">Note: </w:t>
      </w:r>
      <w:r w:rsidRPr="005F1BBC">
        <w:t xml:space="preserve">Alcohol consumption is calculated utilising the Australian Standard of </w:t>
      </w:r>
      <w:r w:rsidR="00916B71">
        <w:t>10</w:t>
      </w:r>
      <w:r w:rsidRPr="005F1BBC">
        <w:t xml:space="preserve"> grams of alcohol per standard alcoholic drink.</w:t>
      </w:r>
      <w:r w:rsidRPr="00046E67">
        <w:tab/>
      </w:r>
      <w:r>
        <w:t xml:space="preserve"> 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t xml:space="preserve">for females, consuming a total of at least 50 kilograms of alcohol within the </w:t>
      </w:r>
      <w:r w:rsidR="00916B71">
        <w:t>10</w:t>
      </w:r>
      <w:r w:rsidRPr="005F1BBC">
        <w:t xml:space="preserve"> years before the clinical worsening of porphyria cutanea tarda;</w:t>
      </w:r>
    </w:p>
    <w:p w:rsidR="0081007D" w:rsidRDefault="0081007D" w:rsidP="0081007D">
      <w:pPr>
        <w:pStyle w:val="Note2"/>
        <w:ind w:left="1843" w:hanging="425"/>
      </w:pPr>
      <w:r>
        <w:t xml:space="preserve">Note: </w:t>
      </w:r>
      <w:r w:rsidRPr="005F1BBC">
        <w:t xml:space="preserve">Alcohol consumption is calculated utilising the Australian Standard of </w:t>
      </w:r>
      <w:r w:rsidR="00916B71">
        <w:t>10</w:t>
      </w:r>
      <w:r w:rsidRPr="005F1BBC">
        <w:t xml:space="preserve"> grams of alcohol per standard alcoholic drink.</w:t>
      </w:r>
      <w:r w:rsidRPr="00046E67">
        <w:tab/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t>having alcohol use disorder at the time of the clinical worsening of porphyria cutanea tarda;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t>having cirrhosis of the liver or alcoholic steatohepatitis at the time of the clinical worsening of porphyria cutanea tarda;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>
        <w:t>having chronic renal failure at the time of the clinical worsening of porphyria cutanea tarda;</w:t>
      </w:r>
    </w:p>
    <w:p w:rsidR="0081007D" w:rsidRDefault="0081007D" w:rsidP="0081007D">
      <w:pPr>
        <w:pStyle w:val="Note2"/>
      </w:pPr>
      <w:r>
        <w:t xml:space="preserve">Note: </w:t>
      </w:r>
      <w:r w:rsidRPr="00A726B3">
        <w:rPr>
          <w:b/>
          <w:i/>
        </w:rPr>
        <w:t>chronic renal failure</w:t>
      </w:r>
      <w:r>
        <w:t xml:space="preserve"> is defined in the Schedule 1 - Dictionary.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A726B3">
        <w:t>having hepatic iron overload at the time of the clinical worsening of porphyria cutanea tarda;</w:t>
      </w:r>
    </w:p>
    <w:p w:rsidR="0081007D" w:rsidRDefault="0081007D" w:rsidP="0081007D">
      <w:pPr>
        <w:pStyle w:val="Note2"/>
      </w:pPr>
      <w:r w:rsidRPr="00A726B3">
        <w:t xml:space="preserve">Note: </w:t>
      </w:r>
      <w:r w:rsidRPr="00A726B3">
        <w:rPr>
          <w:b/>
          <w:i/>
        </w:rPr>
        <w:t>iron overload</w:t>
      </w:r>
      <w:r w:rsidRPr="00A726B3">
        <w:t xml:space="preserve"> is defined in the Schedule 1 - Dictionary.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5F1BBC">
        <w:lastRenderedPageBreak/>
        <w:t>having a viral infection from the specified list of viral infections at the time of the clinical worsening of porphyria cutanea tarda;</w:t>
      </w:r>
    </w:p>
    <w:p w:rsidR="0081007D" w:rsidRDefault="0081007D" w:rsidP="0081007D">
      <w:pPr>
        <w:pStyle w:val="Note2"/>
      </w:pPr>
      <w:r w:rsidRPr="005F1BBC">
        <w:t xml:space="preserve">Note: </w:t>
      </w:r>
      <w:r w:rsidRPr="005F1BBC">
        <w:rPr>
          <w:b/>
          <w:i/>
        </w:rPr>
        <w:t>specified list of viral infections</w:t>
      </w:r>
      <w:r w:rsidRPr="005F1BBC">
        <w:t xml:space="preserve"> is defined in the Schedule 1 - Dictionary.</w:t>
      </w:r>
      <w:r w:rsidRPr="005F1BBC">
        <w:tab/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>
        <w:t>taking a drug from the specified list of drugs within the 30 days before the clinical worsening of porphyria cutanea tarda;</w:t>
      </w:r>
    </w:p>
    <w:p w:rsidR="0081007D" w:rsidRDefault="0081007D" w:rsidP="0081007D">
      <w:pPr>
        <w:pStyle w:val="Note2"/>
      </w:pPr>
      <w:r>
        <w:t xml:space="preserve">Note: </w:t>
      </w:r>
      <w:r w:rsidRPr="00A726B3">
        <w:rPr>
          <w:b/>
          <w:i/>
        </w:rPr>
        <w:t>specified list of drugs</w:t>
      </w:r>
      <w:r>
        <w:t xml:space="preserve"> is defined in the Schedule 1 - Dictionary.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>
        <w:t xml:space="preserve">taking a drug which is associated in the individual with: </w:t>
      </w:r>
    </w:p>
    <w:p w:rsidR="0081007D" w:rsidRDefault="0081007D" w:rsidP="0081007D">
      <w:pPr>
        <w:pStyle w:val="LV3"/>
        <w:numPr>
          <w:ilvl w:val="2"/>
          <w:numId w:val="4"/>
        </w:numPr>
        <w:ind w:left="1985"/>
      </w:pPr>
      <w:r>
        <w:t xml:space="preserve">the </w:t>
      </w:r>
      <w:r w:rsidR="00916B71">
        <w:t xml:space="preserve">clinical </w:t>
      </w:r>
      <w:r>
        <w:t xml:space="preserve">worsening of porphyria cutanea tarda during drug therapy; and </w:t>
      </w:r>
    </w:p>
    <w:p w:rsidR="0081007D" w:rsidRDefault="0081007D" w:rsidP="0081007D">
      <w:pPr>
        <w:pStyle w:val="LV3"/>
        <w:numPr>
          <w:ilvl w:val="2"/>
          <w:numId w:val="4"/>
        </w:numPr>
        <w:ind w:left="1985"/>
      </w:pPr>
      <w:r>
        <w:t>the improvement of po</w:t>
      </w:r>
      <w:r w:rsidR="00F9179F">
        <w:t>rphyria cutanea tarda within 2</w:t>
      </w:r>
      <w:r>
        <w:t xml:space="preserve"> months of discontinuing or tapering drug therapy; </w:t>
      </w:r>
      <w:r w:rsidR="00916B71">
        <w:t>and</w:t>
      </w:r>
    </w:p>
    <w:p w:rsidR="0081007D" w:rsidRDefault="0081007D" w:rsidP="0081007D">
      <w:pPr>
        <w:pStyle w:val="LV2"/>
        <w:numPr>
          <w:ilvl w:val="0"/>
          <w:numId w:val="0"/>
        </w:numPr>
        <w:ind w:left="1418"/>
      </w:pPr>
      <w:r>
        <w:t xml:space="preserve">where taking the drug continued for at least the </w:t>
      </w:r>
      <w:r w:rsidR="00916B71">
        <w:t>7</w:t>
      </w:r>
      <w:r>
        <w:t xml:space="preserve"> days before the clinical worsening of porphyria cutanea tarda;</w:t>
      </w:r>
    </w:p>
    <w:p w:rsidR="0081007D" w:rsidRDefault="0081007D" w:rsidP="0081007D">
      <w:pPr>
        <w:pStyle w:val="LV2"/>
        <w:numPr>
          <w:ilvl w:val="1"/>
          <w:numId w:val="4"/>
        </w:numPr>
        <w:ind w:left="1418"/>
      </w:pPr>
      <w:r w:rsidRPr="00961809">
        <w:t xml:space="preserve">ingesting food contaminated with hexachlorobenzene within the </w:t>
      </w:r>
      <w:r w:rsidR="00916B71">
        <w:t>1</w:t>
      </w:r>
      <w:r w:rsidRPr="00961809">
        <w:t xml:space="preserve"> year before the clinical worsening of porphyria cutanea tarda;</w:t>
      </w:r>
    </w:p>
    <w:p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81007D" w:rsidRPr="0081007D">
        <w:t>porphyria cutanea tarda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Ref402530057"/>
      <w:bookmarkStart w:id="30" w:name="_Toc72333174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81007D">
        <w:t>1</w:t>
      </w:r>
      <w:r w:rsidR="008256A5">
        <w:t>1</w:t>
      </w:r>
      <w:r w:rsidR="00FF1D47">
        <w:t>)</w:t>
      </w:r>
      <w:r w:rsidR="00181048">
        <w:t xml:space="preserve"> </w:t>
      </w:r>
      <w:r w:rsidR="0081007D">
        <w:t>to 9(2</w:t>
      </w:r>
      <w:r w:rsidR="008256A5">
        <w:t>1</w:t>
      </w:r>
      <w:r w:rsidR="0081007D">
        <w:t xml:space="preserve">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81007D" w:rsidRPr="0081007D">
        <w:t>porphyria cutanea tarda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81007D" w:rsidRPr="0081007D">
        <w:t>porphyria cutanea tarda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7233317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7233317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72333177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1007D" w:rsidRDefault="0081007D" w:rsidP="0081007D">
      <w:pPr>
        <w:pStyle w:val="SH3"/>
        <w:ind w:left="851" w:hanging="851"/>
      </w:pPr>
      <w:bookmarkStart w:id="37" w:name="_Ref402530810"/>
      <w:r w:rsidRPr="00A726B3">
        <w:rPr>
          <w:b/>
          <w:i/>
        </w:rPr>
        <w:t>chronic renal failure</w:t>
      </w:r>
      <w:r>
        <w:t xml:space="preserve"> means: </w:t>
      </w:r>
    </w:p>
    <w:p w:rsidR="0081007D" w:rsidRDefault="0081007D" w:rsidP="002E2C01">
      <w:pPr>
        <w:pStyle w:val="SH4"/>
      </w:pPr>
      <w:r>
        <w:t>having a glomerular filtration rate of less than 15 mL/min/1.73 m</w:t>
      </w:r>
      <w:r w:rsidRPr="00A726B3">
        <w:rPr>
          <w:vertAlign w:val="superscript"/>
        </w:rPr>
        <w:t>2</w:t>
      </w:r>
      <w:r>
        <w:t xml:space="preserve"> for a period of at least </w:t>
      </w:r>
      <w:r w:rsidR="00916B71">
        <w:t>3</w:t>
      </w:r>
      <w:r>
        <w:t xml:space="preserve"> months; or </w:t>
      </w:r>
    </w:p>
    <w:p w:rsidR="0081007D" w:rsidRDefault="0081007D" w:rsidP="002E2C01">
      <w:pPr>
        <w:pStyle w:val="SH4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81007D" w:rsidRPr="00A726B3" w:rsidRDefault="0081007D" w:rsidP="002E2C01">
      <w:pPr>
        <w:pStyle w:val="SH4"/>
      </w:pPr>
      <w:r>
        <w:t>undergoing chronic dialysis.</w:t>
      </w:r>
    </w:p>
    <w:p w:rsidR="0081007D" w:rsidRDefault="0081007D" w:rsidP="0081007D">
      <w:pPr>
        <w:pStyle w:val="SH3"/>
        <w:ind w:left="851" w:hanging="851"/>
      </w:pPr>
      <w:r w:rsidRPr="00A726B3">
        <w:rPr>
          <w:b/>
          <w:i/>
        </w:rPr>
        <w:t>iron overload</w:t>
      </w:r>
      <w:r w:rsidRPr="00A726B3">
        <w:t xml:space="preserve"> means an accumulation of excess iron in tissues and organs which has been confirmed by elevated ferritin or transferrin saturation levels.</w:t>
      </w:r>
    </w:p>
    <w:p w:rsidR="0081007D" w:rsidRDefault="0081007D" w:rsidP="0081007D">
      <w:pPr>
        <w:pStyle w:val="ScheduleNote"/>
      </w:pPr>
      <w:r w:rsidRPr="00A726B3">
        <w:t>Note: Common causes of hepatic iron overload are haemochromatosis and blood transfusions.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1007D" w:rsidRPr="00513D05" w:rsidRDefault="0081007D" w:rsidP="0081007D">
      <w:pPr>
        <w:pStyle w:val="SH3"/>
        <w:ind w:left="851"/>
      </w:pPr>
      <w:r w:rsidRPr="0081007D">
        <w:rPr>
          <w:b/>
          <w:i/>
        </w:rPr>
        <w:t>porphyria cutanea tarda</w:t>
      </w:r>
      <w:r w:rsidRPr="00513D05">
        <w:t>—see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2E2C01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2E2C01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2E2C01">
      <w:pPr>
        <w:pStyle w:val="SH4"/>
      </w:pPr>
      <w:r>
        <w:t>peacetime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1007D" w:rsidRDefault="0081007D" w:rsidP="0081007D">
      <w:pPr>
        <w:pStyle w:val="SH3"/>
        <w:ind w:left="851" w:hanging="851"/>
      </w:pPr>
      <w:r w:rsidRPr="00A726B3">
        <w:rPr>
          <w:b/>
          <w:i/>
        </w:rPr>
        <w:t>specified list of drugs</w:t>
      </w:r>
      <w:r>
        <w:t xml:space="preserve"> means: </w:t>
      </w:r>
    </w:p>
    <w:p w:rsidR="0081007D" w:rsidRDefault="0081007D" w:rsidP="002E2C01">
      <w:pPr>
        <w:pStyle w:val="SH4"/>
      </w:pPr>
      <w:r>
        <w:t>carbamazepine;</w:t>
      </w:r>
    </w:p>
    <w:p w:rsidR="0081007D" w:rsidRDefault="0081007D" w:rsidP="002E2C01">
      <w:pPr>
        <w:pStyle w:val="SH4"/>
      </w:pPr>
      <w:r>
        <w:t xml:space="preserve">chloroquine; </w:t>
      </w:r>
    </w:p>
    <w:p w:rsidR="0081007D" w:rsidRDefault="0081007D" w:rsidP="002E2C01">
      <w:pPr>
        <w:pStyle w:val="SH4"/>
      </w:pPr>
      <w:r>
        <w:t>cyclophosphamide;</w:t>
      </w:r>
    </w:p>
    <w:p w:rsidR="0081007D" w:rsidRDefault="0081007D" w:rsidP="002E2C01">
      <w:pPr>
        <w:pStyle w:val="SH4"/>
      </w:pPr>
      <w:r>
        <w:t>highly active antiretroviral therapy;</w:t>
      </w:r>
    </w:p>
    <w:p w:rsidR="0081007D" w:rsidRDefault="0081007D" w:rsidP="002E2C01">
      <w:pPr>
        <w:pStyle w:val="SH4"/>
      </w:pPr>
      <w:r>
        <w:t xml:space="preserve">hydroxychloroquine; </w:t>
      </w:r>
    </w:p>
    <w:p w:rsidR="0081007D" w:rsidRDefault="0081007D" w:rsidP="002E2C01">
      <w:pPr>
        <w:pStyle w:val="SH4"/>
      </w:pPr>
      <w:r>
        <w:t xml:space="preserve">imatinib; </w:t>
      </w:r>
    </w:p>
    <w:p w:rsidR="0081007D" w:rsidRDefault="0081007D" w:rsidP="002E2C01">
      <w:pPr>
        <w:pStyle w:val="SH4"/>
      </w:pPr>
      <w:r>
        <w:t xml:space="preserve">interferon alpha; </w:t>
      </w:r>
    </w:p>
    <w:p w:rsidR="0081007D" w:rsidRDefault="0081007D" w:rsidP="002E2C01">
      <w:pPr>
        <w:pStyle w:val="SH4"/>
      </w:pPr>
      <w:r>
        <w:t xml:space="preserve">iron supplements; </w:t>
      </w:r>
    </w:p>
    <w:p w:rsidR="0081007D" w:rsidRDefault="0081007D" w:rsidP="002E2C01">
      <w:pPr>
        <w:pStyle w:val="SH4"/>
      </w:pPr>
      <w:r>
        <w:t>oral estrogens;</w:t>
      </w:r>
    </w:p>
    <w:p w:rsidR="0081007D" w:rsidRDefault="0081007D" w:rsidP="002E2C01">
      <w:pPr>
        <w:pStyle w:val="SH4"/>
      </w:pPr>
      <w:r>
        <w:t>phenobarbital;</w:t>
      </w:r>
    </w:p>
    <w:p w:rsidR="0081007D" w:rsidRDefault="0081007D" w:rsidP="002E2C01">
      <w:pPr>
        <w:pStyle w:val="SH4"/>
      </w:pPr>
      <w:r>
        <w:t xml:space="preserve">phenytoin; </w:t>
      </w:r>
    </w:p>
    <w:p w:rsidR="0081007D" w:rsidRDefault="0081007D" w:rsidP="002E2C01">
      <w:pPr>
        <w:pStyle w:val="SH4"/>
      </w:pPr>
      <w:r>
        <w:t>rifampicin;</w:t>
      </w:r>
    </w:p>
    <w:p w:rsidR="0081007D" w:rsidRDefault="0081007D" w:rsidP="002E2C01">
      <w:pPr>
        <w:pStyle w:val="SH4"/>
      </w:pPr>
      <w:r>
        <w:t xml:space="preserve">sulfonylureas; or </w:t>
      </w:r>
    </w:p>
    <w:p w:rsidR="0081007D" w:rsidRPr="0081007D" w:rsidRDefault="0081007D" w:rsidP="002E2C01">
      <w:pPr>
        <w:pStyle w:val="SH4"/>
      </w:pPr>
      <w:r>
        <w:t>tamoxifen.</w:t>
      </w:r>
    </w:p>
    <w:p w:rsidR="00583412" w:rsidRDefault="00583412" w:rsidP="00583412">
      <w:pPr>
        <w:pStyle w:val="SH3"/>
        <w:ind w:left="851" w:hanging="851"/>
      </w:pPr>
      <w:r w:rsidRPr="00583412">
        <w:rPr>
          <w:b/>
          <w:i/>
        </w:rPr>
        <w:t>specified list of viral infections</w:t>
      </w:r>
      <w:r w:rsidRPr="00583412">
        <w:t xml:space="preserve"> means:</w:t>
      </w:r>
    </w:p>
    <w:p w:rsidR="00583412" w:rsidRDefault="00583412" w:rsidP="002E2C01">
      <w:pPr>
        <w:pStyle w:val="SH4"/>
      </w:pPr>
      <w:r>
        <w:t>hepatitis B virus;</w:t>
      </w:r>
    </w:p>
    <w:p w:rsidR="00583412" w:rsidRDefault="00583412" w:rsidP="002E2C01">
      <w:pPr>
        <w:pStyle w:val="SH4"/>
      </w:pPr>
      <w:r>
        <w:t>hepatitis C virus; or</w:t>
      </w:r>
    </w:p>
    <w:p w:rsidR="00583412" w:rsidRPr="00583412" w:rsidRDefault="00583412" w:rsidP="002E2C01">
      <w:pPr>
        <w:pStyle w:val="SH4"/>
      </w:pPr>
      <w:r>
        <w:t>human immunodeficiency virus.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lastRenderedPageBreak/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2E2C01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2E2C01">
      <w:pPr>
        <w:pStyle w:val="SH4"/>
      </w:pPr>
      <w:r w:rsidRPr="00513D05">
        <w:tab/>
        <w:t>respiratory failure;</w:t>
      </w:r>
    </w:p>
    <w:p w:rsidR="00885EAB" w:rsidRPr="00513D05" w:rsidRDefault="00885EAB" w:rsidP="002E2C01">
      <w:pPr>
        <w:pStyle w:val="SH4"/>
      </w:pPr>
      <w:r w:rsidRPr="00513D05">
        <w:tab/>
        <w:t>cardiac arrest;</w:t>
      </w:r>
    </w:p>
    <w:p w:rsidR="00885EAB" w:rsidRPr="00513D05" w:rsidRDefault="00885EAB" w:rsidP="002E2C01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2E2C01">
      <w:pPr>
        <w:pStyle w:val="SH4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1007D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Porphyria Cutanea Tarda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F07503" w:rsidRPr="00F07503">
            <w:rPr>
              <w:i/>
              <w:sz w:val="18"/>
              <w:szCs w:val="18"/>
            </w:rPr>
            <w:t>70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C5569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C556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1007D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Porphyria Cutanea Tarda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F07503" w:rsidRPr="00F07503">
            <w:rPr>
              <w:i/>
              <w:sz w:val="18"/>
              <w:szCs w:val="18"/>
            </w:rPr>
            <w:t>70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C556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C556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9F1C6BF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20E45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2C01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1112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177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3412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67FD7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007D"/>
    <w:rsid w:val="008117E9"/>
    <w:rsid w:val="008128BF"/>
    <w:rsid w:val="00824498"/>
    <w:rsid w:val="008256A5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16B71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1B80"/>
    <w:rsid w:val="009D6BB0"/>
    <w:rsid w:val="009E5CFC"/>
    <w:rsid w:val="009F7991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93B6B"/>
    <w:rsid w:val="00AA64D6"/>
    <w:rsid w:val="00AA6D8B"/>
    <w:rsid w:val="00AD23CD"/>
    <w:rsid w:val="00AD2DC7"/>
    <w:rsid w:val="00AD5641"/>
    <w:rsid w:val="00AD7889"/>
    <w:rsid w:val="00AD7AC2"/>
    <w:rsid w:val="00AD7DCC"/>
    <w:rsid w:val="00AE75B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7DD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503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179F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5569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2E2C01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1655</Words>
  <Characters>9435</Characters>
  <Application>Microsoft Office Word</Application>
  <DocSecurity>0</DocSecurity>
  <PresentationFormat/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2021-01-28T04:41:00Z</dcterms:created>
  <dcterms:modified xsi:type="dcterms:W3CDTF">2021-05-19T06:12:00Z</dcterms:modified>
  <cp:category/>
  <cp:contentStatus/>
  <dc:language/>
  <cp:version/>
</cp:coreProperties>
</file>