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F83264" w:rsidP="006647B7">
      <w:pPr>
        <w:pStyle w:val="Plainheader"/>
      </w:pPr>
      <w:bookmarkStart w:id="1" w:name="SoP_Name_Title"/>
      <w:r>
        <w:t>P</w:t>
      </w:r>
      <w:r w:rsidR="001E5036">
        <w:t xml:space="preserve">ATELLAR </w:t>
      </w:r>
      <w:proofErr w:type="gramStart"/>
      <w:r w:rsidR="001E5036">
        <w:t>TENDINOPATHY</w:t>
      </w:r>
      <w:bookmarkEnd w:id="1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9E2092">
        <w:t>21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1E5036">
        <w:t>2020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  <w:r w:rsidR="00D63023">
        <w:rPr>
          <w:sz w:val="24"/>
          <w:szCs w:val="24"/>
        </w:rPr>
        <w:t xml:space="preserve"> 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9E2092">
        <w:rPr>
          <w:b w:val="0"/>
        </w:rPr>
        <w:t>24 April 2020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E44356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E44356">
        <w:tc>
          <w:tcPr>
            <w:tcW w:w="4116" w:type="dxa"/>
          </w:tcPr>
          <w:p w:rsidR="00ED20B7" w:rsidRPr="00781DD2" w:rsidRDefault="00E42D40" w:rsidP="00781DD2">
            <w:pPr>
              <w:pStyle w:val="Plain"/>
              <w:spacing w:before="0"/>
              <w:ind w:left="0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5137A1FB" wp14:editId="5E4DEF00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9E209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9E2092">
        <w:rPr>
          <w:noProof/>
        </w:rPr>
        <w:t>1</w:t>
      </w:r>
      <w:r w:rsidR="009E209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E2092">
        <w:rPr>
          <w:noProof/>
        </w:rPr>
        <w:t>Name</w:t>
      </w:r>
      <w:r w:rsidR="009E2092">
        <w:rPr>
          <w:noProof/>
        </w:rPr>
        <w:tab/>
      </w:r>
      <w:r w:rsidR="009E2092">
        <w:rPr>
          <w:noProof/>
        </w:rPr>
        <w:fldChar w:fldCharType="begin"/>
      </w:r>
      <w:r w:rsidR="009E2092">
        <w:rPr>
          <w:noProof/>
        </w:rPr>
        <w:instrText xml:space="preserve"> PAGEREF _Toc35512755 \h </w:instrText>
      </w:r>
      <w:r w:rsidR="009E2092">
        <w:rPr>
          <w:noProof/>
        </w:rPr>
      </w:r>
      <w:r w:rsidR="009E2092">
        <w:rPr>
          <w:noProof/>
        </w:rPr>
        <w:fldChar w:fldCharType="separate"/>
      </w:r>
      <w:r w:rsidR="00E42D40">
        <w:rPr>
          <w:noProof/>
        </w:rPr>
        <w:t>3</w:t>
      </w:r>
      <w:r w:rsidR="009E2092">
        <w:rPr>
          <w:noProof/>
        </w:rPr>
        <w:fldChar w:fldCharType="end"/>
      </w:r>
    </w:p>
    <w:p w:rsidR="009E2092" w:rsidRDefault="009E20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_Toc35512756 \h </w:instrText>
      </w:r>
      <w:r>
        <w:rPr>
          <w:noProof/>
        </w:rPr>
      </w:r>
      <w:r>
        <w:rPr>
          <w:noProof/>
        </w:rPr>
        <w:fldChar w:fldCharType="separate"/>
      </w:r>
      <w:r w:rsidR="00E42D40">
        <w:rPr>
          <w:noProof/>
        </w:rPr>
        <w:t>3</w:t>
      </w:r>
      <w:r>
        <w:rPr>
          <w:noProof/>
        </w:rPr>
        <w:fldChar w:fldCharType="end"/>
      </w:r>
    </w:p>
    <w:p w:rsidR="009E2092" w:rsidRDefault="009E20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_Toc35512757 \h </w:instrText>
      </w:r>
      <w:r>
        <w:rPr>
          <w:noProof/>
        </w:rPr>
      </w:r>
      <w:r>
        <w:rPr>
          <w:noProof/>
        </w:rPr>
        <w:fldChar w:fldCharType="separate"/>
      </w:r>
      <w:r w:rsidR="00E42D40">
        <w:rPr>
          <w:noProof/>
        </w:rPr>
        <w:t>3</w:t>
      </w:r>
      <w:r>
        <w:rPr>
          <w:noProof/>
        </w:rPr>
        <w:fldChar w:fldCharType="end"/>
      </w:r>
    </w:p>
    <w:p w:rsidR="009E2092" w:rsidRDefault="009E20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_Toc35512758 \h </w:instrText>
      </w:r>
      <w:r>
        <w:rPr>
          <w:noProof/>
        </w:rPr>
      </w:r>
      <w:r>
        <w:rPr>
          <w:noProof/>
        </w:rPr>
        <w:fldChar w:fldCharType="separate"/>
      </w:r>
      <w:r w:rsidR="00E42D40">
        <w:rPr>
          <w:noProof/>
        </w:rPr>
        <w:t>3</w:t>
      </w:r>
      <w:r>
        <w:rPr>
          <w:noProof/>
        </w:rPr>
        <w:fldChar w:fldCharType="end"/>
      </w:r>
    </w:p>
    <w:p w:rsidR="009E2092" w:rsidRDefault="009E20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_Toc35512759 \h </w:instrText>
      </w:r>
      <w:r>
        <w:rPr>
          <w:noProof/>
        </w:rPr>
      </w:r>
      <w:r>
        <w:rPr>
          <w:noProof/>
        </w:rPr>
        <w:fldChar w:fldCharType="separate"/>
      </w:r>
      <w:r w:rsidR="00E42D40">
        <w:rPr>
          <w:noProof/>
        </w:rPr>
        <w:t>3</w:t>
      </w:r>
      <w:r>
        <w:rPr>
          <w:noProof/>
        </w:rPr>
        <w:fldChar w:fldCharType="end"/>
      </w:r>
    </w:p>
    <w:p w:rsidR="009E2092" w:rsidRDefault="009E20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_Toc35512760 \h </w:instrText>
      </w:r>
      <w:r>
        <w:rPr>
          <w:noProof/>
        </w:rPr>
      </w:r>
      <w:r>
        <w:rPr>
          <w:noProof/>
        </w:rPr>
        <w:fldChar w:fldCharType="separate"/>
      </w:r>
      <w:r w:rsidR="00E42D40">
        <w:rPr>
          <w:noProof/>
        </w:rPr>
        <w:t>3</w:t>
      </w:r>
      <w:r>
        <w:rPr>
          <w:noProof/>
        </w:rPr>
        <w:fldChar w:fldCharType="end"/>
      </w:r>
    </w:p>
    <w:p w:rsidR="009E2092" w:rsidRDefault="009E20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_Toc35512761 \h </w:instrText>
      </w:r>
      <w:r>
        <w:rPr>
          <w:noProof/>
        </w:rPr>
      </w:r>
      <w:r>
        <w:rPr>
          <w:noProof/>
        </w:rPr>
        <w:fldChar w:fldCharType="separate"/>
      </w:r>
      <w:r w:rsidR="00E42D40">
        <w:rPr>
          <w:noProof/>
        </w:rPr>
        <w:t>3</w:t>
      </w:r>
      <w:r>
        <w:rPr>
          <w:noProof/>
        </w:rPr>
        <w:fldChar w:fldCharType="end"/>
      </w:r>
    </w:p>
    <w:p w:rsidR="009E2092" w:rsidRDefault="009E20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_Toc35512762 \h </w:instrText>
      </w:r>
      <w:r>
        <w:rPr>
          <w:noProof/>
        </w:rPr>
      </w:r>
      <w:r>
        <w:rPr>
          <w:noProof/>
        </w:rPr>
        <w:fldChar w:fldCharType="separate"/>
      </w:r>
      <w:r w:rsidR="00E42D40">
        <w:rPr>
          <w:noProof/>
        </w:rPr>
        <w:t>4</w:t>
      </w:r>
      <w:r>
        <w:rPr>
          <w:noProof/>
        </w:rPr>
        <w:fldChar w:fldCharType="end"/>
      </w:r>
    </w:p>
    <w:p w:rsidR="009E2092" w:rsidRDefault="009E20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_Toc35512763 \h </w:instrText>
      </w:r>
      <w:r>
        <w:rPr>
          <w:noProof/>
        </w:rPr>
      </w:r>
      <w:r>
        <w:rPr>
          <w:noProof/>
        </w:rPr>
        <w:fldChar w:fldCharType="separate"/>
      </w:r>
      <w:r w:rsidR="00E42D40">
        <w:rPr>
          <w:noProof/>
        </w:rPr>
        <w:t>4</w:t>
      </w:r>
      <w:r>
        <w:rPr>
          <w:noProof/>
        </w:rPr>
        <w:fldChar w:fldCharType="end"/>
      </w:r>
    </w:p>
    <w:p w:rsidR="009E2092" w:rsidRDefault="009E20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_Toc35512764 \h </w:instrText>
      </w:r>
      <w:r>
        <w:rPr>
          <w:noProof/>
        </w:rPr>
      </w:r>
      <w:r>
        <w:rPr>
          <w:noProof/>
        </w:rPr>
        <w:fldChar w:fldCharType="separate"/>
      </w:r>
      <w:r w:rsidR="00E42D40">
        <w:rPr>
          <w:noProof/>
        </w:rPr>
        <w:t>6</w:t>
      </w:r>
      <w:r>
        <w:rPr>
          <w:noProof/>
        </w:rPr>
        <w:fldChar w:fldCharType="end"/>
      </w:r>
    </w:p>
    <w:p w:rsidR="009E2092" w:rsidRDefault="009E20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_Toc35512765 \h </w:instrText>
      </w:r>
      <w:r>
        <w:rPr>
          <w:noProof/>
        </w:rPr>
      </w:r>
      <w:r>
        <w:rPr>
          <w:noProof/>
        </w:rPr>
        <w:fldChar w:fldCharType="separate"/>
      </w:r>
      <w:r w:rsidR="00E42D40">
        <w:rPr>
          <w:noProof/>
        </w:rPr>
        <w:t>6</w:t>
      </w:r>
      <w:r>
        <w:rPr>
          <w:noProof/>
        </w:rPr>
        <w:fldChar w:fldCharType="end"/>
      </w:r>
    </w:p>
    <w:p w:rsidR="009E2092" w:rsidRDefault="009E209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_Toc35512766 \h </w:instrText>
      </w:r>
      <w:r>
        <w:rPr>
          <w:noProof/>
        </w:rPr>
      </w:r>
      <w:r>
        <w:rPr>
          <w:noProof/>
        </w:rPr>
        <w:fldChar w:fldCharType="separate"/>
      </w:r>
      <w:r w:rsidR="00E42D40">
        <w:rPr>
          <w:noProof/>
        </w:rPr>
        <w:t>7</w:t>
      </w:r>
      <w:r>
        <w:rPr>
          <w:noProof/>
        </w:rPr>
        <w:fldChar w:fldCharType="end"/>
      </w:r>
    </w:p>
    <w:p w:rsidR="009E2092" w:rsidRDefault="009E209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_Toc35512767 \h </w:instrText>
      </w:r>
      <w:r>
        <w:rPr>
          <w:noProof/>
        </w:rPr>
      </w:r>
      <w:r>
        <w:rPr>
          <w:noProof/>
        </w:rPr>
        <w:fldChar w:fldCharType="separate"/>
      </w:r>
      <w:r w:rsidR="00E42D40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35512755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A3989">
        <w:rPr>
          <w:i/>
        </w:rPr>
        <w:t>p</w:t>
      </w:r>
      <w:r w:rsidR="001E5036">
        <w:rPr>
          <w:i/>
        </w:rPr>
        <w:t>atellar tendinopathy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9E2092">
        <w:t>21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1E5036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35512756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>This instrument commences on</w:t>
      </w:r>
      <w:r w:rsidR="009E2092">
        <w:t xml:space="preserve"> 25 May 2020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35512757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35512758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1E5036" w:rsidRPr="001E5036">
        <w:t>patellar tendinopathy</w:t>
      </w:r>
      <w:r w:rsidRPr="00DA3996">
        <w:t xml:space="preserve"> No. </w:t>
      </w:r>
      <w:r w:rsidR="001E5036">
        <w:t>114</w:t>
      </w:r>
      <w:r w:rsidRPr="00DA3996">
        <w:t xml:space="preserve"> of </w:t>
      </w:r>
      <w:r w:rsidR="001E5036">
        <w:t>2011</w:t>
      </w:r>
      <w:r w:rsidR="005962C4">
        <w:t xml:space="preserve"> </w:t>
      </w:r>
      <w:r w:rsidR="005962C4" w:rsidRPr="00786DAE">
        <w:t xml:space="preserve">(Federal Register of </w:t>
      </w:r>
      <w:r w:rsidR="005962C4" w:rsidRPr="001E5036">
        <w:t xml:space="preserve">Legislation No. </w:t>
      </w:r>
      <w:r w:rsidR="001E5036" w:rsidRPr="001E5036">
        <w:t>F2011L01743</w:t>
      </w:r>
      <w:r w:rsidR="005962C4" w:rsidRPr="001E5036">
        <w:t>)</w:t>
      </w:r>
      <w:r w:rsidR="005962C4" w:rsidRPr="00786DAE">
        <w:t xml:space="preserve"> </w:t>
      </w:r>
      <w:r w:rsidR="005962C4" w:rsidRPr="00DA3996">
        <w:t xml:space="preserve">made under subsection </w:t>
      </w:r>
      <w:proofErr w:type="gramStart"/>
      <w:r w:rsidR="005962C4" w:rsidRPr="00DA3996">
        <w:t>196B(</w:t>
      </w:r>
      <w:proofErr w:type="gramEnd"/>
      <w:r w:rsidR="005962C4" w:rsidRPr="00DA3996">
        <w:t xml:space="preserve">2) </w:t>
      </w:r>
      <w:r w:rsidR="001E5036">
        <w:t>o</w:t>
      </w:r>
      <w:r w:rsidRPr="00DA3996">
        <w:t xml:space="preserve">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35512759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35512760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35512761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1E5036" w:rsidRPr="001E5036">
        <w:t>patellar tendinopathy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1E5036" w:rsidRPr="001E5036">
        <w:t>patellar tendinopathy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1E5036" w:rsidRPr="001E5036">
        <w:rPr>
          <w:b/>
        </w:rPr>
        <w:t>patellar tendinopathy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1E5036" w:rsidRPr="001E5036">
        <w:t>patellar tendinopathy</w:t>
      </w:r>
      <w:r w:rsidR="002716E4" w:rsidRPr="00237BAF">
        <w:t>:</w:t>
      </w:r>
      <w:bookmarkEnd w:id="19"/>
    </w:p>
    <w:bookmarkEnd w:id="20"/>
    <w:p w:rsidR="001E5036" w:rsidRDefault="001E5036" w:rsidP="001E5036">
      <w:pPr>
        <w:pStyle w:val="LV3"/>
      </w:pPr>
      <w:r>
        <w:tab/>
        <w:t>means an acquired clinically symptomatic condition involving inflammation or degeneration of the patellar tendon; and</w:t>
      </w:r>
    </w:p>
    <w:p w:rsidR="00BD7870" w:rsidRDefault="00BD7870" w:rsidP="001E5036">
      <w:pPr>
        <w:pStyle w:val="LV3"/>
      </w:pPr>
      <w:r>
        <w:t>i</w:t>
      </w:r>
      <w:r w:rsidR="001E5036">
        <w:t>ncludes</w:t>
      </w:r>
      <w:r>
        <w:t>:</w:t>
      </w:r>
    </w:p>
    <w:p w:rsidR="00BD7870" w:rsidRDefault="00DD2E76" w:rsidP="00BD7870">
      <w:pPr>
        <w:pStyle w:val="LV4"/>
        <w:ind w:left="2552"/>
      </w:pPr>
      <w:r>
        <w:t xml:space="preserve">degenerative </w:t>
      </w:r>
      <w:r w:rsidR="001E5036">
        <w:t xml:space="preserve">distal quadriceps tendon tear or rupture; </w:t>
      </w:r>
    </w:p>
    <w:p w:rsidR="00DD2E76" w:rsidRDefault="00DD2E76" w:rsidP="00BD7870">
      <w:pPr>
        <w:pStyle w:val="LV4"/>
        <w:ind w:left="2552"/>
      </w:pPr>
      <w:r>
        <w:t>degenerative patellar tendon tear or rupture;</w:t>
      </w:r>
    </w:p>
    <w:p w:rsidR="00BD7870" w:rsidRDefault="00BD7870" w:rsidP="00BD7870">
      <w:pPr>
        <w:pStyle w:val="LV4"/>
        <w:ind w:left="2552"/>
      </w:pPr>
      <w:r>
        <w:t xml:space="preserve">distal quadriceps tendinitis or tendinopathy; </w:t>
      </w:r>
      <w:r w:rsidR="001E5036">
        <w:t>and</w:t>
      </w:r>
    </w:p>
    <w:p w:rsidR="001E5036" w:rsidRDefault="00BD7870" w:rsidP="00BD7870">
      <w:pPr>
        <w:pStyle w:val="LV4"/>
        <w:ind w:left="2552"/>
      </w:pPr>
      <w:r>
        <w:t>patellar tendinitis; and</w:t>
      </w:r>
      <w:r w:rsidR="001E5036">
        <w:t xml:space="preserve"> </w:t>
      </w:r>
    </w:p>
    <w:p w:rsidR="001E5036" w:rsidRDefault="001E5036" w:rsidP="001E5036">
      <w:pPr>
        <w:pStyle w:val="LV3"/>
      </w:pPr>
      <w:r>
        <w:tab/>
        <w:t>excludes:</w:t>
      </w:r>
    </w:p>
    <w:p w:rsidR="001E5036" w:rsidRDefault="001E5036" w:rsidP="001E5036">
      <w:pPr>
        <w:pStyle w:val="LV4"/>
        <w:ind w:left="2552"/>
      </w:pPr>
      <w:r>
        <w:t>Osgood</w:t>
      </w:r>
      <w:r w:rsidR="00234109">
        <w:t>-</w:t>
      </w:r>
      <w:r>
        <w:t>Schlatter disease;</w:t>
      </w:r>
    </w:p>
    <w:p w:rsidR="001E5036" w:rsidRDefault="001E5036" w:rsidP="001E5036">
      <w:pPr>
        <w:pStyle w:val="LV4"/>
        <w:ind w:left="2552"/>
      </w:pPr>
      <w:r>
        <w:lastRenderedPageBreak/>
        <w:t xml:space="preserve">patellar tendon </w:t>
      </w:r>
      <w:proofErr w:type="spellStart"/>
      <w:r>
        <w:t>enthesopathy</w:t>
      </w:r>
      <w:proofErr w:type="spellEnd"/>
      <w:r>
        <w:t xml:space="preserve">; </w:t>
      </w:r>
    </w:p>
    <w:p w:rsidR="00253D7C" w:rsidRDefault="001E5036" w:rsidP="001E5036">
      <w:pPr>
        <w:pStyle w:val="LV4"/>
        <w:ind w:left="2552"/>
      </w:pPr>
      <w:r>
        <w:t xml:space="preserve">patellar tendon lateral femoral condyle friction </w:t>
      </w:r>
      <w:r w:rsidRPr="001E5036">
        <w:t>syndrome (Hoffa fat pad impingement syndrome)</w:t>
      </w:r>
      <w:r>
        <w:t>; and</w:t>
      </w:r>
    </w:p>
    <w:p w:rsidR="001E5036" w:rsidRPr="001E5036" w:rsidRDefault="001E5036" w:rsidP="001E5036">
      <w:pPr>
        <w:pStyle w:val="LV4"/>
        <w:ind w:left="2552"/>
      </w:pPr>
      <w:r>
        <w:t>Sindi</w:t>
      </w:r>
      <w:r w:rsidR="000A3949">
        <w:t>n</w:t>
      </w:r>
      <w:r>
        <w:t>g-Larsen-Johansson syndrome.</w:t>
      </w:r>
    </w:p>
    <w:p w:rsidR="00253D7C" w:rsidRPr="008E76DC" w:rsidRDefault="00253D7C" w:rsidP="00253D7C">
      <w:pPr>
        <w:pStyle w:val="Note2"/>
      </w:pPr>
      <w:r>
        <w:t xml:space="preserve">Note: </w:t>
      </w:r>
      <w:r w:rsidR="001E5036">
        <w:t xml:space="preserve"> </w:t>
      </w:r>
      <w:r w:rsidR="001E5036" w:rsidRPr="001E5036">
        <w:t>The symptoms of patellar tendinopathy include pain and tenderness localised to the distal quadriceps or patellar tendon at the front of the knee, and a worsening of the symptoms with physical activity.</w:t>
      </w:r>
    </w:p>
    <w:p w:rsidR="008F572A" w:rsidRPr="00237BAF" w:rsidRDefault="008F572A" w:rsidP="00253D7C">
      <w:pPr>
        <w:pStyle w:val="LV2"/>
      </w:pPr>
      <w:r w:rsidRPr="00237BAF">
        <w:t xml:space="preserve">While </w:t>
      </w:r>
      <w:r w:rsidR="001E5036" w:rsidRPr="001E5036">
        <w:t>patellar tendinopathy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1E5036">
        <w:t>M76.5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1E5036" w:rsidRPr="001E5036">
        <w:t>patellar tendinopathy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1E5036" w:rsidRPr="001E5036">
        <w:rPr>
          <w:b/>
        </w:rPr>
        <w:t>patellar tendinopathy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1E5036" w:rsidRPr="001E5036">
        <w:t>patellar tendinopathy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1E5036" w:rsidRPr="001E5036">
        <w:t>patellar tendinopathy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35512762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1E5036" w:rsidRPr="001E5036">
        <w:t>patellar tendinopathy</w:t>
      </w:r>
      <w:r>
        <w:t xml:space="preserve"> </w:t>
      </w:r>
      <w:r w:rsidRPr="00D5620B">
        <w:t>and death from</w:t>
      </w:r>
      <w:r>
        <w:t xml:space="preserve"> </w:t>
      </w:r>
      <w:r w:rsidR="001E5036" w:rsidRPr="001E5036">
        <w:t>patellar tendinopathy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35512763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1E5036" w:rsidRPr="001E5036">
        <w:t>patellar tendinopathy</w:t>
      </w:r>
      <w:r w:rsidR="007A3989">
        <w:t xml:space="preserve"> </w:t>
      </w:r>
      <w:r w:rsidR="007C7DEE" w:rsidRPr="00AA6D8B">
        <w:t xml:space="preserve">or death from </w:t>
      </w:r>
      <w:r w:rsidR="001E5036" w:rsidRPr="001E5036">
        <w:t>patellar tendinopathy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1E5036" w:rsidRDefault="001E5036" w:rsidP="001E5036">
      <w:pPr>
        <w:pStyle w:val="LV2"/>
      </w:pPr>
      <w:bookmarkStart w:id="27" w:name="_Ref402530260"/>
      <w:bookmarkStart w:id="28" w:name="_Ref409598844"/>
      <w:r w:rsidRPr="001E5036">
        <w:t xml:space="preserve">running or jogging an average of at least 30 kilometres per week for </w:t>
      </w:r>
      <w:r w:rsidR="007F13F3">
        <w:t xml:space="preserve">at least </w:t>
      </w:r>
      <w:r w:rsidRPr="001E5036">
        <w:t xml:space="preserve">the </w:t>
      </w:r>
      <w:r w:rsidR="007F13F3">
        <w:t>four weeks</w:t>
      </w:r>
      <w:r w:rsidR="00E44356">
        <w:t xml:space="preserve"> before the clinical onset</w:t>
      </w:r>
      <w:r w:rsidRPr="001E5036">
        <w:t xml:space="preserve"> of patellar tendinopathy;</w:t>
      </w:r>
    </w:p>
    <w:p w:rsidR="00253D7C" w:rsidRPr="008D1B8B" w:rsidRDefault="007F13F3" w:rsidP="007F13F3">
      <w:pPr>
        <w:pStyle w:val="LV2"/>
      </w:pPr>
      <w:r w:rsidRPr="007F13F3">
        <w:t xml:space="preserve">undertaking weight bearing exercise involving jumping or repeated flexion and extension of the affected knee, at a </w:t>
      </w:r>
      <w:r>
        <w:t xml:space="preserve">minimum intensity </w:t>
      </w:r>
      <w:r w:rsidRPr="007F13F3">
        <w:t>greater than six METs for at least four hours per week</w:t>
      </w:r>
      <w:r>
        <w:t>,</w:t>
      </w:r>
      <w:r w:rsidRPr="007F13F3">
        <w:t xml:space="preserve"> for </w:t>
      </w:r>
      <w:r>
        <w:t xml:space="preserve">at least </w:t>
      </w:r>
      <w:r w:rsidRPr="007F13F3">
        <w:t xml:space="preserve">the </w:t>
      </w:r>
      <w:r>
        <w:t>four weeks</w:t>
      </w:r>
      <w:r w:rsidR="00E44356">
        <w:t xml:space="preserve"> before the clinical onset</w:t>
      </w:r>
      <w:r w:rsidRPr="007F13F3">
        <w:t xml:space="preserve"> of patellar tendinopathy;</w:t>
      </w:r>
    </w:p>
    <w:p w:rsidR="00253D7C" w:rsidRPr="00046E67" w:rsidRDefault="00253D7C" w:rsidP="00253D7C">
      <w:pPr>
        <w:pStyle w:val="Note2"/>
      </w:pPr>
      <w:r>
        <w:t xml:space="preserve">Note: </w:t>
      </w:r>
      <w:r w:rsidR="007F13F3">
        <w:rPr>
          <w:b/>
          <w:i/>
        </w:rPr>
        <w:t>MET</w:t>
      </w:r>
      <w:r w:rsidRPr="00046E67">
        <w:t xml:space="preserve"> is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A23921" w:rsidRDefault="00A23921" w:rsidP="00A23921">
      <w:pPr>
        <w:pStyle w:val="LV2"/>
      </w:pPr>
      <w:r w:rsidRPr="00A23921">
        <w:lastRenderedPageBreak/>
        <w:t>increasing the frequency, duration or intensity of weight bearing activity involving the affected knee by at least 100 percent, to a minimum intensity of five METs for at least two hours per day, within the seven</w:t>
      </w:r>
      <w:r w:rsidR="00E44356">
        <w:t xml:space="preserve"> days before the clinical onset</w:t>
      </w:r>
      <w:r w:rsidRPr="00A23921">
        <w:t xml:space="preserve"> of patellar tendinopathy;</w:t>
      </w:r>
    </w:p>
    <w:p w:rsidR="00A23921" w:rsidRDefault="00A23921" w:rsidP="00A23921">
      <w:pPr>
        <w:pStyle w:val="Note2"/>
      </w:pPr>
      <w:r w:rsidRPr="00A23921">
        <w:t xml:space="preserve">Note: </w:t>
      </w:r>
      <w:r w:rsidRPr="00A23921">
        <w:rPr>
          <w:b/>
          <w:i/>
        </w:rPr>
        <w:t>MET</w:t>
      </w:r>
      <w:r w:rsidRPr="00A23921">
        <w:t xml:space="preserve"> is defined in the Schedule 1 - Dictionary.</w:t>
      </w:r>
      <w:r w:rsidRPr="00A23921">
        <w:tab/>
      </w:r>
    </w:p>
    <w:p w:rsidR="00A23921" w:rsidRDefault="00A23921" w:rsidP="00A23921">
      <w:pPr>
        <w:pStyle w:val="LV2"/>
      </w:pPr>
      <w:r w:rsidRPr="00A23921">
        <w:t>having direct trauma to the patellar tendon of the affected knee at</w:t>
      </w:r>
      <w:r w:rsidR="00E44356">
        <w:t xml:space="preserve"> the time of the clinical onset</w:t>
      </w:r>
      <w:r w:rsidRPr="00A23921">
        <w:t xml:space="preserve"> of patellar tendinopathy;</w:t>
      </w:r>
    </w:p>
    <w:p w:rsidR="00A23921" w:rsidRDefault="00A23921" w:rsidP="00A23921">
      <w:pPr>
        <w:pStyle w:val="LV2"/>
      </w:pPr>
      <w:r w:rsidRPr="00A23921">
        <w:t xml:space="preserve">having gout of the patellar </w:t>
      </w:r>
      <w:r w:rsidR="00CA7934">
        <w:t xml:space="preserve">tendon </w:t>
      </w:r>
      <w:r w:rsidRPr="00A23921">
        <w:t>or distal quadriceps tendon at t</w:t>
      </w:r>
      <w:r w:rsidR="00E44356">
        <w:t>he time of the clinical onset</w:t>
      </w:r>
      <w:r w:rsidRPr="00A23921">
        <w:t xml:space="preserve"> of patellar tendinopathy;</w:t>
      </w:r>
    </w:p>
    <w:p w:rsidR="00A23921" w:rsidRDefault="00A23921" w:rsidP="00E44356">
      <w:pPr>
        <w:pStyle w:val="LV2"/>
      </w:pPr>
      <w:r>
        <w:t xml:space="preserve">being treated with a glucocorticoid drug as specified before the clinical </w:t>
      </w:r>
      <w:r w:rsidR="00E44356">
        <w:t>onset</w:t>
      </w:r>
      <w:r>
        <w:t xml:space="preserve"> of patellar tendinopathy;</w:t>
      </w:r>
    </w:p>
    <w:p w:rsidR="00A23921" w:rsidRDefault="00A23921" w:rsidP="00A23921">
      <w:pPr>
        <w:pStyle w:val="Note2"/>
        <w:ind w:left="1843" w:hanging="425"/>
      </w:pPr>
      <w:r w:rsidRPr="00A23921">
        <w:t xml:space="preserve">Note: </w:t>
      </w:r>
      <w:r w:rsidRPr="00A23921">
        <w:rPr>
          <w:b/>
          <w:i/>
        </w:rPr>
        <w:t>being treated with a glucocorticoid drug as specified</w:t>
      </w:r>
      <w:r w:rsidRPr="00A23921">
        <w:t xml:space="preserve"> is defined in the Schedule</w:t>
      </w:r>
      <w:r>
        <w:t> </w:t>
      </w:r>
      <w:r w:rsidRPr="00A23921">
        <w:t>1</w:t>
      </w:r>
      <w:r>
        <w:t> </w:t>
      </w:r>
      <w:r w:rsidRPr="00A23921">
        <w:t>-</w:t>
      </w:r>
      <w:r>
        <w:t> </w:t>
      </w:r>
      <w:r w:rsidRPr="00A23921">
        <w:t>Dictionary.</w:t>
      </w:r>
    </w:p>
    <w:p w:rsidR="00EA4970" w:rsidRDefault="00EA4970" w:rsidP="00EA4970">
      <w:pPr>
        <w:pStyle w:val="LV2"/>
      </w:pPr>
      <w:r w:rsidRPr="00EA4970">
        <w:t xml:space="preserve">being treated with </w:t>
      </w:r>
      <w:r>
        <w:t xml:space="preserve">a </w:t>
      </w:r>
      <w:r w:rsidRPr="00EA4970">
        <w:t>fluoroquinolone antibiotic within the 60</w:t>
      </w:r>
      <w:r w:rsidR="00E44356">
        <w:t xml:space="preserve"> days before the clinical onset</w:t>
      </w:r>
      <w:r w:rsidRPr="00EA4970">
        <w:t xml:space="preserve"> of patellar tendinopathy;</w:t>
      </w:r>
      <w:r>
        <w:t xml:space="preserve"> </w:t>
      </w:r>
    </w:p>
    <w:p w:rsidR="00E44356" w:rsidRDefault="00E44356" w:rsidP="00E44356">
      <w:pPr>
        <w:pStyle w:val="LV2"/>
      </w:pPr>
      <w:r w:rsidRPr="00E44356">
        <w:t>for distal quadriceps tendinopathy or rupture only, being treated with atorvastatin for at least three months within the one</w:t>
      </w:r>
      <w:r>
        <w:t xml:space="preserve"> year before the clinical onset</w:t>
      </w:r>
      <w:r w:rsidRPr="00E44356">
        <w:t xml:space="preserve"> of patellar tendinopathy;</w:t>
      </w:r>
    </w:p>
    <w:p w:rsidR="00253D7C" w:rsidRPr="008E76DC" w:rsidRDefault="00EA4970" w:rsidP="00EA4970">
      <w:pPr>
        <w:pStyle w:val="LV2"/>
      </w:pPr>
      <w:r w:rsidRPr="00EA4970">
        <w:t>for patellar</w:t>
      </w:r>
      <w:r w:rsidR="00CA3840">
        <w:t xml:space="preserve"> tendon </w:t>
      </w:r>
      <w:r w:rsidRPr="00EA4970">
        <w:t xml:space="preserve">or </w:t>
      </w:r>
      <w:r>
        <w:t xml:space="preserve">distal </w:t>
      </w:r>
      <w:r w:rsidRPr="00EA4970">
        <w:t>quadriceps tendon rupture only</w:t>
      </w:r>
      <w:r w:rsidR="00253D7C" w:rsidRPr="008E76DC">
        <w:t>:</w:t>
      </w:r>
    </w:p>
    <w:p w:rsidR="00253D7C" w:rsidRPr="008E76DC" w:rsidRDefault="00EA4970" w:rsidP="00EA4970">
      <w:pPr>
        <w:pStyle w:val="LV3"/>
      </w:pPr>
      <w:r w:rsidRPr="00EA4970">
        <w:t>having diabetes mellitus at the time of the clinical onset of patellar tendinopathy;</w:t>
      </w:r>
      <w:r w:rsidR="00253D7C" w:rsidRPr="008E76DC">
        <w:t xml:space="preserve"> or</w:t>
      </w:r>
    </w:p>
    <w:p w:rsidR="00253D7C" w:rsidRPr="008E76DC" w:rsidRDefault="00EA4970" w:rsidP="00EA4970">
      <w:pPr>
        <w:pStyle w:val="LV3"/>
      </w:pPr>
      <w:r w:rsidRPr="00EA4970">
        <w:t>having chronic renal failure at the time of the clinical onset of patellar tendinopathy</w:t>
      </w:r>
      <w:r w:rsidR="00253D7C" w:rsidRPr="008E76DC">
        <w:t>;</w:t>
      </w:r>
    </w:p>
    <w:p w:rsidR="00253D7C" w:rsidRPr="00046E67" w:rsidRDefault="00253D7C" w:rsidP="00253D7C">
      <w:pPr>
        <w:pStyle w:val="Note1"/>
      </w:pPr>
      <w:r>
        <w:t xml:space="preserve">Note: </w:t>
      </w:r>
      <w:r w:rsidR="00EA4970" w:rsidRPr="00EA4970">
        <w:rPr>
          <w:b/>
          <w:i/>
        </w:rPr>
        <w:t>chronic renal failure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046E67">
        <w:t>Dictionary.</w:t>
      </w:r>
      <w:r w:rsidRPr="00046E67">
        <w:tab/>
      </w:r>
    </w:p>
    <w:p w:rsidR="00E44356" w:rsidRDefault="00E44356" w:rsidP="00E44356">
      <w:pPr>
        <w:pStyle w:val="LV2"/>
      </w:pPr>
      <w:r w:rsidRPr="001E5036">
        <w:t xml:space="preserve">running or jogging an average of at least 30 kilometres per week for </w:t>
      </w:r>
      <w:r>
        <w:t xml:space="preserve">at least </w:t>
      </w:r>
      <w:r w:rsidRPr="001E5036">
        <w:t xml:space="preserve">the </w:t>
      </w:r>
      <w:r>
        <w:t>four weeks</w:t>
      </w:r>
      <w:r w:rsidRPr="001E5036">
        <w:t xml:space="preserve"> before the clinical worsening of patellar tendinopathy;</w:t>
      </w:r>
    </w:p>
    <w:p w:rsidR="00E44356" w:rsidRPr="008D1B8B" w:rsidRDefault="00E44356" w:rsidP="00E44356">
      <w:pPr>
        <w:pStyle w:val="LV2"/>
      </w:pPr>
      <w:r w:rsidRPr="007F13F3">
        <w:t xml:space="preserve">undertaking weight bearing exercise involving jumping or repeated flexion and extension of the affected knee, at a </w:t>
      </w:r>
      <w:r>
        <w:t xml:space="preserve">minimum intensity </w:t>
      </w:r>
      <w:r w:rsidRPr="007F13F3">
        <w:t>greater than six METs for at least four hours per week</w:t>
      </w:r>
      <w:r>
        <w:t>,</w:t>
      </w:r>
      <w:r w:rsidRPr="007F13F3">
        <w:t xml:space="preserve"> for </w:t>
      </w:r>
      <w:r>
        <w:t xml:space="preserve">at least </w:t>
      </w:r>
      <w:r w:rsidRPr="007F13F3">
        <w:t xml:space="preserve">the </w:t>
      </w:r>
      <w:r>
        <w:t>four weeks</w:t>
      </w:r>
      <w:r w:rsidRPr="007F13F3">
        <w:t xml:space="preserve"> before the clinical worsening of patellar tendinopathy;</w:t>
      </w:r>
    </w:p>
    <w:p w:rsidR="00E44356" w:rsidRPr="00046E67" w:rsidRDefault="00E44356" w:rsidP="00E44356">
      <w:pPr>
        <w:pStyle w:val="Note2"/>
      </w:pPr>
      <w:r>
        <w:t xml:space="preserve">Note: </w:t>
      </w:r>
      <w:r>
        <w:rPr>
          <w:b/>
          <w:i/>
        </w:rPr>
        <w:t>MET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E44356" w:rsidRDefault="00E44356" w:rsidP="00E44356">
      <w:pPr>
        <w:pStyle w:val="LV2"/>
      </w:pPr>
      <w:r w:rsidRPr="00A23921">
        <w:t>increasing the frequency, duration or intensity of weight bearing activity involving the affected knee by at least 100 percent, to a minimum intensity of five METs for at least two hours per day, within the seven days before the clinical worsening of patellar tendinopathy;</w:t>
      </w:r>
    </w:p>
    <w:p w:rsidR="00E44356" w:rsidRDefault="00E44356" w:rsidP="00E44356">
      <w:pPr>
        <w:pStyle w:val="Note2"/>
      </w:pPr>
      <w:r w:rsidRPr="00A23921">
        <w:t xml:space="preserve">Note: </w:t>
      </w:r>
      <w:r w:rsidRPr="00A23921">
        <w:rPr>
          <w:b/>
          <w:i/>
        </w:rPr>
        <w:t>MET</w:t>
      </w:r>
      <w:r w:rsidRPr="00A23921">
        <w:t xml:space="preserve"> is defined in the Schedule 1 - Dictionary.</w:t>
      </w:r>
      <w:r w:rsidRPr="00A23921">
        <w:tab/>
      </w:r>
    </w:p>
    <w:p w:rsidR="00E44356" w:rsidRDefault="00E44356" w:rsidP="00E44356">
      <w:pPr>
        <w:pStyle w:val="LV2"/>
      </w:pPr>
      <w:r w:rsidRPr="00A23921">
        <w:t>having direct trauma to the patellar tendon of the affected knee at the time of the clinical worsening of patellar tendinopathy;</w:t>
      </w:r>
    </w:p>
    <w:p w:rsidR="00E44356" w:rsidRDefault="00E44356" w:rsidP="00E44356">
      <w:pPr>
        <w:pStyle w:val="LV2"/>
      </w:pPr>
      <w:r w:rsidRPr="00A23921">
        <w:lastRenderedPageBreak/>
        <w:t xml:space="preserve">having gout of the patellar </w:t>
      </w:r>
      <w:r w:rsidR="00CA7934">
        <w:t xml:space="preserve">tendon </w:t>
      </w:r>
      <w:r w:rsidRPr="00A23921">
        <w:t>or distal quadriceps tendon at the time of the clinical worsening of patellar tendinopathy;</w:t>
      </w:r>
    </w:p>
    <w:p w:rsidR="00E44356" w:rsidRDefault="00E44356" w:rsidP="00E44356">
      <w:pPr>
        <w:pStyle w:val="LV2"/>
      </w:pPr>
      <w:r>
        <w:t>being treated with a glucocorticoid drug as specified before the clinical worsening of patellar tendinopathy;</w:t>
      </w:r>
    </w:p>
    <w:p w:rsidR="00E44356" w:rsidRDefault="00E44356" w:rsidP="00E44356">
      <w:pPr>
        <w:pStyle w:val="Note2"/>
        <w:ind w:left="1843" w:hanging="425"/>
      </w:pPr>
      <w:r w:rsidRPr="00A23921">
        <w:t xml:space="preserve">Note: </w:t>
      </w:r>
      <w:r w:rsidRPr="00A23921">
        <w:rPr>
          <w:b/>
          <w:i/>
        </w:rPr>
        <w:t>being treated with a glucocorticoid drug as specified</w:t>
      </w:r>
      <w:r w:rsidRPr="00A23921">
        <w:t xml:space="preserve"> is defined in the Schedule</w:t>
      </w:r>
      <w:r>
        <w:t> </w:t>
      </w:r>
      <w:r w:rsidRPr="00A23921">
        <w:t>1</w:t>
      </w:r>
      <w:r>
        <w:t> </w:t>
      </w:r>
      <w:r w:rsidRPr="00A23921">
        <w:t>-</w:t>
      </w:r>
      <w:r>
        <w:t> </w:t>
      </w:r>
      <w:r w:rsidRPr="00A23921">
        <w:t>Dictionary.</w:t>
      </w:r>
    </w:p>
    <w:p w:rsidR="00E44356" w:rsidRDefault="00E44356" w:rsidP="00E44356">
      <w:pPr>
        <w:pStyle w:val="LV2"/>
      </w:pPr>
      <w:r w:rsidRPr="00EA4970">
        <w:t xml:space="preserve">being treated with </w:t>
      </w:r>
      <w:r>
        <w:t xml:space="preserve">a </w:t>
      </w:r>
      <w:r w:rsidRPr="00EA4970">
        <w:t>fluoroquinolone antibiotic within the 60 days before the clinical worsening of patellar tendinopathy;</w:t>
      </w:r>
      <w:r>
        <w:t xml:space="preserve"> </w:t>
      </w:r>
    </w:p>
    <w:p w:rsidR="00E44356" w:rsidRDefault="00E44356" w:rsidP="00E44356">
      <w:pPr>
        <w:pStyle w:val="LV2"/>
      </w:pPr>
      <w:r w:rsidRPr="00E44356">
        <w:t>for distal quadriceps tendinopathy or rupture only, being treated with atorvastatin for at least three months within the one year before the clinical worsening of patellar tendinopathy;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1E5036" w:rsidRPr="001E5036">
        <w:t>patellar tendinopathy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35512764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E44356">
        <w:t>10</w:t>
      </w:r>
      <w:r w:rsidR="00FF1D47">
        <w:t>)</w:t>
      </w:r>
      <w:r w:rsidR="00E44356">
        <w:t xml:space="preserve"> to 9(18)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1E5036" w:rsidRPr="001E5036">
        <w:t>patellar tendinopathy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1E5036" w:rsidRPr="001E5036">
        <w:t>patellar tendinopathy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35512765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3551276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137EC3">
      <w:pPr>
        <w:pStyle w:val="SH1"/>
        <w:ind w:hanging="567"/>
      </w:pPr>
      <w:bookmarkStart w:id="35" w:name="_Toc405472918"/>
      <w:bookmarkStart w:id="36" w:name="_Toc35512767"/>
      <w:r w:rsidRPr="00D97BB3">
        <w:t>Definitions</w:t>
      </w:r>
      <w:bookmarkEnd w:id="35"/>
      <w:bookmarkEnd w:id="36"/>
    </w:p>
    <w:p w:rsidR="00702C42" w:rsidRPr="00536E1B" w:rsidRDefault="00702C42" w:rsidP="003016CA">
      <w:pPr>
        <w:pStyle w:val="SH2"/>
        <w:rPr>
          <w:b w:val="0"/>
        </w:rPr>
      </w:pPr>
      <w:r w:rsidRPr="00536E1B">
        <w:rPr>
          <w:b w:val="0"/>
        </w:rPr>
        <w:t>In this instrument:</w:t>
      </w:r>
    </w:p>
    <w:p w:rsidR="00A22B8F" w:rsidRPr="00A22B8F" w:rsidRDefault="00A23921" w:rsidP="003016CA">
      <w:pPr>
        <w:pStyle w:val="SH3"/>
      </w:pPr>
      <w:bookmarkStart w:id="37" w:name="_Ref402530810"/>
      <w:r w:rsidRPr="00A22B8F">
        <w:t xml:space="preserve">being treated with a glucocorticoid drug as specified </w:t>
      </w:r>
      <w:r w:rsidRPr="003016CA">
        <w:rPr>
          <w:b w:val="0"/>
          <w:i w:val="0"/>
        </w:rPr>
        <w:t>means</w:t>
      </w:r>
      <w:r w:rsidR="00A22B8F" w:rsidRPr="003016CA">
        <w:rPr>
          <w:b w:val="0"/>
          <w:i w:val="0"/>
        </w:rPr>
        <w:t>:</w:t>
      </w:r>
    </w:p>
    <w:p w:rsidR="00A22B8F" w:rsidRPr="00A22B8F" w:rsidRDefault="00A22B8F" w:rsidP="003016CA">
      <w:pPr>
        <w:pStyle w:val="SH4"/>
        <w:ind w:left="1418"/>
      </w:pPr>
      <w:r w:rsidRPr="00A22B8F">
        <w:t>being treated with prednisolone, in the combinations of mode of administration, dose, duration of treatment and proximity to the clinical onset or worsening of patellar tendinopathy, as specified in Table 1 below; or</w:t>
      </w:r>
    </w:p>
    <w:p w:rsidR="00A23921" w:rsidRDefault="00A22B8F" w:rsidP="003016CA">
      <w:pPr>
        <w:pStyle w:val="SH4"/>
        <w:ind w:left="1418"/>
      </w:pPr>
      <w:proofErr w:type="gramStart"/>
      <w:r w:rsidRPr="00A22B8F">
        <w:t>being</w:t>
      </w:r>
      <w:proofErr w:type="gramEnd"/>
      <w:r w:rsidRPr="00A22B8F">
        <w:t xml:space="preserve"> treated as specified in Table 1 with a glucocorticoid drug other than prednisolone in doses having an efficacy equivalent to prednisolone, that being calculated for the drugs listed in accordance with Table 2 below.</w:t>
      </w:r>
    </w:p>
    <w:p w:rsidR="00A22B8F" w:rsidRPr="00302BF6" w:rsidRDefault="00A22B8F" w:rsidP="003016CA">
      <w:pPr>
        <w:pStyle w:val="SH2"/>
      </w:pPr>
      <w:r w:rsidRPr="00302BF6">
        <w:t>Table 1</w:t>
      </w:r>
    </w:p>
    <w:tbl>
      <w:tblPr>
        <w:tblStyle w:val="TableGrid1"/>
        <w:tblW w:w="751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1417"/>
        <w:gridCol w:w="1560"/>
      </w:tblGrid>
      <w:tr w:rsidR="00A22B8F" w:rsidRPr="00284922" w:rsidTr="009E1A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b/>
                <w:sz w:val="24"/>
              </w:rPr>
            </w:pPr>
            <w:r w:rsidRPr="00284922">
              <w:rPr>
                <w:rFonts w:eastAsia="Calibri"/>
                <w:b/>
                <w:sz w:val="24"/>
              </w:rPr>
              <w:t xml:space="preserve">Drug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b/>
                <w:sz w:val="24"/>
              </w:rPr>
            </w:pPr>
            <w:r w:rsidRPr="00284922">
              <w:rPr>
                <w:rFonts w:eastAsia="Calibri"/>
                <w:b/>
                <w:sz w:val="24"/>
              </w:rPr>
              <w:t>Mode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b/>
                <w:sz w:val="24"/>
              </w:rPr>
            </w:pPr>
            <w:r w:rsidRPr="00284922">
              <w:rPr>
                <w:rFonts w:eastAsia="Calibri"/>
                <w:b/>
                <w:sz w:val="24"/>
              </w:rPr>
              <w:t>Dose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b/>
                <w:sz w:val="24"/>
              </w:rPr>
            </w:pPr>
            <w:r w:rsidRPr="00284922">
              <w:rPr>
                <w:rFonts w:eastAsia="Calibri"/>
                <w:b/>
                <w:sz w:val="24"/>
              </w:rPr>
              <w:t>Minimum duration of treatment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b/>
                <w:sz w:val="24"/>
              </w:rPr>
            </w:pPr>
            <w:r w:rsidRPr="00284922">
              <w:rPr>
                <w:rFonts w:eastAsia="Calibri"/>
                <w:b/>
                <w:sz w:val="24"/>
              </w:rPr>
              <w:t>Proximity to clinical onset or worsening</w:t>
            </w:r>
          </w:p>
        </w:tc>
      </w:tr>
      <w:tr w:rsidR="00A22B8F" w:rsidRPr="00284922" w:rsidTr="009E1AED">
        <w:trPr>
          <w:trHeight w:val="4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  <w:r w:rsidRPr="00284922">
              <w:rPr>
                <w:rFonts w:eastAsia="Calibri"/>
                <w:sz w:val="24"/>
              </w:rPr>
              <w:t xml:space="preserve">Prednisolone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  <w:r w:rsidRPr="00284922">
              <w:rPr>
                <w:rFonts w:eastAsia="Calibri"/>
                <w:sz w:val="24"/>
              </w:rPr>
              <w:t>IV, IM,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  <w:r w:rsidRPr="00284922">
              <w:rPr>
                <w:rFonts w:eastAsia="Calibri"/>
                <w:sz w:val="24"/>
              </w:rPr>
              <w:t>≥ 0.5 grams over 6 months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  <w:r w:rsidRPr="00284922">
              <w:rPr>
                <w:rFonts w:eastAsia="Calibri"/>
                <w:sz w:val="24"/>
              </w:rPr>
              <w:t>6 months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  <w:r w:rsidRPr="00284922">
              <w:rPr>
                <w:rFonts w:eastAsia="Calibri"/>
                <w:sz w:val="24"/>
              </w:rPr>
              <w:t>within the 3 years</w:t>
            </w:r>
          </w:p>
        </w:tc>
      </w:tr>
      <w:tr w:rsidR="00A22B8F" w:rsidRPr="00284922" w:rsidTr="009E1AED">
        <w:trPr>
          <w:trHeight w:val="4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  <w:r w:rsidRPr="00284922">
              <w:rPr>
                <w:rFonts w:eastAsia="Calibri"/>
                <w:sz w:val="24"/>
              </w:rPr>
              <w:t>≥ 3 grams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  <w:r w:rsidRPr="00284922">
              <w:rPr>
                <w:rFonts w:eastAsia="Calibri"/>
                <w:sz w:val="24"/>
              </w:rPr>
              <w:t>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  <w:r w:rsidRPr="00284922">
              <w:rPr>
                <w:rFonts w:eastAsia="Calibri"/>
                <w:sz w:val="24"/>
              </w:rPr>
              <w:t>within the 5 years</w:t>
            </w:r>
          </w:p>
        </w:tc>
      </w:tr>
      <w:tr w:rsidR="00A22B8F" w:rsidRPr="00284922" w:rsidTr="009E1AED">
        <w:trPr>
          <w:trHeight w:val="4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  <w:r w:rsidRPr="00284922">
              <w:rPr>
                <w:rFonts w:eastAsia="Calibri"/>
                <w:sz w:val="24"/>
              </w:rPr>
              <w:t>≥ 10 grams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  <w:r w:rsidRPr="00284922">
              <w:rPr>
                <w:rFonts w:eastAsia="Calibri"/>
                <w:sz w:val="24"/>
              </w:rPr>
              <w:t>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  <w:r w:rsidRPr="00284922">
              <w:rPr>
                <w:rFonts w:eastAsia="Calibri"/>
                <w:sz w:val="24"/>
              </w:rPr>
              <w:t>NS</w:t>
            </w:r>
          </w:p>
        </w:tc>
      </w:tr>
      <w:tr w:rsidR="00A22B8F" w:rsidRPr="00284922" w:rsidTr="009E1AED">
        <w:trPr>
          <w:trHeight w:val="4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  <w:r w:rsidRPr="00284922">
              <w:rPr>
                <w:rFonts w:eastAsia="Calibri"/>
                <w:sz w:val="24"/>
              </w:rPr>
              <w:t>Injection in tendon</w:t>
            </w:r>
          </w:p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  <w:r w:rsidRPr="00284922">
              <w:rPr>
                <w:rFonts w:eastAsia="Calibri"/>
                <w:sz w:val="24"/>
              </w:rPr>
              <w:t>region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  <w:r w:rsidRPr="00284922">
              <w:rPr>
                <w:rFonts w:eastAsia="Calibri"/>
                <w:sz w:val="24"/>
              </w:rPr>
              <w:t>≥ 1 injection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  <w:r w:rsidRPr="00284922">
              <w:rPr>
                <w:rFonts w:eastAsia="Calibri"/>
                <w:sz w:val="24"/>
              </w:rPr>
              <w:t>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8F" w:rsidRPr="00284922" w:rsidRDefault="00A22B8F" w:rsidP="00090EF4">
            <w:pPr>
              <w:rPr>
                <w:rFonts w:eastAsia="Calibri"/>
                <w:sz w:val="24"/>
              </w:rPr>
            </w:pPr>
            <w:r w:rsidRPr="00284922">
              <w:rPr>
                <w:rFonts w:eastAsia="Calibri"/>
                <w:sz w:val="24"/>
              </w:rPr>
              <w:t>within the 2 weeks</w:t>
            </w:r>
          </w:p>
        </w:tc>
      </w:tr>
    </w:tbl>
    <w:p w:rsidR="00A22B8F" w:rsidRPr="00A22B8F" w:rsidRDefault="00A22B8F" w:rsidP="009E1AED">
      <w:pPr>
        <w:pStyle w:val="SH5"/>
        <w:ind w:left="851"/>
      </w:pPr>
      <w:r w:rsidRPr="00A22B8F">
        <w:t xml:space="preserve">Abbreviations: IV = intravenous; IM = intramuscular; O = oral; NS = not specified. </w:t>
      </w:r>
    </w:p>
    <w:p w:rsidR="00A22B8F" w:rsidRPr="00302BF6" w:rsidRDefault="00A22B8F" w:rsidP="003016CA">
      <w:pPr>
        <w:pStyle w:val="SH2"/>
      </w:pPr>
      <w:r w:rsidRPr="00302BF6">
        <w:t>Table 2</w:t>
      </w:r>
    </w:p>
    <w:tbl>
      <w:tblPr>
        <w:tblStyle w:val="TableGrid"/>
        <w:tblW w:w="6095" w:type="dxa"/>
        <w:tblInd w:w="846" w:type="dxa"/>
        <w:tblLayout w:type="fixed"/>
        <w:tblLook w:val="01E0" w:firstRow="1" w:lastRow="1" w:firstColumn="1" w:lastColumn="1" w:noHBand="0" w:noVBand="0"/>
      </w:tblPr>
      <w:tblGrid>
        <w:gridCol w:w="2835"/>
        <w:gridCol w:w="3260"/>
      </w:tblGrid>
      <w:tr w:rsidR="00F86449" w:rsidRPr="0090467D" w:rsidTr="009E1A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49" w:rsidRPr="009E1AED" w:rsidRDefault="00F86449" w:rsidP="00090EF4">
            <w:pPr>
              <w:ind w:left="175"/>
              <w:rPr>
                <w:b/>
                <w:sz w:val="24"/>
                <w:szCs w:val="24"/>
              </w:rPr>
            </w:pPr>
            <w:r w:rsidRPr="009E1AED">
              <w:rPr>
                <w:b/>
                <w:sz w:val="24"/>
                <w:szCs w:val="24"/>
              </w:rPr>
              <w:t xml:space="preserve">Glucocorticoid </w:t>
            </w:r>
            <w:r w:rsidR="003016CA" w:rsidRPr="009E1AED">
              <w:rPr>
                <w:b/>
                <w:sz w:val="24"/>
                <w:szCs w:val="24"/>
              </w:rPr>
              <w:t>drug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49" w:rsidRPr="009E1AED" w:rsidRDefault="00F86449" w:rsidP="00090EF4">
            <w:pPr>
              <w:spacing w:after="60"/>
              <w:ind w:left="-164"/>
              <w:jc w:val="center"/>
              <w:rPr>
                <w:b/>
                <w:sz w:val="24"/>
                <w:szCs w:val="24"/>
              </w:rPr>
            </w:pPr>
            <w:r w:rsidRPr="009E1AED">
              <w:rPr>
                <w:b/>
                <w:sz w:val="24"/>
                <w:szCs w:val="24"/>
              </w:rPr>
              <w:t>Dose efficacy equivalence to prednisolone</w:t>
            </w:r>
          </w:p>
        </w:tc>
      </w:tr>
      <w:tr w:rsidR="00F86449" w:rsidRPr="0090467D" w:rsidTr="009E1A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449" w:rsidRPr="009E1AED" w:rsidRDefault="00F86449" w:rsidP="00090EF4">
            <w:pPr>
              <w:ind w:left="175"/>
              <w:rPr>
                <w:sz w:val="24"/>
                <w:szCs w:val="24"/>
              </w:rPr>
            </w:pPr>
            <w:r w:rsidRPr="009E1AED">
              <w:rPr>
                <w:sz w:val="24"/>
                <w:szCs w:val="24"/>
              </w:rPr>
              <w:t>cortisone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49" w:rsidRPr="009E1AED" w:rsidRDefault="00F86449" w:rsidP="00090EF4">
            <w:pPr>
              <w:ind w:left="-163"/>
              <w:jc w:val="center"/>
              <w:rPr>
                <w:sz w:val="24"/>
                <w:szCs w:val="24"/>
              </w:rPr>
            </w:pPr>
            <w:r w:rsidRPr="009E1AED">
              <w:rPr>
                <w:sz w:val="24"/>
                <w:szCs w:val="24"/>
              </w:rPr>
              <w:t>5</w:t>
            </w:r>
          </w:p>
        </w:tc>
      </w:tr>
      <w:tr w:rsidR="00F86449" w:rsidRPr="0090467D" w:rsidTr="009E1A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449" w:rsidRPr="009E1AED" w:rsidRDefault="00F86449" w:rsidP="00090EF4">
            <w:pPr>
              <w:ind w:left="175"/>
              <w:rPr>
                <w:sz w:val="24"/>
                <w:szCs w:val="24"/>
              </w:rPr>
            </w:pPr>
            <w:r w:rsidRPr="009E1AED">
              <w:rPr>
                <w:sz w:val="24"/>
                <w:szCs w:val="24"/>
              </w:rPr>
              <w:t>hydrocortisone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49" w:rsidRPr="009E1AED" w:rsidRDefault="00F86449" w:rsidP="00090EF4">
            <w:pPr>
              <w:ind w:left="-163"/>
              <w:jc w:val="center"/>
              <w:rPr>
                <w:sz w:val="24"/>
                <w:szCs w:val="24"/>
              </w:rPr>
            </w:pPr>
            <w:r w:rsidRPr="009E1AED">
              <w:rPr>
                <w:sz w:val="24"/>
                <w:szCs w:val="24"/>
              </w:rPr>
              <w:t>4</w:t>
            </w:r>
          </w:p>
        </w:tc>
      </w:tr>
      <w:tr w:rsidR="00F86449" w:rsidRPr="0090467D" w:rsidTr="009E1A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49" w:rsidRPr="009E1AED" w:rsidRDefault="00F86449" w:rsidP="00F86449">
            <w:pPr>
              <w:ind w:left="175"/>
              <w:rPr>
                <w:sz w:val="24"/>
                <w:szCs w:val="24"/>
              </w:rPr>
            </w:pPr>
            <w:r w:rsidRPr="009E1AED">
              <w:rPr>
                <w:sz w:val="24"/>
                <w:szCs w:val="24"/>
              </w:rPr>
              <w:t>prednisolone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9" w:rsidRPr="009E1AED" w:rsidRDefault="00F86449" w:rsidP="00F86449">
            <w:pPr>
              <w:ind w:left="-163"/>
              <w:jc w:val="center"/>
              <w:rPr>
                <w:sz w:val="24"/>
                <w:szCs w:val="24"/>
              </w:rPr>
            </w:pPr>
            <w:r w:rsidRPr="009E1AED">
              <w:rPr>
                <w:sz w:val="24"/>
                <w:szCs w:val="24"/>
              </w:rPr>
              <w:t>1</w:t>
            </w:r>
          </w:p>
        </w:tc>
      </w:tr>
      <w:tr w:rsidR="00F86449" w:rsidRPr="0090467D" w:rsidTr="009E1A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49" w:rsidRPr="009E1AED" w:rsidRDefault="00F86449" w:rsidP="00F86449">
            <w:pPr>
              <w:ind w:left="175"/>
              <w:rPr>
                <w:sz w:val="24"/>
                <w:szCs w:val="24"/>
              </w:rPr>
            </w:pPr>
            <w:r w:rsidRPr="009E1AED">
              <w:rPr>
                <w:sz w:val="24"/>
                <w:szCs w:val="24"/>
              </w:rPr>
              <w:t>prednisone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9" w:rsidRPr="009E1AED" w:rsidRDefault="00F86449" w:rsidP="00F86449">
            <w:pPr>
              <w:ind w:left="-163"/>
              <w:jc w:val="center"/>
              <w:rPr>
                <w:sz w:val="24"/>
                <w:szCs w:val="24"/>
              </w:rPr>
            </w:pPr>
            <w:r w:rsidRPr="009E1AED">
              <w:rPr>
                <w:sz w:val="24"/>
                <w:szCs w:val="24"/>
              </w:rPr>
              <w:t>1</w:t>
            </w:r>
          </w:p>
        </w:tc>
      </w:tr>
      <w:tr w:rsidR="00F86449" w:rsidRPr="0090467D" w:rsidTr="009E1A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49" w:rsidRPr="009E1AED" w:rsidRDefault="00F86449" w:rsidP="00F86449">
            <w:pPr>
              <w:ind w:left="175"/>
              <w:rPr>
                <w:sz w:val="24"/>
                <w:szCs w:val="24"/>
              </w:rPr>
            </w:pPr>
            <w:r w:rsidRPr="009E1AED">
              <w:rPr>
                <w:sz w:val="24"/>
                <w:szCs w:val="24"/>
              </w:rPr>
              <w:t>methylprednisolone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9" w:rsidRPr="009E1AED" w:rsidRDefault="00F86449" w:rsidP="00F86449">
            <w:pPr>
              <w:ind w:left="-163"/>
              <w:jc w:val="center"/>
              <w:rPr>
                <w:sz w:val="24"/>
                <w:szCs w:val="24"/>
              </w:rPr>
            </w:pPr>
            <w:r w:rsidRPr="009E1AED">
              <w:rPr>
                <w:sz w:val="24"/>
                <w:szCs w:val="24"/>
              </w:rPr>
              <w:t>0.8</w:t>
            </w:r>
          </w:p>
        </w:tc>
      </w:tr>
      <w:tr w:rsidR="00F86449" w:rsidRPr="0090467D" w:rsidTr="009E1A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49" w:rsidRPr="009E1AED" w:rsidRDefault="00F86449" w:rsidP="00F86449">
            <w:pPr>
              <w:ind w:left="175"/>
              <w:rPr>
                <w:sz w:val="24"/>
                <w:szCs w:val="24"/>
              </w:rPr>
            </w:pPr>
            <w:r w:rsidRPr="009E1AED">
              <w:rPr>
                <w:sz w:val="24"/>
                <w:szCs w:val="24"/>
              </w:rPr>
              <w:t>triamcinolone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9" w:rsidRPr="009E1AED" w:rsidRDefault="00F86449" w:rsidP="00F86449">
            <w:pPr>
              <w:ind w:left="-163"/>
              <w:jc w:val="center"/>
              <w:rPr>
                <w:sz w:val="24"/>
                <w:szCs w:val="24"/>
              </w:rPr>
            </w:pPr>
            <w:r w:rsidRPr="009E1AED">
              <w:rPr>
                <w:sz w:val="24"/>
                <w:szCs w:val="24"/>
              </w:rPr>
              <w:t>0.8</w:t>
            </w:r>
          </w:p>
        </w:tc>
      </w:tr>
      <w:tr w:rsidR="00F86449" w:rsidRPr="0090467D" w:rsidTr="009E1A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49" w:rsidRPr="009E1AED" w:rsidRDefault="00F86449" w:rsidP="00F86449">
            <w:pPr>
              <w:ind w:left="175"/>
              <w:rPr>
                <w:sz w:val="24"/>
                <w:szCs w:val="24"/>
              </w:rPr>
            </w:pPr>
            <w:proofErr w:type="spellStart"/>
            <w:r w:rsidRPr="009E1AED">
              <w:rPr>
                <w:sz w:val="24"/>
                <w:szCs w:val="24"/>
              </w:rPr>
              <w:t>paramethasone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9" w:rsidRPr="009E1AED" w:rsidRDefault="00F86449" w:rsidP="00F86449">
            <w:pPr>
              <w:ind w:left="-163"/>
              <w:jc w:val="center"/>
              <w:rPr>
                <w:sz w:val="24"/>
                <w:szCs w:val="24"/>
              </w:rPr>
            </w:pPr>
            <w:r w:rsidRPr="009E1AED">
              <w:rPr>
                <w:sz w:val="24"/>
                <w:szCs w:val="24"/>
              </w:rPr>
              <w:t>0.4</w:t>
            </w:r>
          </w:p>
        </w:tc>
      </w:tr>
      <w:tr w:rsidR="00F86449" w:rsidRPr="0090467D" w:rsidTr="009E1A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49" w:rsidRPr="009E1AED" w:rsidRDefault="00F86449" w:rsidP="00F86449">
            <w:pPr>
              <w:ind w:left="175"/>
              <w:rPr>
                <w:sz w:val="24"/>
                <w:szCs w:val="24"/>
              </w:rPr>
            </w:pPr>
            <w:r w:rsidRPr="009E1AED">
              <w:rPr>
                <w:sz w:val="24"/>
                <w:szCs w:val="24"/>
              </w:rPr>
              <w:t>dexamethasone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9" w:rsidRPr="009E1AED" w:rsidRDefault="00F86449" w:rsidP="00F86449">
            <w:pPr>
              <w:ind w:left="-163"/>
              <w:jc w:val="center"/>
              <w:rPr>
                <w:sz w:val="24"/>
                <w:szCs w:val="24"/>
              </w:rPr>
            </w:pPr>
            <w:r w:rsidRPr="009E1AED">
              <w:rPr>
                <w:sz w:val="24"/>
                <w:szCs w:val="24"/>
              </w:rPr>
              <w:t>0.15</w:t>
            </w:r>
          </w:p>
        </w:tc>
      </w:tr>
      <w:tr w:rsidR="00F86449" w:rsidRPr="0090467D" w:rsidTr="009E1A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49" w:rsidRPr="009E1AED" w:rsidRDefault="00F86449" w:rsidP="00F86449">
            <w:pPr>
              <w:ind w:left="175"/>
              <w:rPr>
                <w:sz w:val="24"/>
                <w:szCs w:val="24"/>
              </w:rPr>
            </w:pPr>
            <w:r w:rsidRPr="009E1AED">
              <w:rPr>
                <w:sz w:val="24"/>
                <w:szCs w:val="24"/>
              </w:rPr>
              <w:t>betamethasone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9" w:rsidRPr="009E1AED" w:rsidRDefault="00F86449" w:rsidP="00F86449">
            <w:pPr>
              <w:ind w:left="-163"/>
              <w:jc w:val="center"/>
              <w:rPr>
                <w:sz w:val="24"/>
                <w:szCs w:val="24"/>
              </w:rPr>
            </w:pPr>
            <w:r w:rsidRPr="009E1AED">
              <w:rPr>
                <w:sz w:val="24"/>
                <w:szCs w:val="24"/>
              </w:rPr>
              <w:t>0.12</w:t>
            </w:r>
          </w:p>
        </w:tc>
      </w:tr>
    </w:tbl>
    <w:p w:rsidR="00EA4970" w:rsidRDefault="00EA4970" w:rsidP="003016CA">
      <w:pPr>
        <w:pStyle w:val="SH3"/>
      </w:pPr>
      <w:r w:rsidRPr="00EA4970">
        <w:lastRenderedPageBreak/>
        <w:t>chronic renal failure</w:t>
      </w:r>
      <w:r>
        <w:t xml:space="preserve"> </w:t>
      </w:r>
      <w:r w:rsidRPr="003016CA">
        <w:rPr>
          <w:b w:val="0"/>
          <w:i w:val="0"/>
        </w:rPr>
        <w:t xml:space="preserve">means: </w:t>
      </w:r>
    </w:p>
    <w:p w:rsidR="00EA4970" w:rsidRDefault="00EA4970" w:rsidP="00E44356">
      <w:pPr>
        <w:pStyle w:val="SH4"/>
        <w:ind w:left="1418"/>
      </w:pPr>
      <w:r>
        <w:tab/>
        <w:t>having a glomerular filtration rate of less than 15 mL/min/1.73 m</w:t>
      </w:r>
      <w:r w:rsidRPr="00E44356">
        <w:rPr>
          <w:vertAlign w:val="superscript"/>
        </w:rPr>
        <w:t>2</w:t>
      </w:r>
      <w:r>
        <w:t xml:space="preserve"> for a period of at least three months; or </w:t>
      </w:r>
    </w:p>
    <w:p w:rsidR="00EA4970" w:rsidRDefault="00EA4970" w:rsidP="00E44356">
      <w:pPr>
        <w:pStyle w:val="SH4"/>
        <w:ind w:left="1418"/>
      </w:pPr>
      <w:r>
        <w:tab/>
        <w:t>a need for renal replacement therapy (dialysis or transplantation) for treatment of complications of decreased glomerular filtration rate which would otherwise increase the risk of morbidity and mortality; or</w:t>
      </w:r>
    </w:p>
    <w:p w:rsidR="00EA4970" w:rsidRPr="00EA4970" w:rsidRDefault="00EA4970" w:rsidP="00E44356">
      <w:pPr>
        <w:pStyle w:val="SH4"/>
        <w:ind w:left="1418"/>
      </w:pPr>
      <w:r>
        <w:tab/>
      </w:r>
      <w:proofErr w:type="gramStart"/>
      <w:r>
        <w:t>undergoing</w:t>
      </w:r>
      <w:proofErr w:type="gramEnd"/>
      <w:r>
        <w:t xml:space="preserve"> chronic dialysis.</w:t>
      </w:r>
    </w:p>
    <w:p w:rsidR="00253D7C" w:rsidRDefault="00A23921" w:rsidP="003016CA">
      <w:pPr>
        <w:pStyle w:val="SH3"/>
      </w:pPr>
      <w:r>
        <w:rPr>
          <w:snapToGrid w:val="0"/>
        </w:rPr>
        <w:t xml:space="preserve">MET </w:t>
      </w:r>
      <w:r w:rsidRPr="003016CA">
        <w:rPr>
          <w:b w:val="0"/>
          <w:i w:val="0"/>
          <w:snapToGrid w:val="0"/>
        </w:rPr>
        <w:t>means a unit of measurement of the level of physical exertion.  1 MET = 3.5 ml of oxygen/kg of body weight per minute, or 1.0 kcal/kg of body weight per hour, or resting metabolic rate.</w:t>
      </w:r>
    </w:p>
    <w:p w:rsidR="00885EAB" w:rsidRDefault="007B52F6" w:rsidP="003016CA">
      <w:pPr>
        <w:pStyle w:val="SH3"/>
      </w:pPr>
      <w:r w:rsidRPr="007B52F6">
        <w:tab/>
      </w:r>
      <w:r w:rsidR="00885EAB" w:rsidRPr="00E424C8">
        <w:t xml:space="preserve">MRCA </w:t>
      </w:r>
      <w:r w:rsidR="00885EAB" w:rsidRPr="003016CA">
        <w:rPr>
          <w:b w:val="0"/>
          <w:i w:val="0"/>
        </w:rPr>
        <w:t>me</w:t>
      </w:r>
      <w:r w:rsidR="003016CA">
        <w:rPr>
          <w:b w:val="0"/>
          <w:i w:val="0"/>
        </w:rPr>
        <w:t>a</w:t>
      </w:r>
      <w:r w:rsidR="00885EAB" w:rsidRPr="003016CA">
        <w:rPr>
          <w:b w:val="0"/>
          <w:i w:val="0"/>
        </w:rPr>
        <w:t>ns the</w:t>
      </w:r>
      <w:r w:rsidR="00885EAB" w:rsidRPr="00A22B8F">
        <w:t xml:space="preserve"> </w:t>
      </w:r>
      <w:r w:rsidR="00885EAB" w:rsidRPr="003016CA">
        <w:rPr>
          <w:b w:val="0"/>
        </w:rPr>
        <w:t>Military Rehabilitation and Compensation Act 2004.</w:t>
      </w:r>
    </w:p>
    <w:p w:rsidR="00E44356" w:rsidRPr="009C404D" w:rsidRDefault="00E44356" w:rsidP="003016CA">
      <w:pPr>
        <w:pStyle w:val="SH3"/>
      </w:pPr>
      <w:proofErr w:type="gramStart"/>
      <w:r w:rsidRPr="001E5036">
        <w:t>patellar</w:t>
      </w:r>
      <w:proofErr w:type="gramEnd"/>
      <w:r w:rsidRPr="001E5036">
        <w:t xml:space="preserve"> tendinopathy</w:t>
      </w:r>
      <w:r w:rsidRPr="003016CA">
        <w:rPr>
          <w:b w:val="0"/>
          <w:i w:val="0"/>
        </w:rPr>
        <w:t>—see subsection 7(2).</w:t>
      </w:r>
    </w:p>
    <w:p w:rsidR="0090262E" w:rsidRPr="0090262E" w:rsidRDefault="0090262E" w:rsidP="003016CA">
      <w:pPr>
        <w:pStyle w:val="SH3"/>
      </w:pPr>
      <w:bookmarkStart w:id="38" w:name="_Ref402529607"/>
      <w:bookmarkEnd w:id="37"/>
      <w:r w:rsidRPr="00E424C8">
        <w:t>relevant service</w:t>
      </w:r>
      <w:r w:rsidRPr="0090262E">
        <w:t xml:space="preserve"> </w:t>
      </w:r>
      <w:r w:rsidRPr="003016CA">
        <w:rPr>
          <w:b w:val="0"/>
          <w:i w:val="0"/>
        </w:rPr>
        <w:t>means:</w:t>
      </w:r>
      <w:r w:rsidR="00EA4970">
        <w:t xml:space="preserve">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3016CA">
      <w:pPr>
        <w:pStyle w:val="SH3"/>
      </w:pPr>
      <w:r>
        <w:t>t</w:t>
      </w:r>
      <w:r w:rsidR="00885EAB" w:rsidRPr="00973808">
        <w:t>erminal event</w:t>
      </w:r>
      <w:r w:rsidR="00885EAB" w:rsidRPr="009C404D">
        <w:t xml:space="preserve"> </w:t>
      </w:r>
      <w:r w:rsidR="00885EAB" w:rsidRPr="003016CA">
        <w:rPr>
          <w:b w:val="0"/>
          <w:i w:val="0"/>
        </w:rPr>
        <w:t>means the proximate or ultimate cause of death and includes</w:t>
      </w:r>
      <w:bookmarkEnd w:id="38"/>
      <w:r w:rsidR="00513D05" w:rsidRPr="003016CA">
        <w:rPr>
          <w:b w:val="0"/>
          <w:i w:val="0"/>
        </w:rPr>
        <w:t xml:space="preserve"> </w:t>
      </w:r>
      <w:r w:rsidR="00885EAB" w:rsidRPr="003016CA">
        <w:rPr>
          <w:b w:val="0"/>
          <w:i w:val="0"/>
        </w:rPr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3016CA">
      <w:pPr>
        <w:pStyle w:val="SH3"/>
      </w:pPr>
      <w:r w:rsidRPr="00576E99">
        <w:t>VEA</w:t>
      </w:r>
      <w:r w:rsidRPr="0019084F">
        <w:t xml:space="preserve"> </w:t>
      </w:r>
      <w:r w:rsidRPr="003016CA">
        <w:rPr>
          <w:b w:val="0"/>
          <w:i w:val="0"/>
        </w:rPr>
        <w:t xml:space="preserve">means the </w:t>
      </w:r>
      <w:r w:rsidRPr="003016CA">
        <w:rPr>
          <w:b w:val="0"/>
        </w:rPr>
        <w:t>Veterans</w:t>
      </w:r>
      <w:r w:rsidR="00ED21FE" w:rsidRPr="003016CA">
        <w:rPr>
          <w:b w:val="0"/>
        </w:rPr>
        <w:t>'</w:t>
      </w:r>
      <w:r w:rsidRPr="003016CA">
        <w:rPr>
          <w:b w:val="0"/>
        </w:rPr>
        <w:t xml:space="preserve"> Entitlements Act 1986</w:t>
      </w:r>
      <w:r w:rsidRPr="003016CA">
        <w:rPr>
          <w:b w:val="0"/>
          <w:i w:val="0"/>
        </w:rPr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56" w:rsidRDefault="00E44356" w:rsidP="00715914">
      <w:pPr>
        <w:spacing w:line="240" w:lineRule="auto"/>
      </w:pPr>
      <w:r>
        <w:separator/>
      </w:r>
    </w:p>
  </w:endnote>
  <w:endnote w:type="continuationSeparator" w:id="0">
    <w:p w:rsidR="00E44356" w:rsidRDefault="00E4435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56" w:rsidRPr="00E33C1C" w:rsidRDefault="00E44356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E44356" w:rsidRPr="00C01863" w:rsidTr="00E44356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44356" w:rsidRPr="00C01863" w:rsidRDefault="00E44356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44356" w:rsidRDefault="00E44356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E44356" w:rsidRDefault="00E44356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E5036">
            <w:rPr>
              <w:i/>
              <w:sz w:val="18"/>
              <w:szCs w:val="18"/>
            </w:rPr>
            <w:t>Patellar Tendinopathy</w:t>
          </w:r>
          <w:r>
            <w:rPr>
              <w:i/>
              <w:sz w:val="18"/>
              <w:szCs w:val="18"/>
            </w:rPr>
            <w:t xml:space="preserve"> (Reasonable Hypothesis) </w:t>
          </w:r>
          <w:r w:rsidRPr="007C5CE0">
            <w:rPr>
              <w:i/>
              <w:sz w:val="18"/>
            </w:rPr>
            <w:t xml:space="preserve">(No. </w:t>
          </w:r>
          <w:r w:rsidR="009E2092" w:rsidRPr="009E2092">
            <w:rPr>
              <w:i/>
              <w:sz w:val="18"/>
              <w:szCs w:val="18"/>
            </w:rPr>
            <w:t>21</w:t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1E5036">
            <w:rPr>
              <w:i/>
              <w:sz w:val="18"/>
              <w:szCs w:val="18"/>
            </w:rPr>
            <w:t>2020</w:t>
          </w:r>
          <w:r w:rsidRPr="007C5CE0">
            <w:rPr>
              <w:i/>
              <w:sz w:val="18"/>
              <w:szCs w:val="18"/>
            </w:rPr>
            <w:t>)</w:t>
          </w:r>
        </w:p>
        <w:p w:rsidR="00E44356" w:rsidRPr="007C5CE0" w:rsidRDefault="00E44356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44356" w:rsidRPr="00C01863" w:rsidRDefault="00E44356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42D4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42D40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E44356" w:rsidRPr="004A2007" w:rsidRDefault="00E4435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56" w:rsidRPr="00E33C1C" w:rsidRDefault="00E44356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E44356" w:rsidRPr="00C01863" w:rsidTr="00E44356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44356" w:rsidRPr="00C01863" w:rsidRDefault="00E44356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44356" w:rsidRDefault="00E44356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E44356" w:rsidRDefault="00E44356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E5036">
            <w:rPr>
              <w:i/>
              <w:sz w:val="18"/>
              <w:szCs w:val="18"/>
            </w:rPr>
            <w:t>Patellar Tendinopathy</w:t>
          </w:r>
          <w:r>
            <w:rPr>
              <w:i/>
              <w:sz w:val="18"/>
              <w:szCs w:val="18"/>
            </w:rPr>
            <w:t xml:space="preserve"> (Reasonable Hypothesis) </w:t>
          </w:r>
          <w:r w:rsidRPr="007C5CE0">
            <w:rPr>
              <w:i/>
              <w:sz w:val="18"/>
            </w:rPr>
            <w:t xml:space="preserve">(No. </w:t>
          </w:r>
          <w:r w:rsidR="009E2092" w:rsidRPr="009E2092">
            <w:rPr>
              <w:i/>
              <w:sz w:val="18"/>
              <w:szCs w:val="18"/>
            </w:rPr>
            <w:t>21</w:t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1E5036">
            <w:rPr>
              <w:i/>
              <w:sz w:val="18"/>
              <w:szCs w:val="18"/>
            </w:rPr>
            <w:t>2020</w:t>
          </w:r>
          <w:r w:rsidRPr="007C5CE0">
            <w:rPr>
              <w:i/>
              <w:sz w:val="18"/>
              <w:szCs w:val="18"/>
            </w:rPr>
            <w:t>)</w:t>
          </w:r>
        </w:p>
        <w:p w:rsidR="00E44356" w:rsidRPr="007C5CE0" w:rsidRDefault="00E44356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44356" w:rsidRPr="00C01863" w:rsidRDefault="00E44356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42D4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42D40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E44356" w:rsidRPr="004A2007" w:rsidRDefault="00E44356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56" w:rsidRPr="004A2007" w:rsidRDefault="00E4435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56" w:rsidRPr="00A254EA" w:rsidRDefault="00E44356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56" w:rsidRPr="00E33C1C" w:rsidRDefault="00E4435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56" w:rsidRPr="004A2007" w:rsidRDefault="00E44356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56" w:rsidRPr="004A2007" w:rsidRDefault="00E44356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56" w:rsidRDefault="00E44356" w:rsidP="00715914">
      <w:pPr>
        <w:spacing w:line="240" w:lineRule="auto"/>
      </w:pPr>
      <w:r>
        <w:separator/>
      </w:r>
    </w:p>
  </w:footnote>
  <w:footnote w:type="continuationSeparator" w:id="0">
    <w:p w:rsidR="00E44356" w:rsidRDefault="00E4435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56" w:rsidRPr="004A2007" w:rsidRDefault="00E44356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56" w:rsidRDefault="00E44356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E44356" w:rsidRDefault="00E44356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56" w:rsidRDefault="00E4435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56" w:rsidRPr="004A2007" w:rsidRDefault="00E44356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56" w:rsidRPr="004A2007" w:rsidRDefault="00E44356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56" w:rsidRPr="007A1328" w:rsidRDefault="00E4435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1632F376"/>
    <w:lvl w:ilvl="0">
      <w:start w:val="1"/>
      <w:numFmt w:val="decimal"/>
      <w:pStyle w:val="SH1"/>
      <w:lvlText w:val="%1"/>
      <w:lvlJc w:val="left"/>
      <w:pPr>
        <w:ind w:left="2978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49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EC3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5036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4109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6CA"/>
    <w:rsid w:val="00301C54"/>
    <w:rsid w:val="00302BF6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2C6D"/>
    <w:rsid w:val="0042300E"/>
    <w:rsid w:val="00424CA9"/>
    <w:rsid w:val="00431E9B"/>
    <w:rsid w:val="0043444E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6E1B"/>
    <w:rsid w:val="00537288"/>
    <w:rsid w:val="00537FBC"/>
    <w:rsid w:val="00545116"/>
    <w:rsid w:val="005574D1"/>
    <w:rsid w:val="00571FBB"/>
    <w:rsid w:val="00575A90"/>
    <w:rsid w:val="00576E99"/>
    <w:rsid w:val="005770AC"/>
    <w:rsid w:val="00584811"/>
    <w:rsid w:val="00585784"/>
    <w:rsid w:val="00593AA6"/>
    <w:rsid w:val="00594161"/>
    <w:rsid w:val="00594749"/>
    <w:rsid w:val="005962C4"/>
    <w:rsid w:val="005A25D7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13F3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1AED"/>
    <w:rsid w:val="009E2092"/>
    <w:rsid w:val="009E5CFC"/>
    <w:rsid w:val="00A06E7A"/>
    <w:rsid w:val="00A079CB"/>
    <w:rsid w:val="00A11C0D"/>
    <w:rsid w:val="00A12128"/>
    <w:rsid w:val="00A137F8"/>
    <w:rsid w:val="00A20CA1"/>
    <w:rsid w:val="00A20FDB"/>
    <w:rsid w:val="00A22B8F"/>
    <w:rsid w:val="00A22C98"/>
    <w:rsid w:val="00A231E2"/>
    <w:rsid w:val="00A23921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D7870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3840"/>
    <w:rsid w:val="00CA61BB"/>
    <w:rsid w:val="00CA7414"/>
    <w:rsid w:val="00CA793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63023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2E76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24C8"/>
    <w:rsid w:val="00E42D40"/>
    <w:rsid w:val="00E44356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4970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8644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302BF6"/>
    <w:pPr>
      <w:numPr>
        <w:numId w:val="5"/>
      </w:numPr>
      <w:spacing w:before="200" w:line="280" w:lineRule="atLeast"/>
      <w:ind w:left="851" w:hanging="851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3016CA"/>
    <w:pPr>
      <w:numPr>
        <w:ilvl w:val="1"/>
        <w:numId w:val="5"/>
      </w:numPr>
      <w:spacing w:before="100" w:after="100"/>
      <w:ind w:left="851" w:hanging="567"/>
    </w:pPr>
    <w:rPr>
      <w:b/>
    </w:rPr>
  </w:style>
  <w:style w:type="paragraph" w:customStyle="1" w:styleId="SH3">
    <w:name w:val="SH 3"/>
    <w:link w:val="SH3Char"/>
    <w:autoRedefine/>
    <w:qFormat/>
    <w:rsid w:val="003016CA"/>
    <w:pPr>
      <w:keepNext/>
      <w:numPr>
        <w:ilvl w:val="2"/>
        <w:numId w:val="5"/>
      </w:numPr>
      <w:spacing w:before="100" w:after="100"/>
      <w:ind w:left="850" w:hanging="907"/>
    </w:pPr>
    <w:rPr>
      <w:rFonts w:eastAsia="Times New Roman"/>
      <w:b/>
      <w:i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A22B8F"/>
    <w:pPr>
      <w:tabs>
        <w:tab w:val="right" w:pos="709"/>
      </w:tabs>
      <w:spacing w:before="40"/>
      <w:ind w:left="1418"/>
      <w:contextualSpacing/>
    </w:pPr>
    <w:rPr>
      <w:sz w:val="18"/>
      <w:szCs w:val="18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3016CA"/>
    <w:rPr>
      <w:rFonts w:eastAsia="Times New Roman"/>
      <w:b/>
      <w:i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b/>
      <w:i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table" w:customStyle="1" w:styleId="TableGrid1">
    <w:name w:val="Table Grid1"/>
    <w:basedOn w:val="TableNormal"/>
    <w:next w:val="TableGrid"/>
    <w:rsid w:val="00A2392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B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1731</Words>
  <Characters>9869</Characters>
  <Application>Microsoft Office Word</Application>
  <DocSecurity>0</DocSecurity>
  <PresentationFormat/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2020-03-02T00:56:00Z</dcterms:created>
  <dcterms:modified xsi:type="dcterms:W3CDTF">2020-04-21T00:14:00Z</dcterms:modified>
  <cp:category/>
  <cp:contentStatus/>
  <dc:language/>
  <cp:version/>
</cp:coreProperties>
</file>