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bookmarkStart w:id="0" w:name="_GoBack"/>
      <w:bookmarkEnd w:id="0"/>
      <w:r>
        <w:rPr>
          <w:noProof/>
        </w:rPr>
        <w:drawing>
          <wp:inline distT="0" distB="0" distL="0" distR="0" wp14:anchorId="2973A103" wp14:editId="53F4C0A3">
            <wp:extent cx="1752600" cy="933450"/>
            <wp:effectExtent l="0" t="0" r="0" b="0"/>
            <wp:docPr id="2" name="Picture 2" descr="RMA -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F83264" w:rsidP="006647B7">
      <w:pPr>
        <w:pStyle w:val="Plainheader"/>
      </w:pPr>
      <w:bookmarkStart w:id="1" w:name="SoP_Name_Title"/>
      <w:r>
        <w:t>O</w:t>
      </w:r>
      <w:r w:rsidR="00B0452A">
        <w:t>STEONECROSIS</w:t>
      </w:r>
      <w:bookmarkEnd w:id="1"/>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2" w:name="BP"/>
      <w:r w:rsidR="00B55400">
        <w:t>13</w:t>
      </w:r>
      <w:bookmarkEnd w:id="2"/>
      <w:r w:rsidRPr="00024911">
        <w:t xml:space="preserve"> of</w:t>
      </w:r>
      <w:r w:rsidR="00085567">
        <w:t xml:space="preserve"> </w:t>
      </w:r>
      <w:bookmarkStart w:id="3" w:name="year"/>
      <w:r w:rsidR="00B0452A">
        <w:t>2020</w:t>
      </w:r>
      <w:bookmarkEnd w:id="3"/>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w:t>
      </w:r>
      <w:r w:rsidR="00832FEA">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7615E2">
        <w:tab/>
      </w:r>
      <w:r w:rsidR="007615E2">
        <w:tab/>
      </w:r>
      <w:r w:rsidR="007615E2">
        <w:tab/>
      </w:r>
      <w:r w:rsidR="00B55400">
        <w:t>28 February 2020</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A163E4" w:rsidTr="0034373D">
        <w:tc>
          <w:tcPr>
            <w:tcW w:w="4116" w:type="dxa"/>
          </w:tcPr>
          <w:p w:rsidR="00A163E4" w:rsidRDefault="00A163E4"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A163E4" w:rsidRDefault="00A163E4" w:rsidP="0034373D">
            <w:pPr>
              <w:pStyle w:val="Plain"/>
            </w:pPr>
          </w:p>
        </w:tc>
      </w:tr>
      <w:tr w:rsidR="00A163E4" w:rsidTr="0034373D">
        <w:tc>
          <w:tcPr>
            <w:tcW w:w="4116" w:type="dxa"/>
          </w:tcPr>
          <w:p w:rsidR="00A163E4" w:rsidRDefault="00516B46" w:rsidP="0034373D">
            <w:pPr>
              <w:pStyle w:val="Plain"/>
            </w:pPr>
            <w:r>
              <w:rPr>
                <w:noProof/>
              </w:rPr>
              <w:drawing>
                <wp:inline distT="0" distB="0" distL="0" distR="0" wp14:anchorId="320B27DA" wp14:editId="7104A64A">
                  <wp:extent cx="2463800" cy="533400"/>
                  <wp:effectExtent l="0" t="0" r="0" b="0"/>
                  <wp:docPr id="3" name="Picture 3" descr="RMA Chairperson signature"/>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533400"/>
                          </a:xfrm>
                          <a:prstGeom prst="rect">
                            <a:avLst/>
                          </a:prstGeom>
                          <a:noFill/>
                          <a:ln>
                            <a:noFill/>
                          </a:ln>
                        </pic:spPr>
                      </pic:pic>
                    </a:graphicData>
                  </a:graphic>
                </wp:inline>
              </w:drawing>
            </w:r>
          </w:p>
          <w:p w:rsidR="00A163E4" w:rsidRDefault="00A163E4" w:rsidP="0034373D">
            <w:pPr>
              <w:pStyle w:val="Plain"/>
            </w:pPr>
          </w:p>
          <w:p w:rsidR="00A163E4" w:rsidRPr="007527C1" w:rsidRDefault="00A163E4" w:rsidP="0034373D">
            <w:pPr>
              <w:pStyle w:val="Plain"/>
            </w:pPr>
            <w:r w:rsidRPr="007527C1">
              <w:t>Professor Nicholas Saunders AO</w:t>
            </w:r>
          </w:p>
          <w:p w:rsidR="00A163E4" w:rsidRDefault="00A163E4" w:rsidP="0034373D">
            <w:pPr>
              <w:pStyle w:val="Plain"/>
            </w:pPr>
            <w:r w:rsidRPr="007527C1">
              <w:t>Chairperson</w:t>
            </w:r>
          </w:p>
          <w:p w:rsidR="00A163E4" w:rsidRDefault="00A163E4" w:rsidP="0034373D"/>
        </w:tc>
      </w:tr>
    </w:tbl>
    <w:p w:rsidR="00A163E4" w:rsidRPr="00FA33FB" w:rsidRDefault="00A163E4" w:rsidP="00A163E4"/>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B55400"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B55400">
        <w:rPr>
          <w:noProof/>
        </w:rPr>
        <w:t>1</w:t>
      </w:r>
      <w:r w:rsidR="00B55400">
        <w:rPr>
          <w:rFonts w:asciiTheme="minorHAnsi" w:eastAsiaTheme="minorEastAsia" w:hAnsiTheme="minorHAnsi" w:cstheme="minorBidi"/>
          <w:noProof/>
          <w:kern w:val="0"/>
          <w:sz w:val="22"/>
          <w:szCs w:val="22"/>
        </w:rPr>
        <w:tab/>
      </w:r>
      <w:r w:rsidR="00B55400">
        <w:rPr>
          <w:noProof/>
        </w:rPr>
        <w:t>Name</w:t>
      </w:r>
      <w:r w:rsidR="00B55400">
        <w:rPr>
          <w:noProof/>
        </w:rPr>
        <w:tab/>
      </w:r>
      <w:r w:rsidR="00B55400">
        <w:rPr>
          <w:noProof/>
        </w:rPr>
        <w:fldChar w:fldCharType="begin"/>
      </w:r>
      <w:r w:rsidR="00B55400">
        <w:rPr>
          <w:noProof/>
        </w:rPr>
        <w:instrText xml:space="preserve"> PAGEREF _Toc32575916 \h </w:instrText>
      </w:r>
      <w:r w:rsidR="00B55400">
        <w:rPr>
          <w:noProof/>
        </w:rPr>
      </w:r>
      <w:r w:rsidR="00B55400">
        <w:rPr>
          <w:noProof/>
        </w:rPr>
        <w:fldChar w:fldCharType="separate"/>
      </w:r>
      <w:r w:rsidR="00503A20">
        <w:rPr>
          <w:noProof/>
        </w:rPr>
        <w:t>3</w:t>
      </w:r>
      <w:r w:rsidR="00B55400">
        <w:rPr>
          <w:noProof/>
        </w:rPr>
        <w:fldChar w:fldCharType="end"/>
      </w:r>
    </w:p>
    <w:p w:rsidR="00B55400" w:rsidRDefault="00B55400">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_Toc32575917 \h </w:instrText>
      </w:r>
      <w:r>
        <w:rPr>
          <w:noProof/>
        </w:rPr>
      </w:r>
      <w:r>
        <w:rPr>
          <w:noProof/>
        </w:rPr>
        <w:fldChar w:fldCharType="separate"/>
      </w:r>
      <w:r w:rsidR="00503A20">
        <w:rPr>
          <w:noProof/>
        </w:rPr>
        <w:t>3</w:t>
      </w:r>
      <w:r>
        <w:rPr>
          <w:noProof/>
        </w:rPr>
        <w:fldChar w:fldCharType="end"/>
      </w:r>
    </w:p>
    <w:p w:rsidR="00B55400" w:rsidRDefault="00B55400">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_Toc32575918 \h </w:instrText>
      </w:r>
      <w:r>
        <w:rPr>
          <w:noProof/>
        </w:rPr>
      </w:r>
      <w:r>
        <w:rPr>
          <w:noProof/>
        </w:rPr>
        <w:fldChar w:fldCharType="separate"/>
      </w:r>
      <w:r w:rsidR="00503A20">
        <w:rPr>
          <w:noProof/>
        </w:rPr>
        <w:t>3</w:t>
      </w:r>
      <w:r>
        <w:rPr>
          <w:noProof/>
        </w:rPr>
        <w:fldChar w:fldCharType="end"/>
      </w:r>
    </w:p>
    <w:p w:rsidR="00B55400" w:rsidRDefault="00B55400">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_Toc32575919 \h </w:instrText>
      </w:r>
      <w:r>
        <w:rPr>
          <w:noProof/>
        </w:rPr>
      </w:r>
      <w:r>
        <w:rPr>
          <w:noProof/>
        </w:rPr>
        <w:fldChar w:fldCharType="separate"/>
      </w:r>
      <w:r w:rsidR="00503A20">
        <w:rPr>
          <w:noProof/>
        </w:rPr>
        <w:t>3</w:t>
      </w:r>
      <w:r>
        <w:rPr>
          <w:noProof/>
        </w:rPr>
        <w:fldChar w:fldCharType="end"/>
      </w:r>
    </w:p>
    <w:p w:rsidR="00B55400" w:rsidRDefault="00B55400">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_Toc32575920 \h </w:instrText>
      </w:r>
      <w:r>
        <w:rPr>
          <w:noProof/>
        </w:rPr>
      </w:r>
      <w:r>
        <w:rPr>
          <w:noProof/>
        </w:rPr>
        <w:fldChar w:fldCharType="separate"/>
      </w:r>
      <w:r w:rsidR="00503A20">
        <w:rPr>
          <w:noProof/>
        </w:rPr>
        <w:t>3</w:t>
      </w:r>
      <w:r>
        <w:rPr>
          <w:noProof/>
        </w:rPr>
        <w:fldChar w:fldCharType="end"/>
      </w:r>
    </w:p>
    <w:p w:rsidR="00B55400" w:rsidRDefault="00B55400">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_Toc32575921 \h </w:instrText>
      </w:r>
      <w:r>
        <w:rPr>
          <w:noProof/>
        </w:rPr>
      </w:r>
      <w:r>
        <w:rPr>
          <w:noProof/>
        </w:rPr>
        <w:fldChar w:fldCharType="separate"/>
      </w:r>
      <w:r w:rsidR="00503A20">
        <w:rPr>
          <w:noProof/>
        </w:rPr>
        <w:t>3</w:t>
      </w:r>
      <w:r>
        <w:rPr>
          <w:noProof/>
        </w:rPr>
        <w:fldChar w:fldCharType="end"/>
      </w:r>
    </w:p>
    <w:p w:rsidR="00B55400" w:rsidRDefault="00B55400">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_Toc32575922 \h </w:instrText>
      </w:r>
      <w:r>
        <w:rPr>
          <w:noProof/>
        </w:rPr>
      </w:r>
      <w:r>
        <w:rPr>
          <w:noProof/>
        </w:rPr>
        <w:fldChar w:fldCharType="separate"/>
      </w:r>
      <w:r w:rsidR="00503A20">
        <w:rPr>
          <w:noProof/>
        </w:rPr>
        <w:t>4</w:t>
      </w:r>
      <w:r>
        <w:rPr>
          <w:noProof/>
        </w:rPr>
        <w:fldChar w:fldCharType="end"/>
      </w:r>
    </w:p>
    <w:p w:rsidR="00B55400" w:rsidRDefault="00B55400">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_Toc32575923 \h </w:instrText>
      </w:r>
      <w:r>
        <w:rPr>
          <w:noProof/>
        </w:rPr>
      </w:r>
      <w:r>
        <w:rPr>
          <w:noProof/>
        </w:rPr>
        <w:fldChar w:fldCharType="separate"/>
      </w:r>
      <w:r w:rsidR="00503A20">
        <w:rPr>
          <w:noProof/>
        </w:rPr>
        <w:t>4</w:t>
      </w:r>
      <w:r>
        <w:rPr>
          <w:noProof/>
        </w:rPr>
        <w:fldChar w:fldCharType="end"/>
      </w:r>
    </w:p>
    <w:p w:rsidR="00B55400" w:rsidRDefault="00B55400">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_Toc32575924 \h </w:instrText>
      </w:r>
      <w:r>
        <w:rPr>
          <w:noProof/>
        </w:rPr>
      </w:r>
      <w:r>
        <w:rPr>
          <w:noProof/>
        </w:rPr>
        <w:fldChar w:fldCharType="separate"/>
      </w:r>
      <w:r w:rsidR="00503A20">
        <w:rPr>
          <w:noProof/>
        </w:rPr>
        <w:t>6</w:t>
      </w:r>
      <w:r>
        <w:rPr>
          <w:noProof/>
        </w:rPr>
        <w:fldChar w:fldCharType="end"/>
      </w:r>
    </w:p>
    <w:p w:rsidR="00B55400" w:rsidRDefault="00B55400">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_Toc32575925 \h </w:instrText>
      </w:r>
      <w:r>
        <w:rPr>
          <w:noProof/>
        </w:rPr>
      </w:r>
      <w:r>
        <w:rPr>
          <w:noProof/>
        </w:rPr>
        <w:fldChar w:fldCharType="separate"/>
      </w:r>
      <w:r w:rsidR="00503A20">
        <w:rPr>
          <w:noProof/>
        </w:rPr>
        <w:t>7</w:t>
      </w:r>
      <w:r>
        <w:rPr>
          <w:noProof/>
        </w:rPr>
        <w:fldChar w:fldCharType="end"/>
      </w:r>
    </w:p>
    <w:p w:rsidR="00B55400" w:rsidRDefault="00B55400">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_Toc32575926 \h </w:instrText>
      </w:r>
      <w:r>
        <w:rPr>
          <w:noProof/>
        </w:rPr>
      </w:r>
      <w:r>
        <w:rPr>
          <w:noProof/>
        </w:rPr>
        <w:fldChar w:fldCharType="separate"/>
      </w:r>
      <w:r w:rsidR="00503A20">
        <w:rPr>
          <w:noProof/>
        </w:rPr>
        <w:t>8</w:t>
      </w:r>
      <w:r>
        <w:rPr>
          <w:noProof/>
        </w:rPr>
        <w:fldChar w:fldCharType="end"/>
      </w:r>
    </w:p>
    <w:p w:rsidR="00B55400" w:rsidRDefault="00B55400">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_Toc32575927 \h </w:instrText>
      </w:r>
      <w:r>
        <w:rPr>
          <w:noProof/>
        </w:rPr>
      </w:r>
      <w:r>
        <w:rPr>
          <w:noProof/>
        </w:rPr>
        <w:fldChar w:fldCharType="separate"/>
      </w:r>
      <w:r w:rsidR="00503A20">
        <w:rPr>
          <w:noProof/>
        </w:rPr>
        <w:t>8</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D6AEF" w:rsidRDefault="003D6AEF">
      <w:pPr>
        <w:spacing w:line="240" w:lineRule="auto"/>
        <w:rPr>
          <w:b/>
          <w:sz w:val="24"/>
          <w:szCs w:val="24"/>
        </w:rPr>
      </w:pPr>
      <w:r>
        <w:br w:type="page"/>
      </w:r>
    </w:p>
    <w:p w:rsidR="00877AE3" w:rsidRDefault="00877AE3" w:rsidP="009E6E30">
      <w:pPr>
        <w:pStyle w:val="LV1"/>
      </w:pPr>
      <w:bookmarkStart w:id="5" w:name="_Toc32575916"/>
      <w:r>
        <w:lastRenderedPageBreak/>
        <w:t>Name</w:t>
      </w:r>
      <w:bookmarkEnd w:id="5"/>
    </w:p>
    <w:p w:rsidR="00237471" w:rsidRPr="00F97A62" w:rsidRDefault="00715914" w:rsidP="00AC77BF">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7A3989">
        <w:rPr>
          <w:i/>
        </w:rPr>
        <w:t>o</w:t>
      </w:r>
      <w:r w:rsidR="00B0452A">
        <w:rPr>
          <w:i/>
        </w:rPr>
        <w:t>steonecrosis</w:t>
      </w:r>
      <w:bookmarkEnd w:id="7"/>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B55400">
        <w:t>13</w:t>
      </w:r>
      <w:r w:rsidR="00085567">
        <w:t xml:space="preserve"> </w:t>
      </w:r>
      <w:r w:rsidR="00E55F66" w:rsidRPr="00F97A62">
        <w:t>of</w:t>
      </w:r>
      <w:r w:rsidR="00085567">
        <w:t xml:space="preserve"> </w:t>
      </w:r>
      <w:r w:rsidR="00B0452A">
        <w:t>2020</w:t>
      </w:r>
      <w:r w:rsidR="00E55F66" w:rsidRPr="00F97A62">
        <w:t>)</w:t>
      </w:r>
      <w:r w:rsidRPr="00F97A62">
        <w:t>.</w:t>
      </w:r>
    </w:p>
    <w:p w:rsidR="00F67B67" w:rsidRPr="00684C0E" w:rsidRDefault="00F67B67" w:rsidP="009E6E30">
      <w:pPr>
        <w:pStyle w:val="LV1"/>
      </w:pPr>
      <w:bookmarkStart w:id="8" w:name="_Toc32575917"/>
      <w:r w:rsidRPr="00684C0E">
        <w:t>Commencement</w:t>
      </w:r>
      <w:bookmarkEnd w:id="8"/>
    </w:p>
    <w:p w:rsidR="00F67B67" w:rsidRPr="007527C1" w:rsidRDefault="007527C1" w:rsidP="00AC77BF">
      <w:pPr>
        <w:pStyle w:val="PlainIndent"/>
      </w:pPr>
      <w:r w:rsidRPr="007527C1">
        <w:tab/>
      </w:r>
      <w:r w:rsidR="00F67B67" w:rsidRPr="007527C1">
        <w:t>This instrument commences on</w:t>
      </w:r>
      <w:r w:rsidR="00B55400">
        <w:t xml:space="preserve"> 23 March 2020</w:t>
      </w:r>
      <w:r w:rsidR="00F67B67" w:rsidRPr="007527C1">
        <w:t>.</w:t>
      </w:r>
    </w:p>
    <w:p w:rsidR="00F67B67" w:rsidRPr="00684C0E" w:rsidRDefault="00F67B67" w:rsidP="009E6E30">
      <w:pPr>
        <w:pStyle w:val="LV1"/>
      </w:pPr>
      <w:bookmarkStart w:id="9" w:name="_Toc32575918"/>
      <w:r w:rsidRPr="00684C0E">
        <w:t>Authority</w:t>
      </w:r>
      <w:bookmarkEnd w:id="9"/>
    </w:p>
    <w:p w:rsidR="00F67B67" w:rsidRPr="007527C1" w:rsidRDefault="00F67B67" w:rsidP="00AC77BF">
      <w:pPr>
        <w:pStyle w:val="PlainIndent"/>
      </w:pPr>
      <w:r w:rsidRPr="007527C1">
        <w:t>This inst</w:t>
      </w:r>
      <w:r w:rsidR="00D32F71">
        <w:t xml:space="preserve">rument is made under subsection </w:t>
      </w:r>
      <w:r w:rsidR="00167E0C">
        <w:t>196B(2</w:t>
      </w:r>
      <w:r w:rsidRPr="007527C1">
        <w:t xml:space="preserve">) of the </w:t>
      </w:r>
      <w:r w:rsidRPr="007527C1">
        <w:rPr>
          <w:i/>
        </w:rPr>
        <w:t>Veterans</w:t>
      </w:r>
      <w:r w:rsidR="00832FEA">
        <w:rPr>
          <w:i/>
        </w:rPr>
        <w:t>'</w:t>
      </w:r>
      <w:r w:rsidRPr="007527C1">
        <w:rPr>
          <w:i/>
        </w:rPr>
        <w:t xml:space="preserve"> Entitlements Act 1986</w:t>
      </w:r>
      <w:r w:rsidRPr="007527C1">
        <w:t>.</w:t>
      </w:r>
    </w:p>
    <w:p w:rsidR="007C7DEE" w:rsidRPr="00684C0E" w:rsidRDefault="007C7DEE" w:rsidP="009E6E30">
      <w:pPr>
        <w:pStyle w:val="LV1"/>
      </w:pPr>
      <w:bookmarkStart w:id="10" w:name="_Toc32575919"/>
      <w:r w:rsidRPr="00684C0E">
        <w:t>Application</w:t>
      </w:r>
      <w:bookmarkEnd w:id="10"/>
    </w:p>
    <w:p w:rsidR="007C7DEE" w:rsidRPr="007527C1" w:rsidRDefault="007C7DEE" w:rsidP="00AC77BF">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9E6E30">
      <w:pPr>
        <w:pStyle w:val="LV1"/>
      </w:pPr>
      <w:bookmarkStart w:id="11" w:name="_Ref410129949"/>
      <w:bookmarkStart w:id="12" w:name="_Toc32575920"/>
      <w:r w:rsidRPr="00684C0E">
        <w:t>Definitions</w:t>
      </w:r>
      <w:bookmarkEnd w:id="11"/>
      <w:bookmarkEnd w:id="12"/>
    </w:p>
    <w:p w:rsidR="00237471" w:rsidRPr="00D5620B" w:rsidRDefault="007142FB" w:rsidP="00AC77B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9E6E30">
      <w:pPr>
        <w:pStyle w:val="LV1"/>
      </w:pPr>
      <w:bookmarkStart w:id="13" w:name="_Ref409687573"/>
      <w:bookmarkStart w:id="14" w:name="_Ref409687579"/>
      <w:bookmarkStart w:id="15" w:name="_Ref409687725"/>
      <w:bookmarkStart w:id="16" w:name="_Toc32575921"/>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9E6E30">
      <w:pPr>
        <w:pStyle w:val="LV2"/>
      </w:pPr>
      <w:bookmarkStart w:id="17" w:name="_Ref403053584"/>
      <w:r w:rsidRPr="00D5620B">
        <w:t xml:space="preserve">This Statement of Principles is </w:t>
      </w:r>
      <w:r w:rsidRPr="002F77A1">
        <w:t xml:space="preserve">about </w:t>
      </w:r>
      <w:r w:rsidR="00B0452A" w:rsidRPr="00B0452A">
        <w:t>osteonecrosis</w:t>
      </w:r>
      <w:r w:rsidR="00D5620B" w:rsidRPr="002F77A1">
        <w:t xml:space="preserve"> </w:t>
      </w:r>
      <w:r w:rsidRPr="002F77A1">
        <w:t>and death</w:t>
      </w:r>
      <w:r w:rsidRPr="00D5620B">
        <w:t xml:space="preserve"> from</w:t>
      </w:r>
      <w:r w:rsidR="002F77A1">
        <w:t xml:space="preserve"> </w:t>
      </w:r>
      <w:r w:rsidR="00B0452A" w:rsidRPr="00B0452A">
        <w:t>osteonecrosis</w:t>
      </w:r>
      <w:r w:rsidRPr="00D5620B">
        <w:t>.</w:t>
      </w:r>
      <w:bookmarkEnd w:id="17"/>
    </w:p>
    <w:p w:rsidR="00215860" w:rsidRPr="00C670B0" w:rsidRDefault="00215860" w:rsidP="00C670B0">
      <w:pPr>
        <w:pStyle w:val="LVtext"/>
      </w:pPr>
      <w:r w:rsidRPr="00C670B0">
        <w:t>Meaning of</w:t>
      </w:r>
      <w:r w:rsidR="00D60FC8" w:rsidRPr="00C670B0">
        <w:t xml:space="preserve"> </w:t>
      </w:r>
      <w:r w:rsidR="00B0452A" w:rsidRPr="00B0452A">
        <w:rPr>
          <w:b/>
        </w:rPr>
        <w:t>osteonecrosis</w:t>
      </w:r>
    </w:p>
    <w:p w:rsidR="002716E4" w:rsidRPr="00237BAF" w:rsidRDefault="007C7DEE" w:rsidP="009E6E30">
      <w:pPr>
        <w:pStyle w:val="LV2"/>
      </w:pPr>
      <w:bookmarkStart w:id="18" w:name="_Ref409598124"/>
      <w:bookmarkStart w:id="19" w:name="_Ref402529683"/>
      <w:r w:rsidRPr="00237BAF">
        <w:t>For the purposes of this Statement of Principles,</w:t>
      </w:r>
      <w:r w:rsidR="002F77A1" w:rsidRPr="002F77A1">
        <w:t xml:space="preserve"> </w:t>
      </w:r>
      <w:r w:rsidR="00B0452A" w:rsidRPr="00B0452A">
        <w:t>osteonecrosis</w:t>
      </w:r>
      <w:r w:rsidR="002716E4" w:rsidRPr="00237BAF">
        <w:t>:</w:t>
      </w:r>
      <w:bookmarkEnd w:id="18"/>
    </w:p>
    <w:bookmarkEnd w:id="19"/>
    <w:p w:rsidR="00B0452A" w:rsidRDefault="00B0452A" w:rsidP="00B0452A">
      <w:pPr>
        <w:pStyle w:val="LV3"/>
        <w:ind w:left="1985"/>
      </w:pPr>
      <w:r>
        <w:t>means a disease of bone where death of bone tissue occurs as a result of the temporary or permanent loss of blood supply to bone; and</w:t>
      </w:r>
    </w:p>
    <w:p w:rsidR="00BF2690" w:rsidRDefault="00B0452A" w:rsidP="00B0452A">
      <w:pPr>
        <w:pStyle w:val="LV3"/>
        <w:ind w:left="1985"/>
      </w:pPr>
      <w:r>
        <w:t xml:space="preserve">includes </w:t>
      </w:r>
      <w:proofErr w:type="spellStart"/>
      <w:r>
        <w:t>dysbaric</w:t>
      </w:r>
      <w:proofErr w:type="spellEnd"/>
      <w:r>
        <w:t xml:space="preserve"> osteonecrosis.</w:t>
      </w:r>
    </w:p>
    <w:p w:rsidR="00BF2690" w:rsidRPr="008E76DC" w:rsidRDefault="00BF2690" w:rsidP="00BF2690">
      <w:pPr>
        <w:pStyle w:val="Note2"/>
      </w:pPr>
      <w:r>
        <w:t xml:space="preserve">Note: </w:t>
      </w:r>
      <w:r w:rsidR="00B0452A" w:rsidRPr="00B0452A">
        <w:t>Osteonecrosis is also known as avascular necrosis, aseptic necrosis or ischaemic necrosis.</w:t>
      </w:r>
    </w:p>
    <w:p w:rsidR="008F572A" w:rsidRPr="00237BAF" w:rsidRDefault="008F572A" w:rsidP="00B0452A">
      <w:pPr>
        <w:pStyle w:val="LV2"/>
      </w:pPr>
      <w:r w:rsidRPr="00237BAF">
        <w:t xml:space="preserve">While </w:t>
      </w:r>
      <w:r w:rsidR="00B0452A" w:rsidRPr="00B0452A">
        <w:t>osteonecrosis</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B0452A" w:rsidRPr="00B0452A">
        <w:t>K10.2, M87, M90.3, M90.4 or M90.5</w:t>
      </w:r>
      <w:r w:rsidR="00885EAB" w:rsidRPr="00EB2BC4">
        <w:t>,</w:t>
      </w:r>
      <w:r w:rsidRPr="00237BAF">
        <w:t xml:space="preserve"> in applying this Statement of Principles the </w:t>
      </w:r>
      <w:r w:rsidR="00FA33FB" w:rsidRPr="00D5620B">
        <w:t xml:space="preserve">meaning </w:t>
      </w:r>
      <w:r w:rsidRPr="00D5620B">
        <w:t xml:space="preserve">of </w:t>
      </w:r>
      <w:r w:rsidR="00B0452A" w:rsidRPr="00B0452A">
        <w:t>osteonecrosis</w:t>
      </w:r>
      <w:r w:rsidR="002F77A1">
        <w:t xml:space="preserve"> </w:t>
      </w:r>
      <w:r w:rsidRPr="00D5620B">
        <w:t>is that</w:t>
      </w:r>
      <w:r w:rsidRPr="00237BAF">
        <w:t xml:space="preserve"> given in </w:t>
      </w:r>
      <w:r w:rsidR="00FA33FB" w:rsidRPr="00237BAF">
        <w:t>subsection (</w:t>
      </w:r>
      <w:r w:rsidRPr="00237BAF">
        <w:t>2).</w:t>
      </w:r>
    </w:p>
    <w:p w:rsidR="000F76FA" w:rsidRPr="0053697E" w:rsidRDefault="003D1A52" w:rsidP="009E6E30">
      <w:pPr>
        <w:pStyle w:val="LV2"/>
        <w:rPr>
          <w:i/>
          <w:color w:val="000000"/>
        </w:rPr>
      </w:pPr>
      <w:r w:rsidRPr="003D1A52">
        <w:t>For subsection (3), a reference to an ICD</w:t>
      </w:r>
      <w:r>
        <w:t>-</w:t>
      </w:r>
      <w:r w:rsidRPr="003D1A52">
        <w:t>10</w:t>
      </w:r>
      <w:r>
        <w:t>-</w:t>
      </w:r>
      <w:r w:rsidRPr="003D1A52">
        <w:t xml:space="preserve">AM code is a reference to the code assigned to a particular kind of injury or disease in </w:t>
      </w:r>
      <w:r w:rsidRPr="003D1A52">
        <w:rPr>
          <w:i/>
        </w:rPr>
        <w:t>The International Statistical Classification of Diseases and Related Health Problems, Tenth Revision, Australian Modification</w:t>
      </w:r>
      <w:r w:rsidRPr="003D1A52">
        <w:t xml:space="preserve"> (ICD</w:t>
      </w:r>
      <w:r>
        <w:t>-</w:t>
      </w:r>
      <w:r w:rsidRPr="003D1A52">
        <w:t>10</w:t>
      </w:r>
      <w:r>
        <w:t>-</w:t>
      </w:r>
      <w:r w:rsidRPr="003D1A52">
        <w:t>AM), Tenth Edition, effective date of 1 July 2017, copyrighted by the Independent Hospital Pricing Authority, ISBN 978-1-76007-296-4.</w:t>
      </w:r>
    </w:p>
    <w:p w:rsidR="00FD775E" w:rsidRDefault="00237BAF" w:rsidP="00C670B0">
      <w:pPr>
        <w:pStyle w:val="LVtext"/>
      </w:pPr>
      <w:r w:rsidRPr="003A5C26">
        <w:lastRenderedPageBreak/>
        <w:t>Death from</w:t>
      </w:r>
      <w:r w:rsidR="008F572A" w:rsidRPr="00237BAF">
        <w:t xml:space="preserve"> </w:t>
      </w:r>
      <w:r w:rsidR="00B0452A" w:rsidRPr="00B0452A">
        <w:rPr>
          <w:b/>
        </w:rPr>
        <w:t>osteonecrosis</w:t>
      </w:r>
    </w:p>
    <w:p w:rsidR="008F572A" w:rsidRPr="00237BAF" w:rsidRDefault="008F572A" w:rsidP="009E6E30">
      <w:pPr>
        <w:pStyle w:val="LV2"/>
      </w:pPr>
      <w:r w:rsidRPr="00237BAF">
        <w:t xml:space="preserve">For the purposes of this Statement of </w:t>
      </w:r>
      <w:r w:rsidR="00D5620B">
        <w:t xml:space="preserve">Principles, </w:t>
      </w:r>
      <w:r w:rsidR="00B0452A" w:rsidRPr="00B0452A">
        <w:t>osteonecrosis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32FEA">
        <w:t>'</w:t>
      </w:r>
      <w:r w:rsidRPr="00D5620B">
        <w:t>s</w:t>
      </w:r>
      <w:r w:rsidR="002F77A1">
        <w:t xml:space="preserve"> </w:t>
      </w:r>
      <w:r w:rsidR="00B0452A" w:rsidRPr="00B0452A">
        <w:t>osteonecrosis</w:t>
      </w:r>
      <w:r w:rsidRPr="00D5620B">
        <w:t>.</w:t>
      </w:r>
    </w:p>
    <w:p w:rsidR="007C7DEE" w:rsidRPr="00046E67" w:rsidRDefault="00046E67" w:rsidP="00627A0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4E1438">
        <w:t>–</w:t>
      </w:r>
      <w:r w:rsidR="00D32F71">
        <w:t xml:space="preserve"> </w:t>
      </w:r>
      <w:r w:rsidR="00885EAB" w:rsidRPr="00046E67">
        <w:t>Dictionary</w:t>
      </w:r>
      <w:r w:rsidR="004E1438">
        <w:t>.</w:t>
      </w:r>
    </w:p>
    <w:p w:rsidR="007C7DEE" w:rsidRPr="00A20CA1" w:rsidRDefault="007C7DEE" w:rsidP="009E6E30">
      <w:pPr>
        <w:pStyle w:val="LV1"/>
      </w:pPr>
      <w:bookmarkStart w:id="20" w:name="_Toc32575922"/>
      <w:r w:rsidRPr="00A20CA1">
        <w:t>Basis for determining the factors</w:t>
      </w:r>
      <w:bookmarkEnd w:id="20"/>
    </w:p>
    <w:p w:rsidR="007C7DEE" w:rsidRPr="00237BAF" w:rsidRDefault="00F863D4" w:rsidP="00AC77BF">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B0452A" w:rsidRPr="00B0452A">
        <w:t>osteonecrosis</w:t>
      </w:r>
      <w:r>
        <w:t xml:space="preserve"> </w:t>
      </w:r>
      <w:r w:rsidRPr="00D5620B">
        <w:t>and death from</w:t>
      </w:r>
      <w:r>
        <w:t xml:space="preserve"> </w:t>
      </w:r>
      <w:r w:rsidR="00B0452A" w:rsidRPr="00B0452A">
        <w:t>osteonecrosis</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627A0F" w:rsidRPr="00046E67" w:rsidRDefault="00627A0F" w:rsidP="00627A0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9E6E30" w:rsidRPr="00301C54" w:rsidRDefault="009E6E30" w:rsidP="009E6E30">
      <w:pPr>
        <w:pStyle w:val="LV1"/>
      </w:pPr>
      <w:bookmarkStart w:id="21" w:name="_Ref411946955"/>
      <w:bookmarkStart w:id="22" w:name="_Ref411946997"/>
      <w:bookmarkStart w:id="23" w:name="_Ref412032503"/>
      <w:bookmarkStart w:id="24" w:name="_Toc32575923"/>
      <w:r w:rsidRPr="00301C54">
        <w:t xml:space="preserve">Factors that must </w:t>
      </w:r>
      <w:r>
        <w:t>exist</w:t>
      </w:r>
      <w:bookmarkEnd w:id="21"/>
      <w:bookmarkEnd w:id="22"/>
      <w:bookmarkEnd w:id="23"/>
      <w:bookmarkEnd w:id="24"/>
    </w:p>
    <w:p w:rsidR="009E6E30" w:rsidRPr="00AA6D8B" w:rsidRDefault="009E6E30" w:rsidP="009E6E30">
      <w:pPr>
        <w:pStyle w:val="PlainIndent"/>
      </w:pPr>
      <w:bookmarkStart w:id="25" w:name="_Ref402530190"/>
      <w:r w:rsidRPr="00AA6D8B">
        <w:t xml:space="preserve">At least one of the following factors must </w:t>
      </w:r>
      <w:r w:rsidRPr="00283A64">
        <w:t xml:space="preserve">as a minimum </w:t>
      </w:r>
      <w:r w:rsidRPr="00AA6D8B">
        <w:t>exist before it can be said that</w:t>
      </w:r>
      <w:r>
        <w:t xml:space="preserve"> </w:t>
      </w:r>
      <w:r w:rsidRPr="00283A64">
        <w:t>a reasonable hypothesis has been raised connecting</w:t>
      </w:r>
      <w:r w:rsidRPr="00AA6D8B">
        <w:t xml:space="preserve"> </w:t>
      </w:r>
      <w:r w:rsidR="00B0452A" w:rsidRPr="00B0452A">
        <w:t>osteonecrosis</w:t>
      </w:r>
      <w:r>
        <w:t xml:space="preserve"> </w:t>
      </w:r>
      <w:r w:rsidRPr="00AA6D8B">
        <w:t xml:space="preserve">or death from </w:t>
      </w:r>
      <w:r w:rsidR="00B0452A" w:rsidRPr="00B0452A">
        <w:t>osteonecrosis</w:t>
      </w:r>
      <w:r>
        <w:t xml:space="preserve"> </w:t>
      </w:r>
      <w:r w:rsidRPr="00AA6D8B">
        <w:t>with the circumstances of a person</w:t>
      </w:r>
      <w:r>
        <w:t>'</w:t>
      </w:r>
      <w:r w:rsidRPr="00AA6D8B">
        <w:t>s relevant service:</w:t>
      </w:r>
      <w:bookmarkEnd w:id="25"/>
    </w:p>
    <w:p w:rsidR="009E6E30" w:rsidRPr="008D1B8B" w:rsidRDefault="00B0452A" w:rsidP="00B0452A">
      <w:pPr>
        <w:pStyle w:val="LV2"/>
      </w:pPr>
      <w:bookmarkStart w:id="26" w:name="_Ref402530260"/>
      <w:bookmarkStart w:id="27" w:name="_Ref409598844"/>
      <w:r w:rsidRPr="00B0452A">
        <w:t>experiencing blunt or penetrating trauma, including surgery, to the affected bone within the two years before the clinical onset of osteonecrosis;</w:t>
      </w:r>
    </w:p>
    <w:p w:rsidR="00B0452A" w:rsidRDefault="00B0452A" w:rsidP="00B0452A">
      <w:pPr>
        <w:pStyle w:val="LV2"/>
      </w:pPr>
      <w:r w:rsidRPr="00B0452A">
        <w:t>having a fracture, dislocation of a joint or subluxation of a joint of the affected bone within the two years before the clinical onset of osteonecrosis;</w:t>
      </w:r>
    </w:p>
    <w:p w:rsidR="001A36FD" w:rsidRDefault="001A36FD" w:rsidP="001A36FD">
      <w:pPr>
        <w:pStyle w:val="LV2"/>
      </w:pPr>
      <w:r w:rsidRPr="001A36FD">
        <w:t>smoking at least 15 pack-years of cigarettes, or the equivalent thereof in other tobacco products, before the clinical onset of osteonecrosis, and where smoking has ceased, the clinical onset of osteonecrosis has occurred within five years of cessation;</w:t>
      </w:r>
    </w:p>
    <w:p w:rsidR="001A36FD" w:rsidRDefault="001A36FD" w:rsidP="001A36FD">
      <w:pPr>
        <w:pStyle w:val="Note2"/>
        <w:ind w:left="1843" w:hanging="425"/>
      </w:pPr>
      <w:r>
        <w:t xml:space="preserve">Note: </w:t>
      </w:r>
      <w:r w:rsidRPr="001A36FD">
        <w:rPr>
          <w:b/>
          <w:i/>
        </w:rPr>
        <w:t>pack-years of cigarettes, or the equivalent thereof in other tobacco products</w:t>
      </w:r>
      <w:r>
        <w:t xml:space="preserve"> is defined in the Schedule 1 - Dictionary.</w:t>
      </w:r>
      <w:r>
        <w:tab/>
      </w:r>
    </w:p>
    <w:p w:rsidR="001A36FD" w:rsidRDefault="001A36FD" w:rsidP="001A36FD">
      <w:pPr>
        <w:pStyle w:val="LV2"/>
      </w:pPr>
      <w:r w:rsidRPr="001A36FD">
        <w:t xml:space="preserve">consuming an average of at least 160 grams </w:t>
      </w:r>
      <w:r w:rsidR="00FD7D45" w:rsidRPr="001A36FD">
        <w:t xml:space="preserve">of alcohol </w:t>
      </w:r>
      <w:r w:rsidRPr="001A36FD">
        <w:t>per week, for at least six months within the one year before the clinical onset of osteonecrosis;</w:t>
      </w:r>
    </w:p>
    <w:p w:rsidR="001A36FD" w:rsidRDefault="001A36FD" w:rsidP="00A82F7A">
      <w:pPr>
        <w:pStyle w:val="Note2"/>
        <w:ind w:left="1843" w:hanging="425"/>
      </w:pPr>
      <w:r w:rsidRPr="001A36FD">
        <w:t>Note: Alcohol consumption is calculated utilising the Australian Standard of ten grams of alcohol per standard alcoholic drink.</w:t>
      </w:r>
    </w:p>
    <w:p w:rsidR="001A36FD" w:rsidRDefault="001A36FD" w:rsidP="001A36FD">
      <w:pPr>
        <w:pStyle w:val="LV2"/>
      </w:pPr>
      <w:r w:rsidRPr="001A36FD">
        <w:t>having a solid organ malignancy at the time of the clinical onset of osteonecrosis;</w:t>
      </w:r>
    </w:p>
    <w:p w:rsidR="007C112C" w:rsidRDefault="007C112C" w:rsidP="007C112C">
      <w:pPr>
        <w:pStyle w:val="LV2"/>
      </w:pPr>
      <w:r w:rsidRPr="00B25B19">
        <w:t>having an autoimmune disorder from the specified list of autoimmune disorders at the time of the clinical onset of osteonecrosis;</w:t>
      </w:r>
    </w:p>
    <w:p w:rsidR="007C112C" w:rsidRDefault="007C112C" w:rsidP="007C112C">
      <w:pPr>
        <w:pStyle w:val="Note2"/>
      </w:pPr>
      <w:r>
        <w:t xml:space="preserve">Note: </w:t>
      </w:r>
      <w:r w:rsidRPr="00B25B19">
        <w:rPr>
          <w:b/>
          <w:i/>
        </w:rPr>
        <w:t>specified list of autoimmune disorders</w:t>
      </w:r>
      <w:r>
        <w:t xml:space="preserve"> is defined in the Schedule 1- Dictionary.</w:t>
      </w:r>
    </w:p>
    <w:p w:rsidR="001A36FD" w:rsidRDefault="001A36FD" w:rsidP="001A36FD">
      <w:pPr>
        <w:pStyle w:val="LV2"/>
      </w:pPr>
      <w:r w:rsidRPr="001A36FD">
        <w:lastRenderedPageBreak/>
        <w:t>having a haematological disease from the specified list of haematological diseases at the time of the clinical onset of osteonecrosis;</w:t>
      </w:r>
    </w:p>
    <w:p w:rsidR="001A36FD" w:rsidRDefault="001A36FD" w:rsidP="001A36FD">
      <w:pPr>
        <w:pStyle w:val="Note2"/>
        <w:ind w:left="1843" w:hanging="425"/>
      </w:pPr>
      <w:r>
        <w:t xml:space="preserve">Note: </w:t>
      </w:r>
      <w:r w:rsidRPr="001A36FD">
        <w:rPr>
          <w:b/>
          <w:i/>
        </w:rPr>
        <w:t>specified list of haematological diseases</w:t>
      </w:r>
      <w:r w:rsidRPr="00CA42F7">
        <w:rPr>
          <w:b/>
          <w:i/>
        </w:rPr>
        <w:t xml:space="preserve"> </w:t>
      </w:r>
      <w:r>
        <w:t>is defined in the Schedule 1- Dictionary.</w:t>
      </w:r>
      <w:r>
        <w:tab/>
      </w:r>
    </w:p>
    <w:p w:rsidR="00715ECD" w:rsidRDefault="00715ECD" w:rsidP="00715ECD">
      <w:pPr>
        <w:pStyle w:val="LV2"/>
      </w:pPr>
      <w:r w:rsidRPr="00715ECD">
        <w:t>having a hypercoagulable state as specified at the time of the clinical onset of osteonecrosis;</w:t>
      </w:r>
    </w:p>
    <w:p w:rsidR="00715ECD" w:rsidRDefault="00715ECD" w:rsidP="00715ECD">
      <w:pPr>
        <w:pStyle w:val="Note2"/>
      </w:pPr>
      <w:r>
        <w:t xml:space="preserve">Note: </w:t>
      </w:r>
      <w:r w:rsidRPr="00715ECD">
        <w:rPr>
          <w:b/>
          <w:i/>
        </w:rPr>
        <w:t xml:space="preserve">hypercoagulable state as specified </w:t>
      </w:r>
      <w:r>
        <w:t>is defined in the Schedule 1- Dictionary.</w:t>
      </w:r>
    </w:p>
    <w:p w:rsidR="00B25B19" w:rsidRDefault="00B25B19" w:rsidP="00B25B19">
      <w:pPr>
        <w:pStyle w:val="LV2"/>
      </w:pPr>
      <w:r>
        <w:t>having chronic renal failure at least one year before the clinical onset of osteonecrosis;</w:t>
      </w:r>
    </w:p>
    <w:p w:rsidR="00B25B19" w:rsidRDefault="00B25B19" w:rsidP="00B25B19">
      <w:pPr>
        <w:pStyle w:val="Note2"/>
      </w:pPr>
      <w:r>
        <w:t>Note</w:t>
      </w:r>
      <w:r w:rsidRPr="00A66BF8">
        <w:t>:</w:t>
      </w:r>
      <w:r w:rsidRPr="00B25B19">
        <w:rPr>
          <w:b/>
          <w:i/>
        </w:rPr>
        <w:t xml:space="preserve"> chronic renal failure</w:t>
      </w:r>
      <w:r>
        <w:t xml:space="preserve"> is defined in the Schedule 1 – Dictionary.</w:t>
      </w:r>
    </w:p>
    <w:p w:rsidR="00715ECD" w:rsidRDefault="00715ECD" w:rsidP="00715ECD">
      <w:pPr>
        <w:pStyle w:val="LV2"/>
      </w:pPr>
      <w:r w:rsidRPr="00715ECD">
        <w:t>having dyslipidaemia at the time of the clinical onset of osteonecrosis;</w:t>
      </w:r>
    </w:p>
    <w:p w:rsidR="00715ECD" w:rsidRDefault="00715ECD" w:rsidP="00715ECD">
      <w:pPr>
        <w:pStyle w:val="Note2"/>
      </w:pPr>
      <w:r>
        <w:t>Note</w:t>
      </w:r>
      <w:r w:rsidRPr="00A66BF8">
        <w:t>:</w:t>
      </w:r>
      <w:r w:rsidRPr="00B25B19">
        <w:rPr>
          <w:b/>
          <w:i/>
        </w:rPr>
        <w:t xml:space="preserve"> </w:t>
      </w:r>
      <w:r w:rsidRPr="00715ECD">
        <w:rPr>
          <w:b/>
          <w:i/>
        </w:rPr>
        <w:t>dyslipidaemia</w:t>
      </w:r>
      <w:r>
        <w:t xml:space="preserve"> is defined in the Schedule 1 – Dictionary.</w:t>
      </w:r>
    </w:p>
    <w:p w:rsidR="00BB0B04" w:rsidRDefault="00121969" w:rsidP="00121969">
      <w:pPr>
        <w:pStyle w:val="LV2"/>
      </w:pPr>
      <w:r w:rsidRPr="00121969">
        <w:t>having Cushing syndrome at the time of the clinical onset of osteonecrosis;</w:t>
      </w:r>
    </w:p>
    <w:p w:rsidR="00715ECD" w:rsidRDefault="00715ECD" w:rsidP="00715ECD">
      <w:pPr>
        <w:pStyle w:val="LV2"/>
      </w:pPr>
      <w:r w:rsidRPr="00715ECD">
        <w:t>having acute or chronic pancreatitis at the time of the clinical onset of osteonecrosis;</w:t>
      </w:r>
      <w:r>
        <w:t xml:space="preserve"> </w:t>
      </w:r>
    </w:p>
    <w:p w:rsidR="00715ECD" w:rsidRDefault="00715ECD" w:rsidP="00715ECD">
      <w:pPr>
        <w:pStyle w:val="LV2"/>
      </w:pPr>
      <w:r w:rsidRPr="00940132">
        <w:t>having infection with human immunodeficiency virus</w:t>
      </w:r>
      <w:r>
        <w:t xml:space="preserve"> at the time of the clinical onset of osteonecrosis;</w:t>
      </w:r>
    </w:p>
    <w:p w:rsidR="00715ECD" w:rsidRDefault="00715ECD" w:rsidP="00715ECD">
      <w:pPr>
        <w:pStyle w:val="LV2"/>
      </w:pPr>
      <w:r w:rsidRPr="00715ECD">
        <w:t>having a localised bacterial, viral or fungal infection at the affected site at the time of the clinical onset of osteonecrosis;</w:t>
      </w:r>
    </w:p>
    <w:p w:rsidR="00715ECD" w:rsidRDefault="00715ECD" w:rsidP="00715ECD">
      <w:pPr>
        <w:pStyle w:val="LV2"/>
      </w:pPr>
      <w:r w:rsidRPr="00715ECD">
        <w:t>having osteomyelitis at the affected site at the time of the clinical onset of osteonecrosis;</w:t>
      </w:r>
    </w:p>
    <w:p w:rsidR="007C112C" w:rsidRDefault="007C112C" w:rsidP="007C112C">
      <w:pPr>
        <w:pStyle w:val="LV2"/>
      </w:pPr>
      <w:r>
        <w:t xml:space="preserve">having glucocorticoid therapy as specified, before the clinical </w:t>
      </w:r>
      <w:r w:rsidRPr="00B0452A">
        <w:t>onset of osteonecrosis</w:t>
      </w:r>
      <w:r>
        <w:t>, and where the glucocorticoid therapy as specified has ceased or decreased, the last dose of the therapy was received within the five years before the clinical onset of osteonecrosis;</w:t>
      </w:r>
    </w:p>
    <w:p w:rsidR="007C112C" w:rsidRDefault="007C112C" w:rsidP="007C112C">
      <w:pPr>
        <w:pStyle w:val="Note2"/>
      </w:pPr>
      <w:r>
        <w:t xml:space="preserve">Note: </w:t>
      </w:r>
      <w:r w:rsidRPr="00CA42F7">
        <w:rPr>
          <w:b/>
          <w:i/>
        </w:rPr>
        <w:t>glucocorticoid therapy as specified</w:t>
      </w:r>
      <w:r>
        <w:t xml:space="preserve"> is defined in the Schedule 1 - Dictionary.</w:t>
      </w:r>
      <w:r>
        <w:tab/>
      </w:r>
    </w:p>
    <w:p w:rsidR="007C112C" w:rsidRDefault="007C112C" w:rsidP="007C112C">
      <w:pPr>
        <w:pStyle w:val="LV2"/>
      </w:pPr>
      <w:r w:rsidRPr="00121969">
        <w:t xml:space="preserve">taking bevacizumab, </w:t>
      </w:r>
      <w:proofErr w:type="spellStart"/>
      <w:r w:rsidRPr="00121969">
        <w:t>denosumab</w:t>
      </w:r>
      <w:proofErr w:type="spellEnd"/>
      <w:r w:rsidRPr="00121969">
        <w:t xml:space="preserve"> or testosterone within the 30 days before the clinical onset of osteonecrosis;</w:t>
      </w:r>
    </w:p>
    <w:p w:rsidR="00715ECD" w:rsidRDefault="00A66BF8" w:rsidP="00715ECD">
      <w:pPr>
        <w:pStyle w:val="LV2"/>
      </w:pPr>
      <w:r>
        <w:t>having a</w:t>
      </w:r>
      <w:r w:rsidR="00715ECD" w:rsidRPr="00715ECD">
        <w:t xml:space="preserve"> solid organ</w:t>
      </w:r>
      <w:r>
        <w:t xml:space="preserve"> transplant</w:t>
      </w:r>
      <w:r w:rsidR="00715ECD" w:rsidRPr="00715ECD">
        <w:t>, stem cell</w:t>
      </w:r>
      <w:r>
        <w:t xml:space="preserve"> transplant </w:t>
      </w:r>
      <w:r w:rsidR="00715ECD" w:rsidRPr="00715ECD">
        <w:t>or bone marrow transplant before the clinical onset of osteonecrosis;</w:t>
      </w:r>
    </w:p>
    <w:p w:rsidR="001A36FD" w:rsidRDefault="00B25B19" w:rsidP="00B25B19">
      <w:pPr>
        <w:pStyle w:val="LV2"/>
      </w:pPr>
      <w:r w:rsidRPr="00B25B19">
        <w:t>undergoing a course of therapeutic radiation for cancer, where the affected site was in the field of radiation, before the clinical onset of osteonecrosis;</w:t>
      </w:r>
    </w:p>
    <w:p w:rsidR="00B25B19" w:rsidRDefault="00B25B19" w:rsidP="00B25B19">
      <w:pPr>
        <w:pStyle w:val="LV2"/>
      </w:pPr>
      <w:r w:rsidRPr="00B25B19">
        <w:t>having internal deposition of radium-224, radium-226</w:t>
      </w:r>
      <w:r>
        <w:t>,</w:t>
      </w:r>
      <w:r w:rsidRPr="00B25B19">
        <w:t xml:space="preserve"> or radium-228 before the clinical onset of osteonecrosis;</w:t>
      </w:r>
    </w:p>
    <w:p w:rsidR="00B25B19" w:rsidRDefault="00B25B19" w:rsidP="00B25B19">
      <w:pPr>
        <w:pStyle w:val="LV2"/>
      </w:pPr>
      <w:r w:rsidRPr="00B25B19">
        <w:lastRenderedPageBreak/>
        <w:t>having decompression sickness within the five years before the clinical onset of osteonecrosis;</w:t>
      </w:r>
    </w:p>
    <w:p w:rsidR="00B25B19" w:rsidRDefault="00B25B19" w:rsidP="00B25B19">
      <w:pPr>
        <w:pStyle w:val="LV2"/>
      </w:pPr>
      <w:r w:rsidRPr="00B25B19">
        <w:t>experiencing hyperbaric exposure as specified, within the five years before the clinical onset of osteonecrosis;</w:t>
      </w:r>
    </w:p>
    <w:p w:rsidR="00B25B19" w:rsidRDefault="00B25B19" w:rsidP="00B25B19">
      <w:pPr>
        <w:pStyle w:val="Note2"/>
      </w:pPr>
      <w:r>
        <w:t xml:space="preserve">Note: </w:t>
      </w:r>
      <w:r w:rsidRPr="00B25B19">
        <w:rPr>
          <w:b/>
          <w:i/>
        </w:rPr>
        <w:t>hyperbaric exposure as specified</w:t>
      </w:r>
      <w:r>
        <w:t xml:space="preserve"> is defined in the Schedule 1- Dictionary.</w:t>
      </w:r>
      <w:r>
        <w:tab/>
      </w:r>
    </w:p>
    <w:p w:rsidR="00715ECD" w:rsidRDefault="00715ECD" w:rsidP="00715ECD">
      <w:pPr>
        <w:pStyle w:val="LV2"/>
      </w:pPr>
      <w:r w:rsidRPr="00715ECD">
        <w:t>being pregnant at the time of the clinical onset of osteonecrosis;</w:t>
      </w:r>
    </w:p>
    <w:p w:rsidR="00715ECD" w:rsidRDefault="00715ECD" w:rsidP="00715ECD">
      <w:pPr>
        <w:pStyle w:val="LV2"/>
      </w:pPr>
      <w:r w:rsidRPr="00715ECD">
        <w:t>undergoing childbirth within the one year before the clinical onset of osteonecrosis;</w:t>
      </w:r>
    </w:p>
    <w:p w:rsidR="009E6E30" w:rsidRPr="008E76DC" w:rsidRDefault="009E6E30" w:rsidP="00B0452A">
      <w:pPr>
        <w:pStyle w:val="LV2"/>
      </w:pPr>
      <w:r w:rsidRPr="008E76DC">
        <w:t xml:space="preserve">for </w:t>
      </w:r>
      <w:r w:rsidR="00B0452A" w:rsidRPr="00B0452A">
        <w:t>osteonecrosis of the jaw only:</w:t>
      </w:r>
    </w:p>
    <w:p w:rsidR="007C112C" w:rsidRDefault="007C112C" w:rsidP="007C112C">
      <w:pPr>
        <w:pStyle w:val="LV3"/>
        <w:ind w:left="1985"/>
      </w:pPr>
      <w:r w:rsidRPr="00B0452A">
        <w:t>having diabetes mellitus at the time of the clinical onset of osteonecrosis;</w:t>
      </w:r>
    </w:p>
    <w:p w:rsidR="007C112C" w:rsidRDefault="007C112C" w:rsidP="007C112C">
      <w:pPr>
        <w:pStyle w:val="LV3"/>
        <w:ind w:left="1985"/>
      </w:pPr>
      <w:r w:rsidRPr="00B0452A">
        <w:t>having periodontitis, periodontal abscess or dental pulp and apical disease within the three months before the clinical onset of osteonecrosis;</w:t>
      </w:r>
    </w:p>
    <w:p w:rsidR="007C112C" w:rsidRDefault="007C112C" w:rsidP="007C112C">
      <w:pPr>
        <w:pStyle w:val="LV3"/>
        <w:ind w:left="1985"/>
      </w:pPr>
      <w:r w:rsidRPr="00715ECD">
        <w:t xml:space="preserve">having syphilitic palatine </w:t>
      </w:r>
      <w:proofErr w:type="spellStart"/>
      <w:r w:rsidRPr="00715ECD">
        <w:t>gumma</w:t>
      </w:r>
      <w:proofErr w:type="spellEnd"/>
      <w:r w:rsidRPr="00715ECD">
        <w:t xml:space="preserve"> at the time of the clinical onset of osteonecrosis;</w:t>
      </w:r>
    </w:p>
    <w:p w:rsidR="007C112C" w:rsidRDefault="007C112C" w:rsidP="007C112C">
      <w:pPr>
        <w:pStyle w:val="LV3"/>
        <w:ind w:left="1985"/>
      </w:pPr>
      <w:r w:rsidRPr="00715ECD">
        <w:t>having acute herpes zoster involving the trigeminal nerve within the six months before the clinical onset of osteonecrosis;</w:t>
      </w:r>
      <w:r>
        <w:t xml:space="preserve"> </w:t>
      </w:r>
    </w:p>
    <w:p w:rsidR="007C112C" w:rsidRDefault="007C112C" w:rsidP="007C112C">
      <w:pPr>
        <w:pStyle w:val="LV3"/>
        <w:ind w:left="1985"/>
      </w:pPr>
      <w:r w:rsidRPr="001A36FD">
        <w:t>having substance use disorder, involving cocaine, at the time of the clinical onset of osteonecrosis;</w:t>
      </w:r>
      <w:r>
        <w:t xml:space="preserve"> </w:t>
      </w:r>
    </w:p>
    <w:p w:rsidR="007C112C" w:rsidRDefault="007C112C" w:rsidP="007C112C">
      <w:pPr>
        <w:pStyle w:val="LV3"/>
        <w:ind w:left="1985"/>
      </w:pPr>
      <w:r w:rsidRPr="00B0452A">
        <w:t>having anaemia at the time of the clinical onset of osteonecrosis;</w:t>
      </w:r>
    </w:p>
    <w:p w:rsidR="009E6E30" w:rsidRDefault="00B0452A" w:rsidP="00BB0B04">
      <w:pPr>
        <w:pStyle w:val="LV3"/>
        <w:ind w:left="1985"/>
      </w:pPr>
      <w:r w:rsidRPr="00B0452A">
        <w:t xml:space="preserve">being treated with an osteoclast inhibitor for </w:t>
      </w:r>
      <w:r w:rsidR="00BB0B04">
        <w:t xml:space="preserve">at least </w:t>
      </w:r>
      <w:r w:rsidRPr="00B0452A">
        <w:t>six months before the clinical onset of osteonecrosis, where the last dose of the drug was taken within the two years before the clinical onset of osteonecrosis;</w:t>
      </w:r>
      <w:r w:rsidR="009E6E30" w:rsidRPr="008E76DC">
        <w:t xml:space="preserve"> </w:t>
      </w:r>
    </w:p>
    <w:p w:rsidR="00BB0B04" w:rsidRPr="008E76DC" w:rsidRDefault="00BB0B04" w:rsidP="00BB0B04">
      <w:pPr>
        <w:pStyle w:val="Note1"/>
      </w:pPr>
      <w:r w:rsidRPr="00BB0B04">
        <w:rPr>
          <w:rStyle w:val="Note3Char"/>
        </w:rPr>
        <w:t xml:space="preserve">Note: </w:t>
      </w:r>
      <w:r w:rsidRPr="00BB0B04">
        <w:rPr>
          <w:rStyle w:val="Note3Char"/>
          <w:b/>
          <w:i/>
        </w:rPr>
        <w:t>osteoclast</w:t>
      </w:r>
      <w:r w:rsidRPr="00BB0B04">
        <w:rPr>
          <w:b/>
          <w:i/>
        </w:rPr>
        <w:t xml:space="preserve"> inhibitor</w:t>
      </w:r>
      <w:r w:rsidRPr="00046E67">
        <w:t xml:space="preserve"> is defined in the </w:t>
      </w:r>
      <w:r>
        <w:t>Schedule 1 - </w:t>
      </w:r>
      <w:r w:rsidRPr="002717B2">
        <w:t>Dictionary</w:t>
      </w:r>
      <w:r w:rsidRPr="00046E67">
        <w:t>.</w:t>
      </w:r>
      <w:r w:rsidRPr="00046E67">
        <w:tab/>
      </w:r>
    </w:p>
    <w:p w:rsidR="009E6E30" w:rsidRDefault="00B0452A" w:rsidP="00BB0B04">
      <w:pPr>
        <w:pStyle w:val="LV3"/>
        <w:ind w:left="1985"/>
      </w:pPr>
      <w:r w:rsidRPr="00B0452A">
        <w:t xml:space="preserve">being treated with an antiangiogenic agent for </w:t>
      </w:r>
      <w:r w:rsidR="00BB0B04">
        <w:t xml:space="preserve">at least </w:t>
      </w:r>
      <w:r w:rsidRPr="00B0452A">
        <w:t xml:space="preserve">six months before the clinical onset of osteonecrosis, where the last dose of the drug was taken within the two years before the clinical onset of </w:t>
      </w:r>
      <w:r w:rsidR="00BB0B04">
        <w:t>osteonecrosis;</w:t>
      </w:r>
      <w:r w:rsidR="007C112C">
        <w:t xml:space="preserve"> or</w:t>
      </w:r>
    </w:p>
    <w:p w:rsidR="00BB0B04" w:rsidRDefault="00BB0B04" w:rsidP="00BB0B04">
      <w:pPr>
        <w:pStyle w:val="Note1"/>
      </w:pPr>
      <w:r w:rsidRPr="00BB0B04">
        <w:rPr>
          <w:rStyle w:val="Note3Char"/>
        </w:rPr>
        <w:t xml:space="preserve">Note: </w:t>
      </w:r>
      <w:r w:rsidRPr="00BB0B04">
        <w:rPr>
          <w:rStyle w:val="Note3Char"/>
          <w:b/>
          <w:i/>
        </w:rPr>
        <w:t>antiangiogenic agent</w:t>
      </w:r>
      <w:r w:rsidRPr="00046E67">
        <w:t xml:space="preserve"> is defined in the </w:t>
      </w:r>
      <w:r>
        <w:t>Schedule 1 - </w:t>
      </w:r>
      <w:r w:rsidRPr="002717B2">
        <w:t>Dictionary</w:t>
      </w:r>
      <w:r w:rsidRPr="00046E67">
        <w:t>.</w:t>
      </w:r>
      <w:r w:rsidRPr="00046E67">
        <w:tab/>
      </w:r>
    </w:p>
    <w:p w:rsidR="00B0452A" w:rsidRPr="00B0452A" w:rsidRDefault="001A36FD" w:rsidP="007C112C">
      <w:pPr>
        <w:pStyle w:val="LV3"/>
        <w:ind w:left="1985"/>
      </w:pPr>
      <w:r w:rsidRPr="001A36FD">
        <w:t xml:space="preserve">taking </w:t>
      </w:r>
      <w:proofErr w:type="spellStart"/>
      <w:r w:rsidRPr="001A36FD">
        <w:t>desomorphine</w:t>
      </w:r>
      <w:proofErr w:type="spellEnd"/>
      <w:r w:rsidRPr="001A36FD">
        <w:t xml:space="preserve"> (</w:t>
      </w:r>
      <w:proofErr w:type="spellStart"/>
      <w:r w:rsidRPr="001A36FD">
        <w:t>krokodil</w:t>
      </w:r>
      <w:proofErr w:type="spellEnd"/>
      <w:r w:rsidRPr="001A36FD">
        <w:t>) within the 30 days before the clinical onset of osteonecrosis;</w:t>
      </w:r>
      <w:r>
        <w:t xml:space="preserve"> </w:t>
      </w:r>
    </w:p>
    <w:p w:rsidR="009E6E30" w:rsidRPr="008D1B8B" w:rsidRDefault="009E6E30" w:rsidP="009E6E30">
      <w:pPr>
        <w:pStyle w:val="LV2"/>
      </w:pPr>
      <w:r w:rsidRPr="008D1B8B">
        <w:t>inability to obtain appropriate clinical management for</w:t>
      </w:r>
      <w:bookmarkEnd w:id="26"/>
      <w:r>
        <w:t xml:space="preserve"> </w:t>
      </w:r>
      <w:r w:rsidR="00B0452A" w:rsidRPr="00B0452A">
        <w:t>osteonecrosis</w:t>
      </w:r>
      <w:r w:rsidRPr="008D1B8B">
        <w:t>.</w:t>
      </w:r>
      <w:bookmarkEnd w:id="27"/>
    </w:p>
    <w:p w:rsidR="009E6E30" w:rsidRPr="00684C0E" w:rsidRDefault="009E6E30" w:rsidP="009E6E30">
      <w:pPr>
        <w:pStyle w:val="LV1"/>
      </w:pPr>
      <w:bookmarkStart w:id="28" w:name="_Toc32575924"/>
      <w:bookmarkStart w:id="29" w:name="_Ref402530057"/>
      <w:r>
        <w:t>Relationship to s</w:t>
      </w:r>
      <w:r w:rsidRPr="00684C0E">
        <w:t>ervice</w:t>
      </w:r>
      <w:bookmarkEnd w:id="28"/>
    </w:p>
    <w:p w:rsidR="009E6E30" w:rsidRPr="00187DE1" w:rsidRDefault="009E6E30" w:rsidP="009E6E30">
      <w:pPr>
        <w:pStyle w:val="LV2"/>
      </w:pPr>
      <w:r w:rsidRPr="00187DE1">
        <w:t xml:space="preserve">The existence </w:t>
      </w:r>
      <w:r>
        <w:t xml:space="preserve">in a person </w:t>
      </w:r>
      <w:r w:rsidRPr="00187DE1">
        <w:t xml:space="preserve">of any factor referred to in </w:t>
      </w:r>
      <w:r>
        <w:t>section 8</w:t>
      </w:r>
      <w:r w:rsidRPr="00187DE1">
        <w:t>, must be related to the relevant service rendered by the person.</w:t>
      </w:r>
    </w:p>
    <w:bookmarkEnd w:id="29"/>
    <w:p w:rsidR="009E6E30" w:rsidRPr="00187DE1" w:rsidRDefault="009E6E30" w:rsidP="009E6E30">
      <w:pPr>
        <w:pStyle w:val="LV2"/>
      </w:pPr>
      <w:r w:rsidRPr="00187DE1">
        <w:t xml:space="preserve">The factor set out in </w:t>
      </w:r>
      <w:r>
        <w:t>subsection 8(</w:t>
      </w:r>
      <w:r w:rsidR="001E3CCB">
        <w:t>26</w:t>
      </w:r>
      <w:r>
        <w:t xml:space="preserve">) </w:t>
      </w:r>
      <w:r w:rsidRPr="00187DE1">
        <w:t xml:space="preserve">applies only to material contribution to, or aggravation of, </w:t>
      </w:r>
      <w:r w:rsidR="00B0452A" w:rsidRPr="00B0452A">
        <w:t>osteonecrosis</w:t>
      </w:r>
      <w:r>
        <w:t xml:space="preserve"> </w:t>
      </w:r>
      <w:r w:rsidRPr="00187DE1">
        <w:t>where the person</w:t>
      </w:r>
      <w:r>
        <w:t>'</w:t>
      </w:r>
      <w:r w:rsidRPr="00187DE1">
        <w:t xml:space="preserve">s </w:t>
      </w:r>
      <w:r w:rsidR="00B0452A" w:rsidRPr="00B0452A">
        <w:lastRenderedPageBreak/>
        <w:t>osteonecrosis</w:t>
      </w:r>
      <w:r>
        <w:t xml:space="preserve"> </w:t>
      </w:r>
      <w:r w:rsidRPr="00187DE1">
        <w:t>was suffered or contracted before or during (but did not arise out of) the person</w:t>
      </w:r>
      <w:r>
        <w:t>'</w:t>
      </w:r>
      <w:r w:rsidRPr="00187DE1">
        <w:t xml:space="preserve">s relevant service. </w:t>
      </w:r>
    </w:p>
    <w:p w:rsidR="009E6E30" w:rsidRPr="00301C54" w:rsidRDefault="009E6E30" w:rsidP="009E6E30">
      <w:pPr>
        <w:pStyle w:val="LV1"/>
      </w:pPr>
      <w:bookmarkStart w:id="30" w:name="_Toc32575925"/>
      <w:r w:rsidRPr="00301C54">
        <w:t>Factors referring to an injury or disea</w:t>
      </w:r>
      <w:r>
        <w:t>se covered by another Statement</w:t>
      </w:r>
      <w:r w:rsidRPr="00301C54">
        <w:t xml:space="preserve"> of Principles</w:t>
      </w:r>
      <w:bookmarkEnd w:id="30"/>
    </w:p>
    <w:p w:rsidR="009E6E30" w:rsidRPr="00E64EE4" w:rsidRDefault="009E6E30" w:rsidP="009E6E30">
      <w:pPr>
        <w:pStyle w:val="PlainIndent"/>
      </w:pPr>
      <w:r w:rsidRPr="00E64EE4">
        <w:t>In this Statement of Principles:</w:t>
      </w:r>
    </w:p>
    <w:p w:rsidR="009E6E30" w:rsidRPr="00E64EE4" w:rsidRDefault="009E6E30" w:rsidP="009E6E30">
      <w:pPr>
        <w:pStyle w:val="LV2"/>
      </w:pPr>
      <w:r w:rsidRPr="00E64EE4">
        <w:t>if a f</w:t>
      </w:r>
      <w:r>
        <w:t>actor referred to in section 8</w:t>
      </w:r>
      <w:r w:rsidRPr="00E64EE4">
        <w:t xml:space="preserve"> applies in relation to a person; and </w:t>
      </w:r>
    </w:p>
    <w:p w:rsidR="009E6E30" w:rsidRPr="00E64EE4" w:rsidRDefault="009E6E30" w:rsidP="009E6E30">
      <w:pPr>
        <w:pStyle w:val="LV2"/>
      </w:pPr>
      <w:r w:rsidRPr="00E64EE4">
        <w:t xml:space="preserve">that factor </w:t>
      </w:r>
      <w:r>
        <w:t xml:space="preserve">refers to an injury or disease </w:t>
      </w:r>
      <w:r w:rsidRPr="00E64EE4">
        <w:t>in respect of which a Statement of Principles has been de</w:t>
      </w:r>
      <w:r>
        <w:t>termined under subsection 196B(2</w:t>
      </w:r>
      <w:r w:rsidRPr="00E64EE4">
        <w:t>) of the VEA;</w:t>
      </w:r>
    </w:p>
    <w:p w:rsidR="009E6E30" w:rsidRDefault="009E6E30" w:rsidP="009E6E30">
      <w:pPr>
        <w:pStyle w:val="PlainIndent"/>
      </w:pPr>
      <w:r w:rsidRPr="00E64EE4">
        <w:t>then the factors in that Statement of Principles apply in accordance with the terms of that Statement of Principles as in force from time to time.</w:t>
      </w:r>
    </w:p>
    <w:p w:rsidR="009E6E30" w:rsidRPr="00E64EE4" w:rsidRDefault="009E6E30" w:rsidP="009E6E30">
      <w:pPr>
        <w:pStyle w:val="PlainIndent"/>
      </w:pPr>
    </w:p>
    <w:p w:rsidR="00081B7C" w:rsidRPr="00FA33FB" w:rsidRDefault="00081B7C" w:rsidP="00AC77BF">
      <w:pPr>
        <w:pStyle w:val="PlainIndent"/>
        <w:sectPr w:rsidR="00081B7C" w:rsidRPr="00FA33FB" w:rsidSect="00B846A0">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AC77BF">
      <w:pPr>
        <w:pStyle w:val="PlainIndent"/>
      </w:pPr>
    </w:p>
    <w:p w:rsidR="00CF2367" w:rsidRPr="00FA33FB" w:rsidRDefault="00CF2367" w:rsidP="002A3436">
      <w:pPr>
        <w:pStyle w:val="SHHeader"/>
      </w:pPr>
      <w:bookmarkStart w:id="31" w:name="opcAmSched"/>
      <w:bookmarkStart w:id="32" w:name="opcCurrentFind"/>
      <w:bookmarkStart w:id="33" w:name="_Toc32575926"/>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5</w:t>
      </w:r>
    </w:p>
    <w:p w:rsidR="00BD3334" w:rsidRDefault="00702C42" w:rsidP="00516768">
      <w:pPr>
        <w:pStyle w:val="SH1"/>
      </w:pPr>
      <w:bookmarkStart w:id="34" w:name="_Toc405472918"/>
      <w:bookmarkStart w:id="35" w:name="_Toc32575927"/>
      <w:r w:rsidRPr="00D97BB3">
        <w:t>Definitions</w:t>
      </w:r>
      <w:bookmarkEnd w:id="34"/>
      <w:bookmarkEnd w:id="35"/>
    </w:p>
    <w:p w:rsidR="00702C42" w:rsidRPr="00516768" w:rsidRDefault="00702C42" w:rsidP="00B55400">
      <w:pPr>
        <w:pStyle w:val="SH2"/>
      </w:pPr>
      <w:r w:rsidRPr="00516768">
        <w:t>In this instrument:</w:t>
      </w:r>
    </w:p>
    <w:p w:rsidR="00627A0F" w:rsidRDefault="00BB0B04" w:rsidP="00715ECD">
      <w:pPr>
        <w:pStyle w:val="SH3"/>
      </w:pPr>
      <w:bookmarkStart w:id="36" w:name="_Ref402530810"/>
      <w:r w:rsidRPr="00BB0B04">
        <w:rPr>
          <w:b/>
          <w:i/>
        </w:rPr>
        <w:t>antiangiogenic agent</w:t>
      </w:r>
      <w:r w:rsidRPr="00BB0B04">
        <w:t xml:space="preserve"> means a drug that inhibits angiogenesis and is used in cancer therapy.  Examples include, but are not limited to, bevacizumab, </w:t>
      </w:r>
      <w:proofErr w:type="spellStart"/>
      <w:r w:rsidRPr="00BB0B04">
        <w:t>sunitinib</w:t>
      </w:r>
      <w:proofErr w:type="spellEnd"/>
      <w:r w:rsidRPr="00BB0B04">
        <w:t xml:space="preserve"> and thalidomide.</w:t>
      </w:r>
    </w:p>
    <w:p w:rsidR="00715ECD" w:rsidRDefault="00715ECD" w:rsidP="00715ECD">
      <w:pPr>
        <w:pStyle w:val="SH3"/>
      </w:pPr>
      <w:r w:rsidRPr="001E3CCB">
        <w:rPr>
          <w:b/>
          <w:i/>
        </w:rPr>
        <w:t>chronic renal failure</w:t>
      </w:r>
      <w:r>
        <w:t xml:space="preserve"> means:</w:t>
      </w:r>
    </w:p>
    <w:p w:rsidR="00715ECD" w:rsidRDefault="00715ECD" w:rsidP="00715ECD">
      <w:pPr>
        <w:pStyle w:val="SH4"/>
        <w:ind w:left="1418"/>
      </w:pPr>
      <w:r>
        <w:t>having a glomerular filtration rate of less than 15 mL/min/1.73 m</w:t>
      </w:r>
      <w:r w:rsidRPr="00715ECD">
        <w:rPr>
          <w:vertAlign w:val="superscript"/>
        </w:rPr>
        <w:t>2</w:t>
      </w:r>
      <w:r>
        <w:t xml:space="preserve"> for a period of at least three months; or </w:t>
      </w:r>
    </w:p>
    <w:p w:rsidR="00715ECD" w:rsidRDefault="00715ECD" w:rsidP="00715ECD">
      <w:pPr>
        <w:pStyle w:val="SH4"/>
        <w:ind w:left="1418"/>
      </w:pPr>
      <w:r>
        <w:t>a need for renal replacement therapy (dialysis or transplantation) for treatment of complications of decreased glomerular filtration rate which would otherwise increase the risk of morbidity and mortality; or</w:t>
      </w:r>
    </w:p>
    <w:p w:rsidR="00627A0F" w:rsidRDefault="00715ECD" w:rsidP="00715ECD">
      <w:pPr>
        <w:pStyle w:val="SH4"/>
        <w:ind w:left="1418"/>
      </w:pPr>
      <w:r>
        <w:t>undergoing chronic dialysis.</w:t>
      </w:r>
    </w:p>
    <w:p w:rsidR="00715ECD" w:rsidRDefault="00715ECD" w:rsidP="00715ECD">
      <w:pPr>
        <w:pStyle w:val="SH3"/>
      </w:pPr>
      <w:r w:rsidRPr="00715ECD">
        <w:rPr>
          <w:b/>
          <w:i/>
        </w:rPr>
        <w:t>dyslipidaemia</w:t>
      </w:r>
      <w:r>
        <w:t xml:space="preserve"> means persistently abnormal blood lipid levels, diagnosed by a medical practitioner and evidenced by: </w:t>
      </w:r>
    </w:p>
    <w:p w:rsidR="00715ECD" w:rsidRDefault="00715ECD" w:rsidP="00715ECD">
      <w:pPr>
        <w:pStyle w:val="SH4"/>
        <w:ind w:left="1418"/>
      </w:pPr>
      <w:r>
        <w:t xml:space="preserve">a total serum cholesterol level greater than 5.5 </w:t>
      </w:r>
      <w:proofErr w:type="spellStart"/>
      <w:r>
        <w:t>mmol</w:t>
      </w:r>
      <w:proofErr w:type="spellEnd"/>
      <w:r>
        <w:t>/L; or</w:t>
      </w:r>
    </w:p>
    <w:p w:rsidR="00715ECD" w:rsidRDefault="00715ECD" w:rsidP="00715ECD">
      <w:pPr>
        <w:pStyle w:val="SH4"/>
        <w:ind w:left="1418"/>
      </w:pPr>
      <w:r>
        <w:t xml:space="preserve">a serum low density lipoprotein level greater than 4.0 </w:t>
      </w:r>
      <w:proofErr w:type="spellStart"/>
      <w:r>
        <w:t>mmol</w:t>
      </w:r>
      <w:proofErr w:type="spellEnd"/>
      <w:r>
        <w:t>/L; or</w:t>
      </w:r>
    </w:p>
    <w:p w:rsidR="00715ECD" w:rsidRPr="00715ECD" w:rsidRDefault="00715ECD" w:rsidP="00715ECD">
      <w:pPr>
        <w:pStyle w:val="SH4"/>
        <w:ind w:left="1418"/>
      </w:pPr>
      <w:r>
        <w:t xml:space="preserve">a serum high density lipoprotein cholesterol level less than 1.0 </w:t>
      </w:r>
      <w:proofErr w:type="spellStart"/>
      <w:r>
        <w:t>mmol</w:t>
      </w:r>
      <w:proofErr w:type="spellEnd"/>
      <w:r>
        <w:t>/L.</w:t>
      </w:r>
    </w:p>
    <w:p w:rsidR="00CA42F7" w:rsidRDefault="00CA42F7" w:rsidP="001E3CCB">
      <w:pPr>
        <w:pStyle w:val="SH3"/>
        <w:spacing w:after="120"/>
      </w:pPr>
      <w:r w:rsidRPr="00CA42F7">
        <w:rPr>
          <w:b/>
          <w:i/>
        </w:rPr>
        <w:tab/>
        <w:t>equivalent glucocorticoid therapy</w:t>
      </w:r>
      <w:r w:rsidRPr="00CA42F7">
        <w:t xml:space="preserve"> means a glucocorticoid in the following table, at the doses specified in the table, or a therapeutically equivalent dose of another glucocorticoid:</w:t>
      </w:r>
    </w:p>
    <w:tbl>
      <w:tblPr>
        <w:tblStyle w:val="TableGrid"/>
        <w:tblW w:w="6804" w:type="dxa"/>
        <w:tblInd w:w="988" w:type="dxa"/>
        <w:tblLayout w:type="fixed"/>
        <w:tblLook w:val="01E0" w:firstRow="1" w:lastRow="1" w:firstColumn="1" w:lastColumn="1" w:noHBand="0" w:noVBand="0"/>
      </w:tblPr>
      <w:tblGrid>
        <w:gridCol w:w="2268"/>
        <w:gridCol w:w="2268"/>
        <w:gridCol w:w="2268"/>
      </w:tblGrid>
      <w:tr w:rsidR="00CA42F7" w:rsidRPr="00B627FD" w:rsidTr="00A66BF8">
        <w:tc>
          <w:tcPr>
            <w:tcW w:w="2268" w:type="dxa"/>
            <w:tcBorders>
              <w:top w:val="single" w:sz="4" w:space="0" w:color="auto"/>
              <w:left w:val="single" w:sz="4" w:space="0" w:color="auto"/>
              <w:bottom w:val="single" w:sz="4" w:space="0" w:color="auto"/>
              <w:right w:val="single" w:sz="4" w:space="0" w:color="auto"/>
            </w:tcBorders>
            <w:hideMark/>
          </w:tcPr>
          <w:p w:rsidR="00CA42F7" w:rsidRPr="0090467D" w:rsidRDefault="00CA42F7" w:rsidP="00A76557">
            <w:pPr>
              <w:ind w:left="175"/>
              <w:rPr>
                <w:b/>
              </w:rPr>
            </w:pPr>
            <w:r w:rsidRPr="0090467D">
              <w:rPr>
                <w:b/>
              </w:rPr>
              <w:t xml:space="preserve">Glucocorticoid </w:t>
            </w:r>
          </w:p>
        </w:tc>
        <w:tc>
          <w:tcPr>
            <w:tcW w:w="2268" w:type="dxa"/>
            <w:tcBorders>
              <w:top w:val="single" w:sz="4" w:space="0" w:color="auto"/>
              <w:left w:val="single" w:sz="4" w:space="0" w:color="auto"/>
              <w:bottom w:val="single" w:sz="4" w:space="0" w:color="auto"/>
              <w:right w:val="single" w:sz="4" w:space="0" w:color="auto"/>
            </w:tcBorders>
            <w:hideMark/>
          </w:tcPr>
          <w:p w:rsidR="00CA42F7" w:rsidRPr="0090467D" w:rsidRDefault="00CA42F7" w:rsidP="00A76557">
            <w:pPr>
              <w:ind w:left="-163"/>
              <w:jc w:val="center"/>
              <w:rPr>
                <w:b/>
              </w:rPr>
            </w:pPr>
            <w:r w:rsidRPr="0090467D">
              <w:rPr>
                <w:b/>
              </w:rPr>
              <w:t>Minimum cumulative</w:t>
            </w:r>
          </w:p>
          <w:p w:rsidR="00CA42F7" w:rsidRPr="0090467D" w:rsidRDefault="00CA42F7" w:rsidP="00A76557">
            <w:pPr>
              <w:spacing w:after="60"/>
              <w:ind w:left="-164"/>
              <w:jc w:val="center"/>
              <w:rPr>
                <w:b/>
              </w:rPr>
            </w:pPr>
            <w:r w:rsidRPr="0090467D">
              <w:rPr>
                <w:b/>
              </w:rPr>
              <w:t>dose (milligrams)</w:t>
            </w:r>
          </w:p>
        </w:tc>
        <w:tc>
          <w:tcPr>
            <w:tcW w:w="2268" w:type="dxa"/>
            <w:tcBorders>
              <w:top w:val="single" w:sz="4" w:space="0" w:color="auto"/>
              <w:left w:val="single" w:sz="4" w:space="0" w:color="auto"/>
              <w:bottom w:val="single" w:sz="4" w:space="0" w:color="auto"/>
              <w:right w:val="single" w:sz="4" w:space="0" w:color="auto"/>
            </w:tcBorders>
            <w:hideMark/>
          </w:tcPr>
          <w:p w:rsidR="00CA42F7" w:rsidRPr="0090467D" w:rsidRDefault="00CA42F7" w:rsidP="00A76557">
            <w:pPr>
              <w:ind w:left="-2"/>
              <w:jc w:val="center"/>
              <w:rPr>
                <w:b/>
              </w:rPr>
            </w:pPr>
            <w:r w:rsidRPr="0090467D">
              <w:rPr>
                <w:b/>
              </w:rPr>
              <w:t>Minimum average</w:t>
            </w:r>
          </w:p>
          <w:p w:rsidR="00CA42F7" w:rsidRPr="0090467D" w:rsidRDefault="00CA42F7" w:rsidP="00A76557">
            <w:pPr>
              <w:ind w:left="-2"/>
              <w:jc w:val="center"/>
              <w:rPr>
                <w:b/>
              </w:rPr>
            </w:pPr>
            <w:r w:rsidRPr="0090467D">
              <w:rPr>
                <w:b/>
              </w:rPr>
              <w:t>rate (milligrams/day)</w:t>
            </w:r>
          </w:p>
        </w:tc>
      </w:tr>
      <w:tr w:rsidR="00CA42F7" w:rsidRPr="00B627FD" w:rsidTr="00A66BF8">
        <w:tc>
          <w:tcPr>
            <w:tcW w:w="2268" w:type="dxa"/>
            <w:tcBorders>
              <w:top w:val="single" w:sz="4" w:space="0" w:color="auto"/>
              <w:left w:val="single" w:sz="4" w:space="0" w:color="auto"/>
              <w:bottom w:val="single" w:sz="4" w:space="0" w:color="auto"/>
              <w:right w:val="single" w:sz="4" w:space="0" w:color="auto"/>
            </w:tcBorders>
            <w:vAlign w:val="bottom"/>
            <w:hideMark/>
          </w:tcPr>
          <w:p w:rsidR="00CA42F7" w:rsidRPr="0090467D" w:rsidRDefault="00CA42F7" w:rsidP="00A76557">
            <w:pPr>
              <w:ind w:left="175"/>
            </w:pPr>
            <w:r w:rsidRPr="0090467D">
              <w:t>betamethasone</w:t>
            </w:r>
          </w:p>
        </w:tc>
        <w:tc>
          <w:tcPr>
            <w:tcW w:w="2268" w:type="dxa"/>
            <w:tcBorders>
              <w:top w:val="single" w:sz="4" w:space="0" w:color="auto"/>
              <w:left w:val="single" w:sz="4" w:space="0" w:color="auto"/>
              <w:bottom w:val="single" w:sz="4" w:space="0" w:color="auto"/>
              <w:right w:val="single" w:sz="4" w:space="0" w:color="auto"/>
            </w:tcBorders>
            <w:hideMark/>
          </w:tcPr>
          <w:p w:rsidR="00CA42F7" w:rsidRPr="0090467D" w:rsidRDefault="00CA42F7" w:rsidP="00A76557">
            <w:pPr>
              <w:ind w:left="-163"/>
              <w:jc w:val="center"/>
            </w:pPr>
            <w:r w:rsidRPr="0090467D">
              <w:t>475</w:t>
            </w:r>
          </w:p>
        </w:tc>
        <w:tc>
          <w:tcPr>
            <w:tcW w:w="2268" w:type="dxa"/>
            <w:tcBorders>
              <w:top w:val="single" w:sz="4" w:space="0" w:color="auto"/>
              <w:left w:val="single" w:sz="4" w:space="0" w:color="auto"/>
              <w:bottom w:val="single" w:sz="4" w:space="0" w:color="auto"/>
              <w:right w:val="single" w:sz="4" w:space="0" w:color="auto"/>
            </w:tcBorders>
            <w:hideMark/>
          </w:tcPr>
          <w:p w:rsidR="00CA42F7" w:rsidRPr="0090467D" w:rsidRDefault="00CA42F7" w:rsidP="00A76557">
            <w:pPr>
              <w:ind w:left="-2"/>
              <w:jc w:val="center"/>
            </w:pPr>
            <w:r w:rsidRPr="0090467D">
              <w:t>1.3</w:t>
            </w:r>
          </w:p>
        </w:tc>
      </w:tr>
      <w:tr w:rsidR="00CA42F7" w:rsidRPr="00B627FD" w:rsidTr="00A66BF8">
        <w:tc>
          <w:tcPr>
            <w:tcW w:w="2268" w:type="dxa"/>
            <w:tcBorders>
              <w:top w:val="single" w:sz="4" w:space="0" w:color="auto"/>
              <w:left w:val="single" w:sz="4" w:space="0" w:color="auto"/>
              <w:bottom w:val="single" w:sz="4" w:space="0" w:color="auto"/>
              <w:right w:val="single" w:sz="4" w:space="0" w:color="auto"/>
            </w:tcBorders>
            <w:vAlign w:val="bottom"/>
            <w:hideMark/>
          </w:tcPr>
          <w:p w:rsidR="00CA42F7" w:rsidRPr="0090467D" w:rsidRDefault="00CA42F7" w:rsidP="00A76557">
            <w:pPr>
              <w:ind w:left="175"/>
            </w:pPr>
            <w:r w:rsidRPr="0090467D">
              <w:t>cortisone</w:t>
            </w:r>
          </w:p>
        </w:tc>
        <w:tc>
          <w:tcPr>
            <w:tcW w:w="2268" w:type="dxa"/>
            <w:tcBorders>
              <w:top w:val="single" w:sz="4" w:space="0" w:color="auto"/>
              <w:left w:val="single" w:sz="4" w:space="0" w:color="auto"/>
              <w:bottom w:val="single" w:sz="4" w:space="0" w:color="auto"/>
              <w:right w:val="single" w:sz="4" w:space="0" w:color="auto"/>
            </w:tcBorders>
            <w:hideMark/>
          </w:tcPr>
          <w:p w:rsidR="00CA42F7" w:rsidRPr="0090467D" w:rsidRDefault="00CA42F7" w:rsidP="00A76557">
            <w:pPr>
              <w:ind w:left="-163"/>
              <w:jc w:val="center"/>
            </w:pPr>
            <w:r w:rsidRPr="0090467D">
              <w:t>18 250</w:t>
            </w:r>
          </w:p>
        </w:tc>
        <w:tc>
          <w:tcPr>
            <w:tcW w:w="2268" w:type="dxa"/>
            <w:tcBorders>
              <w:top w:val="single" w:sz="4" w:space="0" w:color="auto"/>
              <w:left w:val="single" w:sz="4" w:space="0" w:color="auto"/>
              <w:bottom w:val="single" w:sz="4" w:space="0" w:color="auto"/>
              <w:right w:val="single" w:sz="4" w:space="0" w:color="auto"/>
            </w:tcBorders>
            <w:hideMark/>
          </w:tcPr>
          <w:p w:rsidR="00CA42F7" w:rsidRPr="0090467D" w:rsidRDefault="00CA42F7" w:rsidP="00A76557">
            <w:pPr>
              <w:ind w:left="-2"/>
              <w:jc w:val="center"/>
            </w:pPr>
            <w:r w:rsidRPr="0090467D">
              <w:t>50</w:t>
            </w:r>
          </w:p>
        </w:tc>
      </w:tr>
      <w:tr w:rsidR="00CA42F7" w:rsidRPr="00B627FD" w:rsidTr="00A66BF8">
        <w:tc>
          <w:tcPr>
            <w:tcW w:w="2268" w:type="dxa"/>
            <w:tcBorders>
              <w:top w:val="single" w:sz="4" w:space="0" w:color="auto"/>
              <w:left w:val="single" w:sz="4" w:space="0" w:color="auto"/>
              <w:bottom w:val="single" w:sz="4" w:space="0" w:color="auto"/>
              <w:right w:val="single" w:sz="4" w:space="0" w:color="auto"/>
            </w:tcBorders>
            <w:vAlign w:val="bottom"/>
            <w:hideMark/>
          </w:tcPr>
          <w:p w:rsidR="00CA42F7" w:rsidRPr="0090467D" w:rsidRDefault="00CA42F7" w:rsidP="00A76557">
            <w:pPr>
              <w:ind w:left="175"/>
            </w:pPr>
            <w:r w:rsidRPr="0090467D">
              <w:t>dexamethasone</w:t>
            </w:r>
          </w:p>
        </w:tc>
        <w:tc>
          <w:tcPr>
            <w:tcW w:w="2268" w:type="dxa"/>
            <w:tcBorders>
              <w:top w:val="single" w:sz="4" w:space="0" w:color="auto"/>
              <w:left w:val="single" w:sz="4" w:space="0" w:color="auto"/>
              <w:bottom w:val="single" w:sz="4" w:space="0" w:color="auto"/>
              <w:right w:val="single" w:sz="4" w:space="0" w:color="auto"/>
            </w:tcBorders>
            <w:hideMark/>
          </w:tcPr>
          <w:p w:rsidR="00CA42F7" w:rsidRPr="0090467D" w:rsidRDefault="00CA42F7" w:rsidP="00A76557">
            <w:pPr>
              <w:ind w:left="-163"/>
              <w:jc w:val="center"/>
            </w:pPr>
            <w:r w:rsidRPr="0090467D">
              <w:t>585</w:t>
            </w:r>
          </w:p>
        </w:tc>
        <w:tc>
          <w:tcPr>
            <w:tcW w:w="2268" w:type="dxa"/>
            <w:tcBorders>
              <w:top w:val="single" w:sz="4" w:space="0" w:color="auto"/>
              <w:left w:val="single" w:sz="4" w:space="0" w:color="auto"/>
              <w:bottom w:val="single" w:sz="4" w:space="0" w:color="auto"/>
              <w:right w:val="single" w:sz="4" w:space="0" w:color="auto"/>
            </w:tcBorders>
            <w:hideMark/>
          </w:tcPr>
          <w:p w:rsidR="00CA42F7" w:rsidRPr="0090467D" w:rsidRDefault="00CA42F7" w:rsidP="00A76557">
            <w:pPr>
              <w:ind w:left="-2"/>
              <w:jc w:val="center"/>
            </w:pPr>
            <w:r w:rsidRPr="0090467D">
              <w:t>1.6</w:t>
            </w:r>
          </w:p>
        </w:tc>
      </w:tr>
      <w:tr w:rsidR="00CA42F7" w:rsidRPr="00B627FD" w:rsidTr="00A66BF8">
        <w:tc>
          <w:tcPr>
            <w:tcW w:w="2268" w:type="dxa"/>
            <w:tcBorders>
              <w:top w:val="single" w:sz="4" w:space="0" w:color="auto"/>
              <w:left w:val="single" w:sz="4" w:space="0" w:color="auto"/>
              <w:bottom w:val="single" w:sz="4" w:space="0" w:color="auto"/>
              <w:right w:val="single" w:sz="4" w:space="0" w:color="auto"/>
            </w:tcBorders>
            <w:vAlign w:val="bottom"/>
            <w:hideMark/>
          </w:tcPr>
          <w:p w:rsidR="00CA42F7" w:rsidRPr="0090467D" w:rsidRDefault="00CA42F7" w:rsidP="00A76557">
            <w:pPr>
              <w:ind w:left="175"/>
            </w:pPr>
            <w:r w:rsidRPr="0090467D">
              <w:t>hydrocortisone</w:t>
            </w:r>
          </w:p>
        </w:tc>
        <w:tc>
          <w:tcPr>
            <w:tcW w:w="2268" w:type="dxa"/>
            <w:tcBorders>
              <w:top w:val="single" w:sz="4" w:space="0" w:color="auto"/>
              <w:left w:val="single" w:sz="4" w:space="0" w:color="auto"/>
              <w:bottom w:val="single" w:sz="4" w:space="0" w:color="auto"/>
              <w:right w:val="single" w:sz="4" w:space="0" w:color="auto"/>
            </w:tcBorders>
            <w:hideMark/>
          </w:tcPr>
          <w:p w:rsidR="00CA42F7" w:rsidRPr="0090467D" w:rsidRDefault="00CA42F7" w:rsidP="00A76557">
            <w:pPr>
              <w:ind w:left="-163"/>
              <w:jc w:val="center"/>
            </w:pPr>
            <w:r w:rsidRPr="0090467D">
              <w:t>14 600</w:t>
            </w:r>
          </w:p>
        </w:tc>
        <w:tc>
          <w:tcPr>
            <w:tcW w:w="2268" w:type="dxa"/>
            <w:tcBorders>
              <w:top w:val="single" w:sz="4" w:space="0" w:color="auto"/>
              <w:left w:val="single" w:sz="4" w:space="0" w:color="auto"/>
              <w:bottom w:val="single" w:sz="4" w:space="0" w:color="auto"/>
              <w:right w:val="single" w:sz="4" w:space="0" w:color="auto"/>
            </w:tcBorders>
            <w:hideMark/>
          </w:tcPr>
          <w:p w:rsidR="00CA42F7" w:rsidRPr="0090467D" w:rsidRDefault="00CA42F7" w:rsidP="00A76557">
            <w:pPr>
              <w:ind w:left="-2"/>
              <w:jc w:val="center"/>
            </w:pPr>
            <w:r w:rsidRPr="0090467D">
              <w:t>40</w:t>
            </w:r>
          </w:p>
        </w:tc>
      </w:tr>
      <w:tr w:rsidR="00CA42F7" w:rsidRPr="00B627FD" w:rsidTr="00A66BF8">
        <w:tc>
          <w:tcPr>
            <w:tcW w:w="2268" w:type="dxa"/>
            <w:tcBorders>
              <w:top w:val="single" w:sz="4" w:space="0" w:color="auto"/>
              <w:left w:val="single" w:sz="4" w:space="0" w:color="auto"/>
              <w:bottom w:val="single" w:sz="4" w:space="0" w:color="auto"/>
              <w:right w:val="single" w:sz="4" w:space="0" w:color="auto"/>
            </w:tcBorders>
            <w:vAlign w:val="bottom"/>
            <w:hideMark/>
          </w:tcPr>
          <w:p w:rsidR="00CA42F7" w:rsidRPr="0090467D" w:rsidRDefault="00CA42F7" w:rsidP="00A76557">
            <w:pPr>
              <w:ind w:left="175"/>
            </w:pPr>
            <w:r w:rsidRPr="0090467D">
              <w:t>methylprednisolone</w:t>
            </w:r>
          </w:p>
        </w:tc>
        <w:tc>
          <w:tcPr>
            <w:tcW w:w="2268" w:type="dxa"/>
            <w:tcBorders>
              <w:top w:val="single" w:sz="4" w:space="0" w:color="auto"/>
              <w:left w:val="single" w:sz="4" w:space="0" w:color="auto"/>
              <w:bottom w:val="single" w:sz="4" w:space="0" w:color="auto"/>
              <w:right w:val="single" w:sz="4" w:space="0" w:color="auto"/>
            </w:tcBorders>
            <w:hideMark/>
          </w:tcPr>
          <w:p w:rsidR="00CA42F7" w:rsidRPr="0090467D" w:rsidRDefault="00CA42F7" w:rsidP="00A76557">
            <w:pPr>
              <w:ind w:left="-163"/>
              <w:jc w:val="center"/>
            </w:pPr>
            <w:r w:rsidRPr="0090467D">
              <w:t>2 920</w:t>
            </w:r>
          </w:p>
        </w:tc>
        <w:tc>
          <w:tcPr>
            <w:tcW w:w="2268" w:type="dxa"/>
            <w:tcBorders>
              <w:top w:val="single" w:sz="4" w:space="0" w:color="auto"/>
              <w:left w:val="single" w:sz="4" w:space="0" w:color="auto"/>
              <w:bottom w:val="single" w:sz="4" w:space="0" w:color="auto"/>
              <w:right w:val="single" w:sz="4" w:space="0" w:color="auto"/>
            </w:tcBorders>
            <w:hideMark/>
          </w:tcPr>
          <w:p w:rsidR="00CA42F7" w:rsidRPr="0090467D" w:rsidRDefault="00CA42F7" w:rsidP="00A76557">
            <w:pPr>
              <w:ind w:left="-2"/>
              <w:jc w:val="center"/>
            </w:pPr>
            <w:r w:rsidRPr="0090467D">
              <w:t>8</w:t>
            </w:r>
          </w:p>
        </w:tc>
      </w:tr>
      <w:tr w:rsidR="00CA42F7" w:rsidRPr="00B627FD" w:rsidTr="00A66BF8">
        <w:tc>
          <w:tcPr>
            <w:tcW w:w="2268" w:type="dxa"/>
            <w:tcBorders>
              <w:top w:val="single" w:sz="4" w:space="0" w:color="auto"/>
              <w:left w:val="single" w:sz="4" w:space="0" w:color="auto"/>
              <w:bottom w:val="single" w:sz="4" w:space="0" w:color="auto"/>
              <w:right w:val="single" w:sz="4" w:space="0" w:color="auto"/>
            </w:tcBorders>
            <w:vAlign w:val="bottom"/>
            <w:hideMark/>
          </w:tcPr>
          <w:p w:rsidR="00CA42F7" w:rsidRPr="0090467D" w:rsidRDefault="00CA42F7" w:rsidP="00A76557">
            <w:pPr>
              <w:ind w:left="175"/>
            </w:pPr>
            <w:proofErr w:type="spellStart"/>
            <w:r w:rsidRPr="0090467D">
              <w:t>paramethasone</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CA42F7" w:rsidRPr="0090467D" w:rsidRDefault="00CA42F7" w:rsidP="00A76557">
            <w:pPr>
              <w:ind w:left="-163"/>
              <w:jc w:val="center"/>
            </w:pPr>
            <w:r w:rsidRPr="0090467D">
              <w:t>1 460</w:t>
            </w:r>
          </w:p>
        </w:tc>
        <w:tc>
          <w:tcPr>
            <w:tcW w:w="2268" w:type="dxa"/>
            <w:tcBorders>
              <w:top w:val="single" w:sz="4" w:space="0" w:color="auto"/>
              <w:left w:val="single" w:sz="4" w:space="0" w:color="auto"/>
              <w:bottom w:val="single" w:sz="4" w:space="0" w:color="auto"/>
              <w:right w:val="single" w:sz="4" w:space="0" w:color="auto"/>
            </w:tcBorders>
            <w:hideMark/>
          </w:tcPr>
          <w:p w:rsidR="00CA42F7" w:rsidRPr="0090467D" w:rsidRDefault="00CA42F7" w:rsidP="00A76557">
            <w:pPr>
              <w:ind w:left="-2"/>
              <w:jc w:val="center"/>
            </w:pPr>
            <w:r w:rsidRPr="0090467D">
              <w:t>4</w:t>
            </w:r>
          </w:p>
        </w:tc>
      </w:tr>
      <w:tr w:rsidR="00CA42F7" w:rsidRPr="00B627FD" w:rsidTr="00A66BF8">
        <w:tc>
          <w:tcPr>
            <w:tcW w:w="2268" w:type="dxa"/>
            <w:tcBorders>
              <w:top w:val="single" w:sz="4" w:space="0" w:color="auto"/>
              <w:left w:val="single" w:sz="4" w:space="0" w:color="auto"/>
              <w:bottom w:val="single" w:sz="4" w:space="0" w:color="auto"/>
              <w:right w:val="single" w:sz="4" w:space="0" w:color="auto"/>
            </w:tcBorders>
            <w:vAlign w:val="bottom"/>
            <w:hideMark/>
          </w:tcPr>
          <w:p w:rsidR="00CA42F7" w:rsidRPr="0090467D" w:rsidRDefault="00CA42F7" w:rsidP="00A76557">
            <w:pPr>
              <w:ind w:left="175"/>
            </w:pPr>
            <w:r w:rsidRPr="0090467D">
              <w:t>prednisone</w:t>
            </w:r>
          </w:p>
        </w:tc>
        <w:tc>
          <w:tcPr>
            <w:tcW w:w="2268" w:type="dxa"/>
            <w:tcBorders>
              <w:top w:val="single" w:sz="4" w:space="0" w:color="auto"/>
              <w:left w:val="single" w:sz="4" w:space="0" w:color="auto"/>
              <w:bottom w:val="single" w:sz="4" w:space="0" w:color="auto"/>
              <w:right w:val="single" w:sz="4" w:space="0" w:color="auto"/>
            </w:tcBorders>
            <w:hideMark/>
          </w:tcPr>
          <w:p w:rsidR="00CA42F7" w:rsidRPr="0090467D" w:rsidRDefault="00CA42F7" w:rsidP="00A76557">
            <w:pPr>
              <w:ind w:left="-163"/>
              <w:jc w:val="center"/>
            </w:pPr>
            <w:r w:rsidRPr="0090467D">
              <w:t>3 650</w:t>
            </w:r>
          </w:p>
        </w:tc>
        <w:tc>
          <w:tcPr>
            <w:tcW w:w="2268" w:type="dxa"/>
            <w:tcBorders>
              <w:top w:val="single" w:sz="4" w:space="0" w:color="auto"/>
              <w:left w:val="single" w:sz="4" w:space="0" w:color="auto"/>
              <w:bottom w:val="single" w:sz="4" w:space="0" w:color="auto"/>
              <w:right w:val="single" w:sz="4" w:space="0" w:color="auto"/>
            </w:tcBorders>
            <w:hideMark/>
          </w:tcPr>
          <w:p w:rsidR="00CA42F7" w:rsidRPr="0090467D" w:rsidRDefault="00CA42F7" w:rsidP="00A76557">
            <w:pPr>
              <w:ind w:left="-2"/>
              <w:jc w:val="center"/>
            </w:pPr>
            <w:r w:rsidRPr="0090467D">
              <w:t>10</w:t>
            </w:r>
          </w:p>
        </w:tc>
      </w:tr>
      <w:tr w:rsidR="00CA42F7" w:rsidRPr="00B627FD" w:rsidTr="00A66BF8">
        <w:tc>
          <w:tcPr>
            <w:tcW w:w="2268" w:type="dxa"/>
            <w:tcBorders>
              <w:top w:val="single" w:sz="4" w:space="0" w:color="auto"/>
              <w:left w:val="single" w:sz="4" w:space="0" w:color="auto"/>
              <w:bottom w:val="single" w:sz="4" w:space="0" w:color="auto"/>
              <w:right w:val="single" w:sz="4" w:space="0" w:color="auto"/>
            </w:tcBorders>
            <w:vAlign w:val="bottom"/>
            <w:hideMark/>
          </w:tcPr>
          <w:p w:rsidR="00CA42F7" w:rsidRPr="0090467D" w:rsidRDefault="00CA42F7" w:rsidP="00A76557">
            <w:pPr>
              <w:ind w:left="175"/>
            </w:pPr>
            <w:r w:rsidRPr="0090467D">
              <w:t>triamcinolone</w:t>
            </w:r>
          </w:p>
        </w:tc>
        <w:tc>
          <w:tcPr>
            <w:tcW w:w="2268" w:type="dxa"/>
            <w:tcBorders>
              <w:top w:val="single" w:sz="4" w:space="0" w:color="auto"/>
              <w:left w:val="single" w:sz="4" w:space="0" w:color="auto"/>
              <w:bottom w:val="single" w:sz="4" w:space="0" w:color="auto"/>
              <w:right w:val="single" w:sz="4" w:space="0" w:color="auto"/>
            </w:tcBorders>
            <w:hideMark/>
          </w:tcPr>
          <w:p w:rsidR="00CA42F7" w:rsidRPr="0090467D" w:rsidRDefault="00CA42F7" w:rsidP="00A76557">
            <w:pPr>
              <w:ind w:left="-163"/>
              <w:jc w:val="center"/>
            </w:pPr>
            <w:r w:rsidRPr="0090467D">
              <w:t>2 920</w:t>
            </w:r>
          </w:p>
        </w:tc>
        <w:tc>
          <w:tcPr>
            <w:tcW w:w="2268" w:type="dxa"/>
            <w:tcBorders>
              <w:top w:val="single" w:sz="4" w:space="0" w:color="auto"/>
              <w:left w:val="single" w:sz="4" w:space="0" w:color="auto"/>
              <w:bottom w:val="single" w:sz="4" w:space="0" w:color="auto"/>
              <w:right w:val="single" w:sz="4" w:space="0" w:color="auto"/>
            </w:tcBorders>
            <w:hideMark/>
          </w:tcPr>
          <w:p w:rsidR="00CA42F7" w:rsidRPr="0090467D" w:rsidRDefault="00CA42F7" w:rsidP="00A76557">
            <w:pPr>
              <w:ind w:left="-2"/>
              <w:jc w:val="center"/>
            </w:pPr>
            <w:r w:rsidRPr="0090467D">
              <w:t>8</w:t>
            </w:r>
          </w:p>
        </w:tc>
      </w:tr>
    </w:tbl>
    <w:p w:rsidR="00CA42F7" w:rsidRDefault="00CA42F7" w:rsidP="00715ECD">
      <w:pPr>
        <w:pStyle w:val="SH3"/>
      </w:pPr>
      <w:r w:rsidRPr="00BA7A64">
        <w:tab/>
      </w:r>
      <w:r w:rsidRPr="001E3CCB">
        <w:rPr>
          <w:b/>
          <w:i/>
        </w:rPr>
        <w:t>glucocorticoid therapy as specified</w:t>
      </w:r>
      <w:r>
        <w:t xml:space="preserve"> means</w:t>
      </w:r>
      <w:r w:rsidR="002F44A6">
        <w:t>:</w:t>
      </w:r>
    </w:p>
    <w:p w:rsidR="00CA42F7" w:rsidRDefault="00A94926" w:rsidP="002F44A6">
      <w:pPr>
        <w:pStyle w:val="SH4"/>
        <w:ind w:left="1418"/>
      </w:pPr>
      <w:r>
        <w:t xml:space="preserve">taking </w:t>
      </w:r>
      <w:r w:rsidR="00CA42F7">
        <w:tab/>
        <w:t>prednisolone, orally or by injection</w:t>
      </w:r>
      <w:r w:rsidR="0090467D">
        <w:t>:</w:t>
      </w:r>
      <w:r w:rsidR="00CA42F7">
        <w:t xml:space="preserve"> </w:t>
      </w:r>
    </w:p>
    <w:p w:rsidR="00CA42F7" w:rsidRDefault="00CA42F7" w:rsidP="002F44A6">
      <w:pPr>
        <w:pStyle w:val="SH5"/>
        <w:numPr>
          <w:ilvl w:val="4"/>
          <w:numId w:val="27"/>
        </w:numPr>
        <w:ind w:left="1985"/>
      </w:pPr>
      <w:r>
        <w:t xml:space="preserve">to a cumulative dose of at least 3 650 milligrams; and </w:t>
      </w:r>
    </w:p>
    <w:p w:rsidR="00CA42F7" w:rsidRDefault="00CA42F7" w:rsidP="002F44A6">
      <w:pPr>
        <w:pStyle w:val="SH5"/>
        <w:numPr>
          <w:ilvl w:val="4"/>
          <w:numId w:val="27"/>
        </w:numPr>
        <w:ind w:left="1985"/>
      </w:pPr>
      <w:r>
        <w:t>at a minimum dose rate averaging 10 milligrams per day</w:t>
      </w:r>
      <w:r w:rsidR="002F44A6">
        <w:t>;</w:t>
      </w:r>
      <w:r>
        <w:t xml:space="preserve"> or </w:t>
      </w:r>
    </w:p>
    <w:p w:rsidR="00CA42F7" w:rsidRDefault="00A94926" w:rsidP="002F44A6">
      <w:pPr>
        <w:pStyle w:val="SH4"/>
        <w:ind w:left="1418"/>
      </w:pPr>
      <w:r>
        <w:t xml:space="preserve">taking </w:t>
      </w:r>
      <w:r w:rsidR="00CA42F7">
        <w:tab/>
        <w:t>equivalent glucocorticoid therapy, orally or by injection.</w:t>
      </w:r>
    </w:p>
    <w:p w:rsidR="00CA42F7" w:rsidRDefault="00CA42F7" w:rsidP="00CA42F7">
      <w:pPr>
        <w:pStyle w:val="ScheduleNote"/>
      </w:pPr>
      <w:r>
        <w:t xml:space="preserve">Note: </w:t>
      </w:r>
      <w:r w:rsidRPr="004D29CB">
        <w:tab/>
      </w:r>
      <w:r w:rsidRPr="00B5462C">
        <w:rPr>
          <w:b/>
          <w:i/>
        </w:rPr>
        <w:t>equivalent glucocorticoid therapy</w:t>
      </w:r>
      <w:r w:rsidRPr="00A01DAA">
        <w:t xml:space="preserve"> </w:t>
      </w:r>
      <w:r>
        <w:t xml:space="preserve">is also defined in the </w:t>
      </w:r>
      <w:r w:rsidRPr="00A01DAA">
        <w:t>Schedule</w:t>
      </w:r>
      <w:r>
        <w:t> </w:t>
      </w:r>
      <w:r w:rsidRPr="00A01DAA">
        <w:t>1</w:t>
      </w:r>
      <w:r>
        <w:t> – Dictionary.</w:t>
      </w:r>
    </w:p>
    <w:p w:rsidR="00B25B19" w:rsidRDefault="00B25B19" w:rsidP="00715ECD">
      <w:pPr>
        <w:pStyle w:val="SH3"/>
      </w:pPr>
      <w:r w:rsidRPr="00B25B19">
        <w:rPr>
          <w:b/>
          <w:i/>
        </w:rPr>
        <w:lastRenderedPageBreak/>
        <w:t>hyperbaric exposure as specified</w:t>
      </w:r>
      <w:r>
        <w:t xml:space="preserve"> means an increase in the ambient barometric pressure exerted by the envelope of air or water surrounding the person, occurring with: </w:t>
      </w:r>
    </w:p>
    <w:p w:rsidR="00B25B19" w:rsidRDefault="00B25B19" w:rsidP="00B25B19">
      <w:pPr>
        <w:pStyle w:val="SH4"/>
        <w:ind w:left="1418"/>
      </w:pPr>
      <w:r>
        <w:t xml:space="preserve">being in a pressurised tunnel or </w:t>
      </w:r>
      <w:r w:rsidR="00FD6C26">
        <w:t>chamber</w:t>
      </w:r>
      <w:r>
        <w:t xml:space="preserve"> for a continuous period of at least 30 minutes; or</w:t>
      </w:r>
      <w:r w:rsidR="004C3EED">
        <w:t xml:space="preserve"> </w:t>
      </w:r>
    </w:p>
    <w:p w:rsidR="00B25B19" w:rsidRDefault="00B25B19" w:rsidP="00B25B19">
      <w:pPr>
        <w:pStyle w:val="SH4"/>
        <w:ind w:left="1418"/>
      </w:pPr>
      <w:r>
        <w:t>being in a submerged craft or device, that is in a hyperbaric state, for a continuous period of at least 30 minutes; or</w:t>
      </w:r>
    </w:p>
    <w:p w:rsidR="00B25B19" w:rsidRDefault="00B25B19" w:rsidP="00B25B19">
      <w:pPr>
        <w:pStyle w:val="SH4"/>
        <w:ind w:left="1418"/>
      </w:pPr>
      <w:r>
        <w:t>breath-hold diving to a depth of at least five metres and for a duration of at least one minute, on at least ten occasions within a continuous six month period; or</w:t>
      </w:r>
    </w:p>
    <w:p w:rsidR="00B25B19" w:rsidRDefault="00B25B19" w:rsidP="00B25B19">
      <w:pPr>
        <w:pStyle w:val="SH4"/>
        <w:ind w:left="1418"/>
      </w:pPr>
      <w:r>
        <w:t xml:space="preserve">compression in a hyperbaric chamber; or </w:t>
      </w:r>
    </w:p>
    <w:p w:rsidR="00B25B19" w:rsidRPr="00B25B19" w:rsidRDefault="00B25B19" w:rsidP="00B25B19">
      <w:pPr>
        <w:pStyle w:val="SH4"/>
        <w:ind w:left="1418"/>
      </w:pPr>
      <w:r>
        <w:t>underwater diving with compressed air to a depth of at least 15 metres, for a continuous period of at least 30 minutes.</w:t>
      </w:r>
    </w:p>
    <w:p w:rsidR="00715ECD" w:rsidRDefault="00715ECD" w:rsidP="00715ECD">
      <w:pPr>
        <w:pStyle w:val="SH3"/>
      </w:pPr>
      <w:r w:rsidRPr="00715ECD">
        <w:rPr>
          <w:b/>
          <w:i/>
        </w:rPr>
        <w:t>hypercoagulable state as specified</w:t>
      </w:r>
      <w:r>
        <w:t xml:space="preserve"> means: </w:t>
      </w:r>
    </w:p>
    <w:p w:rsidR="00715ECD" w:rsidRDefault="00715ECD" w:rsidP="00715ECD">
      <w:pPr>
        <w:pStyle w:val="SH4"/>
        <w:ind w:left="1418"/>
      </w:pPr>
      <w:r>
        <w:t xml:space="preserve">acquired activated protein C resistance; </w:t>
      </w:r>
    </w:p>
    <w:p w:rsidR="00715ECD" w:rsidRDefault="00715ECD" w:rsidP="00715ECD">
      <w:pPr>
        <w:pStyle w:val="SH4"/>
        <w:ind w:left="1418"/>
      </w:pPr>
      <w:r>
        <w:t xml:space="preserve">acquired </w:t>
      </w:r>
      <w:proofErr w:type="spellStart"/>
      <w:r>
        <w:t>antithrombin</w:t>
      </w:r>
      <w:proofErr w:type="spellEnd"/>
      <w:r>
        <w:t xml:space="preserve"> III deficiency; </w:t>
      </w:r>
    </w:p>
    <w:p w:rsidR="00715ECD" w:rsidRDefault="00715ECD" w:rsidP="00715ECD">
      <w:pPr>
        <w:pStyle w:val="SH4"/>
        <w:ind w:left="1418"/>
      </w:pPr>
      <w:r>
        <w:t>acquired dysfibrinogenaemia;</w:t>
      </w:r>
    </w:p>
    <w:p w:rsidR="00715ECD" w:rsidRDefault="00715ECD" w:rsidP="00715ECD">
      <w:pPr>
        <w:pStyle w:val="SH4"/>
        <w:ind w:left="1418"/>
      </w:pPr>
      <w:r>
        <w:t xml:space="preserve">acquired protein C deficiency; </w:t>
      </w:r>
    </w:p>
    <w:p w:rsidR="00715ECD" w:rsidRDefault="00715ECD" w:rsidP="00715ECD">
      <w:pPr>
        <w:pStyle w:val="SH4"/>
        <w:ind w:left="1418"/>
      </w:pPr>
      <w:r>
        <w:t xml:space="preserve">acquired protein S deficiency; </w:t>
      </w:r>
    </w:p>
    <w:p w:rsidR="00715ECD" w:rsidRDefault="00715ECD" w:rsidP="00715ECD">
      <w:pPr>
        <w:pStyle w:val="SH4"/>
        <w:ind w:left="1418"/>
      </w:pPr>
      <w:r>
        <w:t>acquired thrombophilia;</w:t>
      </w:r>
    </w:p>
    <w:p w:rsidR="00715ECD" w:rsidRDefault="00715ECD" w:rsidP="00715ECD">
      <w:pPr>
        <w:pStyle w:val="SH4"/>
        <w:ind w:left="1418"/>
      </w:pPr>
      <w:r>
        <w:t xml:space="preserve">antiphospholipid antibody syndrome; </w:t>
      </w:r>
    </w:p>
    <w:p w:rsidR="00715ECD" w:rsidRDefault="00715ECD" w:rsidP="00715ECD">
      <w:pPr>
        <w:pStyle w:val="SH4"/>
        <w:ind w:left="1418"/>
      </w:pPr>
      <w:r>
        <w:t xml:space="preserve">disseminated intravascular coagulation; </w:t>
      </w:r>
    </w:p>
    <w:p w:rsidR="00715ECD" w:rsidRDefault="00715ECD" w:rsidP="00715ECD">
      <w:pPr>
        <w:pStyle w:val="SH4"/>
        <w:ind w:left="1418"/>
      </w:pPr>
      <w:r>
        <w:t>haemolytic uraemic syndrome;</w:t>
      </w:r>
    </w:p>
    <w:p w:rsidR="00715ECD" w:rsidRDefault="00715ECD" w:rsidP="00715ECD">
      <w:pPr>
        <w:pStyle w:val="SH4"/>
        <w:ind w:left="1418"/>
      </w:pPr>
      <w:r>
        <w:t xml:space="preserve">heparin-induced </w:t>
      </w:r>
      <w:proofErr w:type="spellStart"/>
      <w:r>
        <w:t>thrombocytopaenia</w:t>
      </w:r>
      <w:proofErr w:type="spellEnd"/>
      <w:r>
        <w:t xml:space="preserve">; </w:t>
      </w:r>
    </w:p>
    <w:p w:rsidR="00715ECD" w:rsidRDefault="00715ECD" w:rsidP="00715ECD">
      <w:pPr>
        <w:pStyle w:val="SH4"/>
        <w:ind w:left="1418"/>
      </w:pPr>
      <w:r>
        <w:t>hyperfibrinogenaemia;</w:t>
      </w:r>
    </w:p>
    <w:p w:rsidR="00715ECD" w:rsidRDefault="00715ECD" w:rsidP="00715ECD">
      <w:pPr>
        <w:pStyle w:val="SH4"/>
        <w:ind w:left="1418"/>
      </w:pPr>
      <w:r>
        <w:t xml:space="preserve">hyperproteinaemia; </w:t>
      </w:r>
    </w:p>
    <w:p w:rsidR="00715ECD" w:rsidRDefault="00715ECD" w:rsidP="00715ECD">
      <w:pPr>
        <w:pStyle w:val="SH4"/>
        <w:ind w:left="1418"/>
      </w:pPr>
      <w:proofErr w:type="spellStart"/>
      <w:r>
        <w:t>hyperviscosity</w:t>
      </w:r>
      <w:proofErr w:type="spellEnd"/>
      <w:r>
        <w:t xml:space="preserve"> syndrome;</w:t>
      </w:r>
    </w:p>
    <w:p w:rsidR="00715ECD" w:rsidRDefault="00715ECD" w:rsidP="00715ECD">
      <w:pPr>
        <w:pStyle w:val="SH4"/>
        <w:ind w:left="1418"/>
      </w:pPr>
      <w:r>
        <w:t xml:space="preserve">immune </w:t>
      </w:r>
      <w:proofErr w:type="spellStart"/>
      <w:r>
        <w:t>thrombocytopaenia</w:t>
      </w:r>
      <w:proofErr w:type="spellEnd"/>
      <w:r>
        <w:t>;</w:t>
      </w:r>
    </w:p>
    <w:p w:rsidR="00715ECD" w:rsidRDefault="00715ECD" w:rsidP="00715ECD">
      <w:pPr>
        <w:pStyle w:val="SH4"/>
        <w:ind w:left="1418"/>
      </w:pPr>
      <w:r>
        <w:t>nephrotic syndrome;</w:t>
      </w:r>
    </w:p>
    <w:p w:rsidR="00715ECD" w:rsidRDefault="00715ECD" w:rsidP="00715ECD">
      <w:pPr>
        <w:pStyle w:val="SH4"/>
        <w:ind w:left="1418"/>
      </w:pPr>
      <w:r>
        <w:t xml:space="preserve">paroxysmal nocturnal haemoglobinuria; </w:t>
      </w:r>
    </w:p>
    <w:p w:rsidR="00715ECD" w:rsidRDefault="00715ECD" w:rsidP="00715ECD">
      <w:pPr>
        <w:pStyle w:val="SH4"/>
        <w:ind w:left="1418"/>
      </w:pPr>
      <w:r>
        <w:t>thrombocytosis; or</w:t>
      </w:r>
    </w:p>
    <w:p w:rsidR="00715ECD" w:rsidRPr="00715ECD" w:rsidRDefault="00715ECD" w:rsidP="00715ECD">
      <w:pPr>
        <w:pStyle w:val="SH4"/>
        <w:ind w:left="1418"/>
      </w:pPr>
      <w:r>
        <w:t>venom-induced thrombosis.</w:t>
      </w:r>
    </w:p>
    <w:p w:rsidR="00885EAB" w:rsidRPr="009C404D" w:rsidRDefault="00885EAB" w:rsidP="00715ECD">
      <w:pPr>
        <w:pStyle w:val="SH3"/>
      </w:pPr>
      <w:r w:rsidRPr="001E3CCB">
        <w:rPr>
          <w:b/>
          <w:i/>
        </w:rPr>
        <w:t>MRCA</w:t>
      </w:r>
      <w:r w:rsidRPr="00B90B8D">
        <w:rPr>
          <w:b/>
        </w:rPr>
        <w:t xml:space="preserve"> </w:t>
      </w:r>
      <w:r w:rsidRPr="00973808">
        <w:t>me</w:t>
      </w:r>
      <w:r w:rsidRPr="00024911">
        <w:rPr>
          <w:rStyle w:val="SH3nospaceChar"/>
        </w:rPr>
        <w:t>a</w:t>
      </w:r>
      <w:r w:rsidRPr="00973808">
        <w:t>ns</w:t>
      </w:r>
      <w:r w:rsidRPr="009C404D">
        <w:t xml:space="preserve"> the </w:t>
      </w:r>
      <w:r w:rsidRPr="001E3CCB">
        <w:rPr>
          <w:i/>
        </w:rPr>
        <w:t>Military Rehabilitation and Compensation Act 2004</w:t>
      </w:r>
      <w:r w:rsidRPr="009C404D">
        <w:t>.</w:t>
      </w:r>
    </w:p>
    <w:p w:rsidR="00BB0B04" w:rsidRDefault="00BB0B04" w:rsidP="00715ECD">
      <w:pPr>
        <w:pStyle w:val="SH3"/>
      </w:pPr>
      <w:bookmarkStart w:id="37" w:name="_Ref402529607"/>
      <w:bookmarkEnd w:id="36"/>
      <w:r w:rsidRPr="00BB0B04">
        <w:rPr>
          <w:b/>
          <w:i/>
        </w:rPr>
        <w:t>osteoclast inhibitor</w:t>
      </w:r>
      <w:r w:rsidRPr="00BB0B04">
        <w:t xml:space="preserve"> means a drug that inhibits mineralisation or resorption of the bone by blocking the action of osteoclasts, and includes, but is not limited to, bisphosphonates and </w:t>
      </w:r>
      <w:proofErr w:type="spellStart"/>
      <w:r w:rsidRPr="00BB0B04">
        <w:t>denosumab</w:t>
      </w:r>
      <w:proofErr w:type="spellEnd"/>
      <w:r w:rsidRPr="00BB0B04">
        <w:t>.</w:t>
      </w:r>
    </w:p>
    <w:p w:rsidR="00BB0B04" w:rsidRPr="00BB0B04" w:rsidRDefault="00BB0B04" w:rsidP="00BB0B04">
      <w:pPr>
        <w:pStyle w:val="ScheduleNote"/>
        <w:ind w:left="1276" w:hanging="425"/>
      </w:pPr>
      <w:r w:rsidRPr="001713BF">
        <w:rPr>
          <w:lang w:val="en-US"/>
        </w:rPr>
        <w:t xml:space="preserve">Note: </w:t>
      </w:r>
      <w:r>
        <w:rPr>
          <w:lang w:val="en-US"/>
        </w:rPr>
        <w:t>A single injection of an o</w:t>
      </w:r>
      <w:r w:rsidRPr="001713BF">
        <w:rPr>
          <w:lang w:val="en-US"/>
        </w:rPr>
        <w:t xml:space="preserve">steoclast inhibitor </w:t>
      </w:r>
      <w:r>
        <w:rPr>
          <w:lang w:val="en-US"/>
        </w:rPr>
        <w:t>may be equivalent to a cumulative six month regimen of the drug.</w:t>
      </w:r>
    </w:p>
    <w:p w:rsidR="001A36FD" w:rsidRPr="00513D05" w:rsidRDefault="001A36FD" w:rsidP="00715ECD">
      <w:pPr>
        <w:pStyle w:val="SH3"/>
      </w:pPr>
      <w:r w:rsidRPr="00B0452A">
        <w:rPr>
          <w:b/>
          <w:i/>
        </w:rPr>
        <w:t>osteonecrosis</w:t>
      </w:r>
      <w:r w:rsidRPr="00513D05">
        <w:t>—see subsection</w:t>
      </w:r>
      <w:r>
        <w:t xml:space="preserve"> 6(2).</w:t>
      </w:r>
    </w:p>
    <w:p w:rsidR="001A36FD" w:rsidRPr="001A36FD" w:rsidRDefault="001A36FD" w:rsidP="00715ECD">
      <w:pPr>
        <w:pStyle w:val="SH3"/>
      </w:pPr>
      <w:r w:rsidRPr="001A36FD">
        <w:rPr>
          <w:b/>
          <w:i/>
        </w:rPr>
        <w:t>pack-years of cigarettes, or the equivalent thereof in other tobacco products</w:t>
      </w:r>
      <w:r w:rsidRPr="001A36FD">
        <w:t xml:space="preserve"> means a calculation of consumption where one pack-year of cigarettes equals twenty tailor-made cigarettes per day for a period of one calendar year, or 7</w:t>
      </w:r>
      <w:r>
        <w:t> </w:t>
      </w:r>
      <w:r w:rsidRPr="001A36FD">
        <w:t xml:space="preserve">300 cigarettes.  One tailor-made cigarette approximates one gram of tobacco or one gram of cigar or pipe tobacco by weight.  One pack-year of tailor-made cigarettes equates to 7.3 kilograms of smoking tobacco by </w:t>
      </w:r>
      <w:r w:rsidRPr="001A36FD">
        <w:lastRenderedPageBreak/>
        <w:t>weight.  Tobacco products mean cigarettes, pipe tobacco or cigars, smoked alone or in any combination.</w:t>
      </w:r>
    </w:p>
    <w:p w:rsidR="0090262E" w:rsidRPr="0090262E" w:rsidRDefault="0090262E" w:rsidP="00715ECD">
      <w:pPr>
        <w:pStyle w:val="SH3"/>
      </w:pPr>
      <w:r w:rsidRPr="001E3CCB">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r w:rsidRPr="0090262E">
        <w:t>non-warlike service under the MRCA.</w:t>
      </w:r>
    </w:p>
    <w:p w:rsidR="00117E4A" w:rsidRPr="00117E4A" w:rsidRDefault="00117E4A" w:rsidP="00627A0F">
      <w:pPr>
        <w:pStyle w:val="ScheduleNote"/>
      </w:pPr>
      <w:r w:rsidRPr="00117E4A">
        <w:t xml:space="preserve">Note: </w:t>
      </w:r>
      <w:r w:rsidRPr="00117E4A">
        <w:rPr>
          <w:b/>
          <w:i/>
        </w:rPr>
        <w:t>MRCA</w:t>
      </w:r>
      <w:r w:rsidRPr="00117E4A">
        <w:t xml:space="preserve"> and </w:t>
      </w:r>
      <w:r w:rsidRPr="00117E4A">
        <w:rPr>
          <w:b/>
          <w:i/>
        </w:rPr>
        <w:t>VEA</w:t>
      </w:r>
      <w:r w:rsidRPr="00117E4A">
        <w:t xml:space="preserve"> are also defined in the Schedule 1 - Dictionary.</w:t>
      </w:r>
    </w:p>
    <w:p w:rsidR="00B25B19" w:rsidRDefault="00B25B19" w:rsidP="00715ECD">
      <w:pPr>
        <w:pStyle w:val="SH3"/>
      </w:pPr>
      <w:r w:rsidRPr="001E3CCB">
        <w:rPr>
          <w:b/>
          <w:i/>
        </w:rPr>
        <w:t>specified list of autoimmune disorders</w:t>
      </w:r>
      <w:r>
        <w:t xml:space="preserve"> means:</w:t>
      </w:r>
    </w:p>
    <w:p w:rsidR="00B25B19" w:rsidRDefault="00B25B19" w:rsidP="00B25B19">
      <w:pPr>
        <w:pStyle w:val="SH4"/>
        <w:ind w:left="1418"/>
      </w:pPr>
      <w:r>
        <w:t>antiphospholipid syndrome;</w:t>
      </w:r>
    </w:p>
    <w:p w:rsidR="00B25B19" w:rsidRDefault="00B25B19" w:rsidP="00B25B19">
      <w:pPr>
        <w:pStyle w:val="SH4"/>
        <w:ind w:left="1418"/>
      </w:pPr>
      <w:proofErr w:type="spellStart"/>
      <w:r>
        <w:t>Behcet</w:t>
      </w:r>
      <w:proofErr w:type="spellEnd"/>
      <w:r>
        <w:t xml:space="preserve"> disease;</w:t>
      </w:r>
    </w:p>
    <w:p w:rsidR="00B25B19" w:rsidRDefault="00B25B19" w:rsidP="00B25B19">
      <w:pPr>
        <w:pStyle w:val="SH4"/>
        <w:ind w:left="1418"/>
      </w:pPr>
      <w:r>
        <w:t xml:space="preserve">eosinophilic granulomatosis with </w:t>
      </w:r>
      <w:proofErr w:type="spellStart"/>
      <w:r>
        <w:t>polyangiitis</w:t>
      </w:r>
      <w:proofErr w:type="spellEnd"/>
      <w:r>
        <w:t xml:space="preserve"> (</w:t>
      </w:r>
      <w:proofErr w:type="spellStart"/>
      <w:r>
        <w:t>Churg</w:t>
      </w:r>
      <w:proofErr w:type="spellEnd"/>
      <w:r>
        <w:t>-Strauss syndrome);</w:t>
      </w:r>
    </w:p>
    <w:p w:rsidR="00B25B19" w:rsidRDefault="00B25B19" w:rsidP="00B25B19">
      <w:pPr>
        <w:pStyle w:val="SH4"/>
        <w:ind w:left="1418"/>
      </w:pPr>
      <w:r>
        <w:t>giant cell arteritis;</w:t>
      </w:r>
    </w:p>
    <w:p w:rsidR="00B25B19" w:rsidRDefault="00B25B19" w:rsidP="00B25B19">
      <w:pPr>
        <w:pStyle w:val="SH4"/>
        <w:ind w:left="1418"/>
      </w:pPr>
      <w:r>
        <w:t xml:space="preserve">granulomatosis with </w:t>
      </w:r>
      <w:proofErr w:type="spellStart"/>
      <w:r>
        <w:t>polyangiitis</w:t>
      </w:r>
      <w:proofErr w:type="spellEnd"/>
      <w:r>
        <w:t xml:space="preserve"> (Wegener granulomatosis);</w:t>
      </w:r>
    </w:p>
    <w:p w:rsidR="00B25B19" w:rsidRDefault="00B25B19" w:rsidP="00B25B19">
      <w:pPr>
        <w:pStyle w:val="SH4"/>
        <w:ind w:left="1418"/>
      </w:pPr>
      <w:r>
        <w:t>Henoch-</w:t>
      </w:r>
      <w:proofErr w:type="spellStart"/>
      <w:r>
        <w:t>Schonlein</w:t>
      </w:r>
      <w:proofErr w:type="spellEnd"/>
      <w:r>
        <w:t xml:space="preserve"> purpura;</w:t>
      </w:r>
    </w:p>
    <w:p w:rsidR="00B25B19" w:rsidRDefault="00B25B19" w:rsidP="00B25B19">
      <w:pPr>
        <w:pStyle w:val="SH4"/>
        <w:ind w:left="1418"/>
      </w:pPr>
      <w:r>
        <w:t>inflammatory bowel disease;</w:t>
      </w:r>
    </w:p>
    <w:p w:rsidR="00B25B19" w:rsidRDefault="00B25B19" w:rsidP="00B25B19">
      <w:pPr>
        <w:pStyle w:val="SH4"/>
        <w:ind w:left="1418"/>
      </w:pPr>
      <w:r>
        <w:t xml:space="preserve">microscopic </w:t>
      </w:r>
      <w:proofErr w:type="spellStart"/>
      <w:r>
        <w:t>polyangiitis</w:t>
      </w:r>
      <w:proofErr w:type="spellEnd"/>
      <w:r>
        <w:t>;</w:t>
      </w:r>
    </w:p>
    <w:p w:rsidR="00B25B19" w:rsidRDefault="00B25B19" w:rsidP="00B25B19">
      <w:pPr>
        <w:pStyle w:val="SH4"/>
        <w:ind w:left="1418"/>
      </w:pPr>
      <w:proofErr w:type="spellStart"/>
      <w:r>
        <w:t>polyarteritis</w:t>
      </w:r>
      <w:proofErr w:type="spellEnd"/>
      <w:r>
        <w:t xml:space="preserve"> </w:t>
      </w:r>
      <w:proofErr w:type="spellStart"/>
      <w:r>
        <w:t>nodosa</w:t>
      </w:r>
      <w:proofErr w:type="spellEnd"/>
      <w:r>
        <w:t>;</w:t>
      </w:r>
    </w:p>
    <w:p w:rsidR="00B25B19" w:rsidRDefault="00B25B19" w:rsidP="00B25B19">
      <w:pPr>
        <w:pStyle w:val="SH4"/>
        <w:ind w:left="1418"/>
      </w:pPr>
      <w:r>
        <w:t xml:space="preserve">relapsing </w:t>
      </w:r>
      <w:proofErr w:type="spellStart"/>
      <w:r>
        <w:t>polychondritis</w:t>
      </w:r>
      <w:proofErr w:type="spellEnd"/>
      <w:r>
        <w:t xml:space="preserve">; </w:t>
      </w:r>
    </w:p>
    <w:p w:rsidR="00B25B19" w:rsidRDefault="00B25B19" w:rsidP="00B25B19">
      <w:pPr>
        <w:pStyle w:val="SH4"/>
        <w:ind w:left="1418"/>
      </w:pPr>
      <w:r>
        <w:t>rheumatoid arthritis;</w:t>
      </w:r>
    </w:p>
    <w:p w:rsidR="00B25B19" w:rsidRDefault="00B25B19" w:rsidP="00B25B19">
      <w:pPr>
        <w:pStyle w:val="SH4"/>
        <w:ind w:left="1418"/>
      </w:pPr>
      <w:r>
        <w:t>sarcoidosis;</w:t>
      </w:r>
    </w:p>
    <w:p w:rsidR="00B25B19" w:rsidRDefault="00B25B19" w:rsidP="00B25B19">
      <w:pPr>
        <w:pStyle w:val="SH4"/>
        <w:ind w:left="1418"/>
      </w:pPr>
      <w:proofErr w:type="spellStart"/>
      <w:r>
        <w:t>Sjogren</w:t>
      </w:r>
      <w:proofErr w:type="spellEnd"/>
      <w:r>
        <w:t xml:space="preserve"> syndrome;</w:t>
      </w:r>
    </w:p>
    <w:p w:rsidR="00B25B19" w:rsidRDefault="00B25B19" w:rsidP="00B25B19">
      <w:pPr>
        <w:pStyle w:val="SH4"/>
        <w:ind w:left="1418"/>
      </w:pPr>
      <w:r>
        <w:t xml:space="preserve">systemic lupus erythematosus; </w:t>
      </w:r>
    </w:p>
    <w:p w:rsidR="00B25B19" w:rsidRDefault="00B25B19" w:rsidP="00B25B19">
      <w:pPr>
        <w:pStyle w:val="SH4"/>
        <w:ind w:left="1418"/>
      </w:pPr>
      <w:r>
        <w:t>systemic sclerosis; or</w:t>
      </w:r>
    </w:p>
    <w:p w:rsidR="00B25B19" w:rsidRPr="00B25B19" w:rsidRDefault="00B25B19" w:rsidP="00B25B19">
      <w:pPr>
        <w:pStyle w:val="SH4"/>
        <w:ind w:left="1418"/>
      </w:pPr>
      <w:proofErr w:type="spellStart"/>
      <w:r>
        <w:t>Takayasu</w:t>
      </w:r>
      <w:proofErr w:type="spellEnd"/>
      <w:r>
        <w:t xml:space="preserve"> arteritis.</w:t>
      </w:r>
    </w:p>
    <w:p w:rsidR="001A36FD" w:rsidRDefault="001A36FD" w:rsidP="00715ECD">
      <w:pPr>
        <w:pStyle w:val="SH3"/>
      </w:pPr>
      <w:r w:rsidRPr="001E3CCB">
        <w:rPr>
          <w:b/>
          <w:i/>
        </w:rPr>
        <w:t>specified list of haematological diseases</w:t>
      </w:r>
      <w:r>
        <w:t xml:space="preserve"> means: </w:t>
      </w:r>
    </w:p>
    <w:p w:rsidR="00B25B19" w:rsidRDefault="00B25B19" w:rsidP="00B25B19">
      <w:pPr>
        <w:pStyle w:val="SH4"/>
        <w:ind w:left="1418"/>
      </w:pPr>
      <w:r>
        <w:t>haematological malignancy;</w:t>
      </w:r>
    </w:p>
    <w:p w:rsidR="001A36FD" w:rsidRDefault="001A36FD" w:rsidP="001A36FD">
      <w:pPr>
        <w:pStyle w:val="SH4"/>
        <w:ind w:left="1418"/>
      </w:pPr>
      <w:r>
        <w:t xml:space="preserve">haemolytic anaemia; </w:t>
      </w:r>
    </w:p>
    <w:p w:rsidR="001A36FD" w:rsidRDefault="001A36FD" w:rsidP="001A36FD">
      <w:pPr>
        <w:pStyle w:val="SH4"/>
        <w:ind w:left="1418"/>
      </w:pPr>
      <w:r>
        <w:t>haemophilia;</w:t>
      </w:r>
    </w:p>
    <w:p w:rsidR="001A36FD" w:rsidRDefault="001A36FD" w:rsidP="001A36FD">
      <w:pPr>
        <w:pStyle w:val="SH4"/>
        <w:ind w:left="1418"/>
      </w:pPr>
      <w:r>
        <w:t>lymphoproliferative disease;</w:t>
      </w:r>
    </w:p>
    <w:p w:rsidR="001A36FD" w:rsidRDefault="001A36FD" w:rsidP="001A36FD">
      <w:pPr>
        <w:pStyle w:val="SH4"/>
        <w:ind w:left="1418"/>
      </w:pPr>
      <w:r>
        <w:t>myeloproliferative disease;</w:t>
      </w:r>
    </w:p>
    <w:p w:rsidR="001A36FD" w:rsidRDefault="001A36FD" w:rsidP="001A36FD">
      <w:pPr>
        <w:pStyle w:val="SH4"/>
        <w:ind w:left="1418"/>
      </w:pPr>
      <w:r>
        <w:t>sickle-cell disease; or</w:t>
      </w:r>
    </w:p>
    <w:p w:rsidR="001A36FD" w:rsidRPr="001A36FD" w:rsidRDefault="001A36FD" w:rsidP="001A36FD">
      <w:pPr>
        <w:pStyle w:val="SH4"/>
        <w:ind w:left="1418"/>
      </w:pPr>
      <w:r>
        <w:t>thalassaemia.</w:t>
      </w:r>
    </w:p>
    <w:p w:rsidR="00885EAB" w:rsidRPr="009C404D" w:rsidRDefault="00054930" w:rsidP="00715ECD">
      <w:pPr>
        <w:pStyle w:val="SH3"/>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715ECD">
      <w:pPr>
        <w:pStyle w:val="SH3"/>
      </w:pPr>
      <w:r w:rsidRPr="001E3CCB">
        <w:rPr>
          <w:b/>
          <w:i/>
        </w:rPr>
        <w:t>VEA</w:t>
      </w:r>
      <w:r w:rsidRPr="0019084F">
        <w:t xml:space="preserve"> means the </w:t>
      </w:r>
      <w:r w:rsidRPr="001E3CCB">
        <w:rPr>
          <w:i/>
        </w:rPr>
        <w:t>Veterans</w:t>
      </w:r>
      <w:r w:rsidR="00415109" w:rsidRPr="001E3CCB">
        <w:rPr>
          <w:i/>
        </w:rPr>
        <w:t>'</w:t>
      </w:r>
      <w:r w:rsidRPr="001E3CCB">
        <w:rPr>
          <w:i/>
        </w:rPr>
        <w:t xml:space="preserve"> Entitlements Act 1986</w:t>
      </w:r>
      <w:r w:rsidRPr="0019084F">
        <w:t>.</w:t>
      </w:r>
    </w:p>
    <w:p w:rsidR="00CF2367" w:rsidRPr="00FA33FB" w:rsidRDefault="00CF2367" w:rsidP="00CF2367">
      <w:pPr>
        <w:sectPr w:rsidR="00CF2367" w:rsidRPr="00FA33FB" w:rsidSect="00FA33FB">
          <w:headerReference w:type="even" r:id="rId12"/>
          <w:headerReference w:type="default" r:id="rId13"/>
          <w:footerReference w:type="even" r:id="rId14"/>
          <w:headerReference w:type="first" r:id="rId15"/>
          <w:footerReference w:type="first" r:id="rId16"/>
          <w:pgSz w:w="11907" w:h="16839" w:code="9"/>
          <w:pgMar w:top="1440" w:right="1797" w:bottom="1440" w:left="1797" w:header="720" w:footer="709" w:gutter="0"/>
          <w:cols w:space="720"/>
          <w:docGrid w:linePitch="299"/>
        </w:sectPr>
      </w:pPr>
    </w:p>
    <w:p w:rsidR="00CF2367" w:rsidRPr="00FD775E" w:rsidRDefault="00CF2367" w:rsidP="00FD775E">
      <w:pPr>
        <w:tabs>
          <w:tab w:val="left" w:pos="7485"/>
        </w:tabs>
      </w:pPr>
    </w:p>
    <w:sectPr w:rsidR="00CF2367" w:rsidRPr="00FD775E"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16" w:rsidRPr="00E33C1C" w:rsidRDefault="000D6A16" w:rsidP="000D6A16">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0D6A16" w:rsidRPr="00C01863" w:rsidTr="00A94926">
      <w:tc>
        <w:tcPr>
          <w:tcW w:w="709" w:type="dxa"/>
          <w:tcBorders>
            <w:top w:val="nil"/>
            <w:left w:val="nil"/>
            <w:bottom w:val="nil"/>
            <w:right w:val="nil"/>
          </w:tcBorders>
          <w:shd w:val="clear" w:color="auto" w:fill="auto"/>
        </w:tcPr>
        <w:p w:rsidR="000D6A16" w:rsidRPr="00C01863" w:rsidRDefault="000D6A16" w:rsidP="000D6A16">
          <w:pPr>
            <w:spacing w:line="0" w:lineRule="atLeast"/>
            <w:rPr>
              <w:sz w:val="18"/>
            </w:rPr>
          </w:pPr>
        </w:p>
      </w:tc>
      <w:tc>
        <w:tcPr>
          <w:tcW w:w="7088" w:type="dxa"/>
          <w:tcBorders>
            <w:top w:val="nil"/>
            <w:left w:val="nil"/>
            <w:bottom w:val="nil"/>
            <w:right w:val="nil"/>
          </w:tcBorders>
          <w:shd w:val="clear" w:color="auto" w:fill="auto"/>
        </w:tcPr>
        <w:p w:rsidR="000D6A16" w:rsidRDefault="000D6A16" w:rsidP="000D6A16">
          <w:pPr>
            <w:spacing w:line="0" w:lineRule="atLeast"/>
            <w:jc w:val="center"/>
            <w:rPr>
              <w:i/>
              <w:sz w:val="18"/>
            </w:rPr>
          </w:pPr>
          <w:r w:rsidRPr="007C5CE0">
            <w:rPr>
              <w:i/>
              <w:sz w:val="18"/>
            </w:rPr>
            <w:t>Statement of Principles concerning</w:t>
          </w:r>
        </w:p>
        <w:p w:rsidR="000D6A16" w:rsidRDefault="00B0452A" w:rsidP="000D6A16">
          <w:pPr>
            <w:spacing w:line="0" w:lineRule="atLeast"/>
            <w:jc w:val="center"/>
            <w:rPr>
              <w:i/>
              <w:sz w:val="18"/>
              <w:szCs w:val="18"/>
            </w:rPr>
          </w:pPr>
          <w:r w:rsidRPr="00B0452A">
            <w:rPr>
              <w:i/>
              <w:sz w:val="18"/>
              <w:szCs w:val="18"/>
            </w:rPr>
            <w:t>Osteonecrosis</w:t>
          </w:r>
          <w:r w:rsidR="000D6A16">
            <w:rPr>
              <w:i/>
              <w:sz w:val="18"/>
              <w:szCs w:val="18"/>
            </w:rPr>
            <w:t xml:space="preserve"> (Reasonable Hypothesis) </w:t>
          </w:r>
          <w:r w:rsidR="000D6A16" w:rsidRPr="007C5CE0">
            <w:rPr>
              <w:i/>
              <w:sz w:val="18"/>
            </w:rPr>
            <w:t xml:space="preserve">(No. </w:t>
          </w:r>
          <w:r w:rsidR="00B55400" w:rsidRPr="00B55400">
            <w:rPr>
              <w:i/>
              <w:sz w:val="18"/>
              <w:szCs w:val="18"/>
            </w:rPr>
            <w:t>13</w:t>
          </w:r>
          <w:r w:rsidR="000D6A16" w:rsidRPr="007C5CE0">
            <w:rPr>
              <w:i/>
              <w:sz w:val="18"/>
              <w:szCs w:val="18"/>
            </w:rPr>
            <w:t xml:space="preserve"> of </w:t>
          </w:r>
          <w:r w:rsidRPr="00B0452A">
            <w:rPr>
              <w:i/>
              <w:sz w:val="18"/>
              <w:szCs w:val="18"/>
            </w:rPr>
            <w:t>2020</w:t>
          </w:r>
          <w:r w:rsidR="000D6A16" w:rsidRPr="007C5CE0">
            <w:rPr>
              <w:i/>
              <w:sz w:val="18"/>
              <w:szCs w:val="18"/>
            </w:rPr>
            <w:t>)</w:t>
          </w:r>
        </w:p>
        <w:p w:rsidR="000D6A16" w:rsidRPr="007C5CE0" w:rsidRDefault="000D6A16" w:rsidP="000D6A16">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0D6A16" w:rsidRPr="00C01863" w:rsidRDefault="000D6A16" w:rsidP="000D6A16">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516B46">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516B46">
            <w:rPr>
              <w:i/>
              <w:noProof/>
              <w:sz w:val="18"/>
            </w:rPr>
            <w:t>10</w:t>
          </w:r>
          <w:r>
            <w:rPr>
              <w:i/>
              <w:sz w:val="18"/>
            </w:rPr>
            <w:fldChar w:fldCharType="end"/>
          </w:r>
        </w:p>
      </w:tc>
    </w:tr>
  </w:tbl>
  <w:p w:rsidR="00F03C06" w:rsidRPr="000D6A16" w:rsidRDefault="00F03C06" w:rsidP="000D6A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16" w:rsidRPr="00E33C1C" w:rsidRDefault="000D6A16" w:rsidP="000D6A16">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0D6A16" w:rsidRPr="00C01863" w:rsidTr="00A94926">
      <w:tc>
        <w:tcPr>
          <w:tcW w:w="709" w:type="dxa"/>
          <w:tcBorders>
            <w:top w:val="nil"/>
            <w:left w:val="nil"/>
            <w:bottom w:val="nil"/>
            <w:right w:val="nil"/>
          </w:tcBorders>
          <w:shd w:val="clear" w:color="auto" w:fill="auto"/>
        </w:tcPr>
        <w:p w:rsidR="000D6A16" w:rsidRPr="00C01863" w:rsidRDefault="000D6A16" w:rsidP="000D6A16">
          <w:pPr>
            <w:spacing w:line="0" w:lineRule="atLeast"/>
            <w:rPr>
              <w:sz w:val="18"/>
            </w:rPr>
          </w:pPr>
        </w:p>
      </w:tc>
      <w:tc>
        <w:tcPr>
          <w:tcW w:w="7088" w:type="dxa"/>
          <w:tcBorders>
            <w:top w:val="nil"/>
            <w:left w:val="nil"/>
            <w:bottom w:val="nil"/>
            <w:right w:val="nil"/>
          </w:tcBorders>
          <w:shd w:val="clear" w:color="auto" w:fill="auto"/>
        </w:tcPr>
        <w:p w:rsidR="000D6A16" w:rsidRDefault="000D6A16" w:rsidP="000D6A16">
          <w:pPr>
            <w:spacing w:line="0" w:lineRule="atLeast"/>
            <w:jc w:val="center"/>
            <w:rPr>
              <w:i/>
              <w:sz w:val="18"/>
            </w:rPr>
          </w:pPr>
          <w:r w:rsidRPr="007C5CE0">
            <w:rPr>
              <w:i/>
              <w:sz w:val="18"/>
            </w:rPr>
            <w:t>Statement of Principles concerning</w:t>
          </w:r>
        </w:p>
        <w:p w:rsidR="000D6A16" w:rsidRDefault="00B0452A" w:rsidP="000D6A16">
          <w:pPr>
            <w:spacing w:line="0" w:lineRule="atLeast"/>
            <w:jc w:val="center"/>
            <w:rPr>
              <w:i/>
              <w:sz w:val="18"/>
              <w:szCs w:val="18"/>
            </w:rPr>
          </w:pPr>
          <w:r w:rsidRPr="00B0452A">
            <w:rPr>
              <w:i/>
              <w:sz w:val="18"/>
              <w:szCs w:val="18"/>
            </w:rPr>
            <w:t>Osteonecrosis</w:t>
          </w:r>
          <w:r w:rsidR="000D6A16">
            <w:rPr>
              <w:i/>
              <w:sz w:val="18"/>
              <w:szCs w:val="18"/>
            </w:rPr>
            <w:t xml:space="preserve"> (Reasonable Hypothesis) </w:t>
          </w:r>
          <w:r w:rsidR="000D6A16" w:rsidRPr="007C5CE0">
            <w:rPr>
              <w:i/>
              <w:sz w:val="18"/>
            </w:rPr>
            <w:t xml:space="preserve">(No. </w:t>
          </w:r>
          <w:r w:rsidR="00B55400" w:rsidRPr="00B55400">
            <w:rPr>
              <w:i/>
              <w:sz w:val="18"/>
              <w:szCs w:val="18"/>
            </w:rPr>
            <w:t>13</w:t>
          </w:r>
          <w:r w:rsidR="000D6A16" w:rsidRPr="007C5CE0">
            <w:rPr>
              <w:i/>
              <w:sz w:val="18"/>
              <w:szCs w:val="18"/>
            </w:rPr>
            <w:t xml:space="preserve"> of </w:t>
          </w:r>
          <w:r w:rsidRPr="00B0452A">
            <w:rPr>
              <w:i/>
              <w:sz w:val="18"/>
              <w:szCs w:val="18"/>
            </w:rPr>
            <w:t>2020</w:t>
          </w:r>
          <w:r w:rsidR="000D6A16" w:rsidRPr="007C5CE0">
            <w:rPr>
              <w:i/>
              <w:sz w:val="18"/>
              <w:szCs w:val="18"/>
            </w:rPr>
            <w:t>)</w:t>
          </w:r>
        </w:p>
        <w:p w:rsidR="000D6A16" w:rsidRPr="007C5CE0" w:rsidRDefault="000D6A16" w:rsidP="000D6A16">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0D6A16" w:rsidRPr="00C01863" w:rsidRDefault="000D6A16" w:rsidP="000D6A16">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516B46">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516B46">
            <w:rPr>
              <w:i/>
              <w:noProof/>
              <w:sz w:val="18"/>
            </w:rPr>
            <w:t>10</w:t>
          </w:r>
          <w:r>
            <w:rPr>
              <w:i/>
              <w:sz w:val="18"/>
            </w:rPr>
            <w:fldChar w:fldCharType="end"/>
          </w:r>
        </w:p>
      </w:tc>
    </w:tr>
  </w:tbl>
  <w:p w:rsidR="007F2378" w:rsidRPr="000D6A16" w:rsidRDefault="007F2378" w:rsidP="000D6A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416" w:rsidRPr="000D6A16" w:rsidRDefault="00997416" w:rsidP="000D6A1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211D00" w:rsidRDefault="00885EAB" w:rsidP="00211D0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D6A16" w:rsidRDefault="00885EAB" w:rsidP="000D6A1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D6A16" w:rsidRDefault="00885EAB" w:rsidP="000D6A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16" w:rsidRPr="00A163E4" w:rsidRDefault="000D6A16" w:rsidP="00A163E4">
    <w:pPr>
      <w:jc w:val="center"/>
      <w:rPr>
        <w:b/>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D6A16" w:rsidRDefault="00885EAB" w:rsidP="000D6A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16" w:rsidRDefault="000D6A16" w:rsidP="000D6A16">
    <w:pPr>
      <w:rPr>
        <w:sz w:val="20"/>
      </w:rPr>
    </w:pPr>
    <w:r>
      <w:rPr>
        <w:b/>
        <w:noProof/>
        <w:sz w:val="20"/>
      </w:rPr>
      <w:t>Schedule 1</w:t>
    </w:r>
    <w:r>
      <w:rPr>
        <w:sz w:val="20"/>
      </w:rPr>
      <w:t xml:space="preserve"> - </w:t>
    </w:r>
    <w:r>
      <w:rPr>
        <w:noProof/>
        <w:sz w:val="20"/>
      </w:rPr>
      <w:t>Dictionary</w:t>
    </w:r>
  </w:p>
  <w:p w:rsidR="00BC7D97" w:rsidRDefault="00BC7D97" w:rsidP="00BC7D97">
    <w:pPr>
      <w:pBdr>
        <w:bottom w:val="single" w:sz="6" w:space="1" w:color="auto"/>
      </w:pBdr>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D6A16" w:rsidRDefault="00885EAB" w:rsidP="000D6A1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D6A16" w:rsidRDefault="00885EAB" w:rsidP="000D6A1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BDA86DAC"/>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BA23EE7"/>
    <w:multiLevelType w:val="hybridMultilevel"/>
    <w:tmpl w:val="209ED762"/>
    <w:lvl w:ilvl="0" w:tplc="662074F4">
      <w:start w:val="1"/>
      <w:numFmt w:val="decimal"/>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3" w15:restartNumberingAfterBreak="0">
    <w:nsid w:val="2036645E"/>
    <w:multiLevelType w:val="multilevel"/>
    <w:tmpl w:val="AFA01010"/>
    <w:lvl w:ilvl="0">
      <w:start w:val="1"/>
      <w:numFmt w:val="decimal"/>
      <w:lvlText w:val="%1"/>
      <w:lvlJc w:val="left"/>
      <w:pPr>
        <w:ind w:left="907" w:hanging="567"/>
      </w:pPr>
      <w:rPr>
        <w:rFonts w:hint="default"/>
      </w:rPr>
    </w:lvl>
    <w:lvl w:ilvl="1">
      <w:start w:val="1"/>
      <w:numFmt w:val="none"/>
      <w:lvlText w:val=""/>
      <w:lvlJc w:val="left"/>
      <w:pPr>
        <w:ind w:left="0" w:firstLine="340"/>
      </w:pPr>
      <w:rPr>
        <w:rFonts w:hint="default"/>
        <w:b w:val="0"/>
        <w:i w:val="0"/>
      </w:rPr>
    </w:lvl>
    <w:lvl w:ilvl="2">
      <w:start w:val="1"/>
      <w:numFmt w:val="none"/>
      <w:lvlText w:val=""/>
      <w:lvlJc w:val="left"/>
      <w:pPr>
        <w:ind w:left="0" w:firstLine="907"/>
      </w:pPr>
      <w:rPr>
        <w:rFonts w:hint="default"/>
        <w:b w:val="0"/>
        <w:i w:val="0"/>
      </w:rPr>
    </w:lvl>
    <w:lvl w:ilvl="3">
      <w:start w:val="1"/>
      <w:numFmt w:val="lowerLetter"/>
      <w:lvlText w:val="(%4)"/>
      <w:lvlJc w:val="left"/>
      <w:pPr>
        <w:ind w:left="1474" w:hanging="567"/>
      </w:pPr>
      <w:rPr>
        <w:rFonts w:hint="default"/>
      </w:rPr>
    </w:lvl>
    <w:lvl w:ilvl="4">
      <w:start w:val="1"/>
      <w:numFmt w:val="upperLetter"/>
      <w:pStyle w:val="SH5"/>
      <w:lvlText w:val="%5."/>
      <w:lvlJc w:val="left"/>
      <w:pPr>
        <w:ind w:left="2041"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5" w15:restartNumberingAfterBreak="0">
    <w:nsid w:val="2EF93926"/>
    <w:multiLevelType w:val="multilevel"/>
    <w:tmpl w:val="46B4CDFC"/>
    <w:lvl w:ilvl="0">
      <w:start w:val="1"/>
      <w:numFmt w:val="decimal"/>
      <w:lvlText w:val="%1"/>
      <w:lvlJc w:val="left"/>
      <w:pPr>
        <w:ind w:left="907" w:hanging="567"/>
      </w:pPr>
      <w:rPr>
        <w:rFonts w:hint="default"/>
      </w:rPr>
    </w:lvl>
    <w:lvl w:ilvl="1">
      <w:start w:val="1"/>
      <w:numFmt w:val="none"/>
      <w:lvlText w:val=""/>
      <w:lvlJc w:val="left"/>
      <w:pPr>
        <w:ind w:left="0" w:firstLine="340"/>
      </w:pPr>
      <w:rPr>
        <w:rFonts w:hint="default"/>
        <w:b w:val="0"/>
        <w:i w:val="0"/>
      </w:rPr>
    </w:lvl>
    <w:lvl w:ilvl="2">
      <w:start w:val="1"/>
      <w:numFmt w:val="none"/>
      <w:lvlText w:val=""/>
      <w:lvlJc w:val="left"/>
      <w:pPr>
        <w:ind w:left="0" w:firstLine="907"/>
      </w:pPr>
      <w:rPr>
        <w:rFonts w:hint="default"/>
        <w:b w:val="0"/>
        <w:i w:val="0"/>
      </w:rPr>
    </w:lvl>
    <w:lvl w:ilvl="3">
      <w:start w:val="1"/>
      <w:numFmt w:val="lowerLetter"/>
      <w:lvlText w:val="(%4)"/>
      <w:lvlJc w:val="left"/>
      <w:pPr>
        <w:ind w:left="1474" w:hanging="567"/>
      </w:pPr>
      <w:rPr>
        <w:rFonts w:hint="default"/>
      </w:rPr>
    </w:lvl>
    <w:lvl w:ilvl="4">
      <w:start w:val="1"/>
      <w:numFmt w:val="lowerRoman"/>
      <w:lvlText w:val="(%5)"/>
      <w:lvlJc w:val="left"/>
      <w:pPr>
        <w:ind w:left="2041" w:hanging="56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6" w15:restartNumberingAfterBreak="0">
    <w:nsid w:val="31CF0228"/>
    <w:multiLevelType w:val="multilevel"/>
    <w:tmpl w:val="9760A98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7"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57B46F42"/>
    <w:multiLevelType w:val="hybridMultilevel"/>
    <w:tmpl w:val="B9801BD8"/>
    <w:lvl w:ilvl="0" w:tplc="714AAF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14"/>
  </w:num>
  <w:num w:numId="3">
    <w:abstractNumId w:val="11"/>
  </w:num>
  <w:num w:numId="4">
    <w:abstractNumId w:val="10"/>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2"/>
  </w:num>
  <w:num w:numId="26">
    <w:abstractNumId w:val="13"/>
  </w:num>
  <w:num w:numId="27">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proofState w:spelling="clean"/>
  <w:stylePaneSortMethod w:val="0000"/>
  <w:defaultTabStop w:val="0"/>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437C1"/>
    <w:rsid w:val="00046E67"/>
    <w:rsid w:val="00051634"/>
    <w:rsid w:val="00051B75"/>
    <w:rsid w:val="0005365D"/>
    <w:rsid w:val="00054930"/>
    <w:rsid w:val="000614BF"/>
    <w:rsid w:val="00061E3E"/>
    <w:rsid w:val="00081B7C"/>
    <w:rsid w:val="00085567"/>
    <w:rsid w:val="0008674F"/>
    <w:rsid w:val="00097FDF"/>
    <w:rsid w:val="000A3D68"/>
    <w:rsid w:val="000B1350"/>
    <w:rsid w:val="000B58FA"/>
    <w:rsid w:val="000C21A3"/>
    <w:rsid w:val="000C664A"/>
    <w:rsid w:val="000C6D96"/>
    <w:rsid w:val="000D05EF"/>
    <w:rsid w:val="000D4D03"/>
    <w:rsid w:val="000D6A16"/>
    <w:rsid w:val="000E2261"/>
    <w:rsid w:val="000E4183"/>
    <w:rsid w:val="000F21C1"/>
    <w:rsid w:val="000F76FA"/>
    <w:rsid w:val="00101F89"/>
    <w:rsid w:val="001058EA"/>
    <w:rsid w:val="0010745C"/>
    <w:rsid w:val="00117E4A"/>
    <w:rsid w:val="00121969"/>
    <w:rsid w:val="00132CEB"/>
    <w:rsid w:val="00137FE9"/>
    <w:rsid w:val="00142B62"/>
    <w:rsid w:val="0015201F"/>
    <w:rsid w:val="00157B8B"/>
    <w:rsid w:val="00161A8E"/>
    <w:rsid w:val="001648F7"/>
    <w:rsid w:val="00166C2F"/>
    <w:rsid w:val="00167E0C"/>
    <w:rsid w:val="001809D7"/>
    <w:rsid w:val="001833C8"/>
    <w:rsid w:val="00187DE1"/>
    <w:rsid w:val="0019084F"/>
    <w:rsid w:val="001939E1"/>
    <w:rsid w:val="00194C3E"/>
    <w:rsid w:val="00195382"/>
    <w:rsid w:val="001A36FD"/>
    <w:rsid w:val="001B0F26"/>
    <w:rsid w:val="001C2AD2"/>
    <w:rsid w:val="001C61C5"/>
    <w:rsid w:val="001C69C4"/>
    <w:rsid w:val="001C77EE"/>
    <w:rsid w:val="001D2262"/>
    <w:rsid w:val="001D37EF"/>
    <w:rsid w:val="001D407A"/>
    <w:rsid w:val="001D67F6"/>
    <w:rsid w:val="001E3590"/>
    <w:rsid w:val="001E3CCB"/>
    <w:rsid w:val="001E44BE"/>
    <w:rsid w:val="001E7407"/>
    <w:rsid w:val="001F5D5E"/>
    <w:rsid w:val="001F6219"/>
    <w:rsid w:val="001F6CD4"/>
    <w:rsid w:val="00206727"/>
    <w:rsid w:val="00206C4D"/>
    <w:rsid w:val="0021053C"/>
    <w:rsid w:val="00211D00"/>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E35CD"/>
    <w:rsid w:val="002E3F4B"/>
    <w:rsid w:val="002F44A6"/>
    <w:rsid w:val="002F5948"/>
    <w:rsid w:val="002F77A1"/>
    <w:rsid w:val="00301C54"/>
    <w:rsid w:val="00304166"/>
    <w:rsid w:val="00304F8B"/>
    <w:rsid w:val="003137C4"/>
    <w:rsid w:val="0033221D"/>
    <w:rsid w:val="003354D2"/>
    <w:rsid w:val="00335BC6"/>
    <w:rsid w:val="003415D3"/>
    <w:rsid w:val="00344701"/>
    <w:rsid w:val="00352B0F"/>
    <w:rsid w:val="00356690"/>
    <w:rsid w:val="00360459"/>
    <w:rsid w:val="00365E25"/>
    <w:rsid w:val="003734C6"/>
    <w:rsid w:val="00375BB3"/>
    <w:rsid w:val="003802D6"/>
    <w:rsid w:val="00385187"/>
    <w:rsid w:val="00385786"/>
    <w:rsid w:val="003A189F"/>
    <w:rsid w:val="003A2FFE"/>
    <w:rsid w:val="003A5C26"/>
    <w:rsid w:val="003B3E42"/>
    <w:rsid w:val="003C4C02"/>
    <w:rsid w:val="003C6231"/>
    <w:rsid w:val="003D0BFE"/>
    <w:rsid w:val="003D1A52"/>
    <w:rsid w:val="003D380A"/>
    <w:rsid w:val="003D3CFD"/>
    <w:rsid w:val="003D5700"/>
    <w:rsid w:val="003D6AEF"/>
    <w:rsid w:val="003E341B"/>
    <w:rsid w:val="003F39C0"/>
    <w:rsid w:val="003F4535"/>
    <w:rsid w:val="004116CD"/>
    <w:rsid w:val="0041386E"/>
    <w:rsid w:val="004144EC"/>
    <w:rsid w:val="00415109"/>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3EED"/>
    <w:rsid w:val="004C6AE8"/>
    <w:rsid w:val="004C6D55"/>
    <w:rsid w:val="004D10B3"/>
    <w:rsid w:val="004D10CF"/>
    <w:rsid w:val="004D4BCA"/>
    <w:rsid w:val="004E063A"/>
    <w:rsid w:val="004E1438"/>
    <w:rsid w:val="004E7BEC"/>
    <w:rsid w:val="004F23E0"/>
    <w:rsid w:val="00502C7D"/>
    <w:rsid w:val="00503A20"/>
    <w:rsid w:val="00505D3D"/>
    <w:rsid w:val="00506AF6"/>
    <w:rsid w:val="00513D05"/>
    <w:rsid w:val="00516768"/>
    <w:rsid w:val="00516B46"/>
    <w:rsid w:val="00516B8D"/>
    <w:rsid w:val="005226B5"/>
    <w:rsid w:val="005268CF"/>
    <w:rsid w:val="0053697E"/>
    <w:rsid w:val="00537FBC"/>
    <w:rsid w:val="00545116"/>
    <w:rsid w:val="005574D1"/>
    <w:rsid w:val="00571FBB"/>
    <w:rsid w:val="00575A90"/>
    <w:rsid w:val="00584811"/>
    <w:rsid w:val="00585784"/>
    <w:rsid w:val="00593AA6"/>
    <w:rsid w:val="00594161"/>
    <w:rsid w:val="00594749"/>
    <w:rsid w:val="005B05D3"/>
    <w:rsid w:val="005B4067"/>
    <w:rsid w:val="005C3F41"/>
    <w:rsid w:val="005C7B57"/>
    <w:rsid w:val="005D21F8"/>
    <w:rsid w:val="005D2D09"/>
    <w:rsid w:val="005E589B"/>
    <w:rsid w:val="005E7FC2"/>
    <w:rsid w:val="00600219"/>
    <w:rsid w:val="006013B7"/>
    <w:rsid w:val="00603D01"/>
    <w:rsid w:val="00603DC4"/>
    <w:rsid w:val="00615B89"/>
    <w:rsid w:val="00616FF5"/>
    <w:rsid w:val="00617C4E"/>
    <w:rsid w:val="00620076"/>
    <w:rsid w:val="00627A0F"/>
    <w:rsid w:val="006314DD"/>
    <w:rsid w:val="0066266D"/>
    <w:rsid w:val="006647B7"/>
    <w:rsid w:val="00667A4E"/>
    <w:rsid w:val="00670EA1"/>
    <w:rsid w:val="00677CC2"/>
    <w:rsid w:val="006840B0"/>
    <w:rsid w:val="00684C0E"/>
    <w:rsid w:val="006905DE"/>
    <w:rsid w:val="0069207B"/>
    <w:rsid w:val="0069220C"/>
    <w:rsid w:val="00695023"/>
    <w:rsid w:val="006A0651"/>
    <w:rsid w:val="006B5789"/>
    <w:rsid w:val="006C30C5"/>
    <w:rsid w:val="006C4E18"/>
    <w:rsid w:val="006C7F8C"/>
    <w:rsid w:val="006D6CB3"/>
    <w:rsid w:val="006E212F"/>
    <w:rsid w:val="006E6246"/>
    <w:rsid w:val="006F318F"/>
    <w:rsid w:val="006F4226"/>
    <w:rsid w:val="006F513D"/>
    <w:rsid w:val="0070017E"/>
    <w:rsid w:val="00700B2C"/>
    <w:rsid w:val="00702C42"/>
    <w:rsid w:val="00704703"/>
    <w:rsid w:val="007050A2"/>
    <w:rsid w:val="00705F40"/>
    <w:rsid w:val="00713084"/>
    <w:rsid w:val="007142FB"/>
    <w:rsid w:val="00714F20"/>
    <w:rsid w:val="0071590F"/>
    <w:rsid w:val="00715914"/>
    <w:rsid w:val="00715ECD"/>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1F4B"/>
    <w:rsid w:val="00774897"/>
    <w:rsid w:val="00774EDD"/>
    <w:rsid w:val="007757EC"/>
    <w:rsid w:val="0078129A"/>
    <w:rsid w:val="00782F4E"/>
    <w:rsid w:val="00783E89"/>
    <w:rsid w:val="007904DB"/>
    <w:rsid w:val="00793915"/>
    <w:rsid w:val="007A15B1"/>
    <w:rsid w:val="007A3989"/>
    <w:rsid w:val="007A7A7A"/>
    <w:rsid w:val="007B132E"/>
    <w:rsid w:val="007C112C"/>
    <w:rsid w:val="007C2253"/>
    <w:rsid w:val="007C5CE0"/>
    <w:rsid w:val="007C7DEE"/>
    <w:rsid w:val="007D3BA2"/>
    <w:rsid w:val="007E163D"/>
    <w:rsid w:val="007E667A"/>
    <w:rsid w:val="007F2378"/>
    <w:rsid w:val="007F28C9"/>
    <w:rsid w:val="00803587"/>
    <w:rsid w:val="00806368"/>
    <w:rsid w:val="008109F7"/>
    <w:rsid w:val="008117E9"/>
    <w:rsid w:val="00824498"/>
    <w:rsid w:val="008321ED"/>
    <w:rsid w:val="00832C32"/>
    <w:rsid w:val="00832FEA"/>
    <w:rsid w:val="00842EA3"/>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67D"/>
    <w:rsid w:val="00904761"/>
    <w:rsid w:val="009056AF"/>
    <w:rsid w:val="00912B55"/>
    <w:rsid w:val="00915DF9"/>
    <w:rsid w:val="009254C3"/>
    <w:rsid w:val="00925CA9"/>
    <w:rsid w:val="00926275"/>
    <w:rsid w:val="00932377"/>
    <w:rsid w:val="00941893"/>
    <w:rsid w:val="00947D5A"/>
    <w:rsid w:val="009532A5"/>
    <w:rsid w:val="00956922"/>
    <w:rsid w:val="009612CF"/>
    <w:rsid w:val="009724F4"/>
    <w:rsid w:val="00973808"/>
    <w:rsid w:val="00982242"/>
    <w:rsid w:val="00984EE9"/>
    <w:rsid w:val="009868E9"/>
    <w:rsid w:val="00997416"/>
    <w:rsid w:val="009B2E7C"/>
    <w:rsid w:val="009B5A4E"/>
    <w:rsid w:val="009C2B65"/>
    <w:rsid w:val="009C404D"/>
    <w:rsid w:val="009D6BB0"/>
    <w:rsid w:val="009E5CFC"/>
    <w:rsid w:val="009E6E30"/>
    <w:rsid w:val="00A06E7A"/>
    <w:rsid w:val="00A079CB"/>
    <w:rsid w:val="00A11C0D"/>
    <w:rsid w:val="00A12128"/>
    <w:rsid w:val="00A137F8"/>
    <w:rsid w:val="00A163E4"/>
    <w:rsid w:val="00A20CA1"/>
    <w:rsid w:val="00A20FDB"/>
    <w:rsid w:val="00A2292E"/>
    <w:rsid w:val="00A22C98"/>
    <w:rsid w:val="00A231E2"/>
    <w:rsid w:val="00A515BC"/>
    <w:rsid w:val="00A56C3D"/>
    <w:rsid w:val="00A6070D"/>
    <w:rsid w:val="00A64912"/>
    <w:rsid w:val="00A64BA1"/>
    <w:rsid w:val="00A66BF8"/>
    <w:rsid w:val="00A70A74"/>
    <w:rsid w:val="00A82F7A"/>
    <w:rsid w:val="00A931D7"/>
    <w:rsid w:val="00A94926"/>
    <w:rsid w:val="00AA64D6"/>
    <w:rsid w:val="00AA6D8B"/>
    <w:rsid w:val="00AC77BF"/>
    <w:rsid w:val="00AD2DC7"/>
    <w:rsid w:val="00AD5641"/>
    <w:rsid w:val="00AD7889"/>
    <w:rsid w:val="00AD7AC2"/>
    <w:rsid w:val="00AD7DCC"/>
    <w:rsid w:val="00AE67D2"/>
    <w:rsid w:val="00AF021B"/>
    <w:rsid w:val="00AF06CF"/>
    <w:rsid w:val="00B0452A"/>
    <w:rsid w:val="00B05CF4"/>
    <w:rsid w:val="00B07CDB"/>
    <w:rsid w:val="00B166C8"/>
    <w:rsid w:val="00B16A31"/>
    <w:rsid w:val="00B177FE"/>
    <w:rsid w:val="00B17DFD"/>
    <w:rsid w:val="00B24368"/>
    <w:rsid w:val="00B25B19"/>
    <w:rsid w:val="00B308FE"/>
    <w:rsid w:val="00B33709"/>
    <w:rsid w:val="00B33B3C"/>
    <w:rsid w:val="00B50826"/>
    <w:rsid w:val="00B50ADC"/>
    <w:rsid w:val="00B527C0"/>
    <w:rsid w:val="00B55400"/>
    <w:rsid w:val="00B566B1"/>
    <w:rsid w:val="00B63834"/>
    <w:rsid w:val="00B664A3"/>
    <w:rsid w:val="00B72734"/>
    <w:rsid w:val="00B72A5E"/>
    <w:rsid w:val="00B80199"/>
    <w:rsid w:val="00B83204"/>
    <w:rsid w:val="00B833B0"/>
    <w:rsid w:val="00B846A0"/>
    <w:rsid w:val="00B90372"/>
    <w:rsid w:val="00B90B8D"/>
    <w:rsid w:val="00B92A80"/>
    <w:rsid w:val="00B933A7"/>
    <w:rsid w:val="00B9472F"/>
    <w:rsid w:val="00BA220B"/>
    <w:rsid w:val="00BA3A57"/>
    <w:rsid w:val="00BA691F"/>
    <w:rsid w:val="00BB0B04"/>
    <w:rsid w:val="00BB2792"/>
    <w:rsid w:val="00BB4E1A"/>
    <w:rsid w:val="00BB78C9"/>
    <w:rsid w:val="00BC015E"/>
    <w:rsid w:val="00BC76AC"/>
    <w:rsid w:val="00BC7D97"/>
    <w:rsid w:val="00BD0ECB"/>
    <w:rsid w:val="00BD3334"/>
    <w:rsid w:val="00BD5C93"/>
    <w:rsid w:val="00BE2155"/>
    <w:rsid w:val="00BE2213"/>
    <w:rsid w:val="00BE6EDA"/>
    <w:rsid w:val="00BE719A"/>
    <w:rsid w:val="00BE720A"/>
    <w:rsid w:val="00BF0D73"/>
    <w:rsid w:val="00BF2465"/>
    <w:rsid w:val="00BF2690"/>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42F7"/>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2B43"/>
    <w:rsid w:val="00DD31AB"/>
    <w:rsid w:val="00DE59B7"/>
    <w:rsid w:val="00DF24DC"/>
    <w:rsid w:val="00DF5291"/>
    <w:rsid w:val="00DF6D11"/>
    <w:rsid w:val="00E05704"/>
    <w:rsid w:val="00E11E44"/>
    <w:rsid w:val="00E31B8A"/>
    <w:rsid w:val="00E3270E"/>
    <w:rsid w:val="00E338EF"/>
    <w:rsid w:val="00E35C4E"/>
    <w:rsid w:val="00E544BB"/>
    <w:rsid w:val="00E55F66"/>
    <w:rsid w:val="00E64EE4"/>
    <w:rsid w:val="00E662CB"/>
    <w:rsid w:val="00E74DC7"/>
    <w:rsid w:val="00E8075A"/>
    <w:rsid w:val="00E90315"/>
    <w:rsid w:val="00E92D94"/>
    <w:rsid w:val="00E9347E"/>
    <w:rsid w:val="00E93E6F"/>
    <w:rsid w:val="00E946B5"/>
    <w:rsid w:val="00E94D5E"/>
    <w:rsid w:val="00EA7100"/>
    <w:rsid w:val="00EA7F9F"/>
    <w:rsid w:val="00EB1274"/>
    <w:rsid w:val="00EB2BC4"/>
    <w:rsid w:val="00EC7405"/>
    <w:rsid w:val="00ED2BB6"/>
    <w:rsid w:val="00ED34E1"/>
    <w:rsid w:val="00ED3B8D"/>
    <w:rsid w:val="00ED46FF"/>
    <w:rsid w:val="00ED4913"/>
    <w:rsid w:val="00EE0722"/>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A4F93"/>
    <w:rsid w:val="00FB3EF0"/>
    <w:rsid w:val="00FB533A"/>
    <w:rsid w:val="00FD0486"/>
    <w:rsid w:val="00FD07DF"/>
    <w:rsid w:val="00FD6C26"/>
    <w:rsid w:val="00FD775E"/>
    <w:rsid w:val="00FD7D45"/>
    <w:rsid w:val="00FE3A26"/>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4D10B3"/>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AC77B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basedOn w:val="ListParagraph"/>
    <w:autoRedefine/>
    <w:qFormat/>
    <w:rsid w:val="009E6E30"/>
    <w:pPr>
      <w:numPr>
        <w:numId w:val="4"/>
      </w:numPr>
      <w:spacing w:before="200" w:line="280" w:lineRule="atLeast"/>
      <w:contextualSpacing w:val="0"/>
      <w:outlineLvl w:val="1"/>
    </w:pPr>
    <w:rPr>
      <w:b/>
      <w:sz w:val="24"/>
      <w:szCs w:val="24"/>
    </w:rPr>
  </w:style>
  <w:style w:type="paragraph" w:customStyle="1" w:styleId="LV2">
    <w:name w:val="LV 2"/>
    <w:basedOn w:val="PlainIndent"/>
    <w:autoRedefine/>
    <w:qFormat/>
    <w:rsid w:val="009E6E30"/>
    <w:pPr>
      <w:numPr>
        <w:ilvl w:val="1"/>
        <w:numId w:val="4"/>
      </w:numPr>
      <w:ind w:left="1418"/>
    </w:pPr>
  </w:style>
  <w:style w:type="paragraph" w:customStyle="1" w:styleId="LV3">
    <w:name w:val="LV 3"/>
    <w:basedOn w:val="PlainIndent"/>
    <w:autoRedefine/>
    <w:qFormat/>
    <w:rsid w:val="00AC77BF"/>
    <w:pPr>
      <w:numPr>
        <w:ilvl w:val="2"/>
        <w:numId w:val="4"/>
      </w:numPr>
      <w:contextualSpacing/>
    </w:pPr>
  </w:style>
  <w:style w:type="paragraph" w:customStyle="1" w:styleId="LV4">
    <w:name w:val="LV 4"/>
    <w:basedOn w:val="PlainIndent"/>
    <w:autoRedefine/>
    <w:qFormat/>
    <w:rsid w:val="00FB533A"/>
    <w:pPr>
      <w:numPr>
        <w:ilvl w:val="3"/>
        <w:numId w:val="4"/>
      </w:numPr>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B55400"/>
    <w:pPr>
      <w:numPr>
        <w:ilvl w:val="1"/>
        <w:numId w:val="5"/>
      </w:numPr>
      <w:ind w:left="284" w:firstLine="0"/>
    </w:pPr>
  </w:style>
  <w:style w:type="paragraph" w:customStyle="1" w:styleId="SH3">
    <w:name w:val="SH 3"/>
    <w:link w:val="SH3Char"/>
    <w:autoRedefine/>
    <w:qFormat/>
    <w:rsid w:val="00715ECD"/>
    <w:pPr>
      <w:numPr>
        <w:ilvl w:val="2"/>
        <w:numId w:val="5"/>
      </w:numPr>
      <w:spacing w:before="100"/>
      <w:ind w:left="851" w:hanging="851"/>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2F44A6"/>
    <w:pPr>
      <w:numPr>
        <w:ilvl w:val="4"/>
        <w:numId w:val="26"/>
      </w:numPr>
      <w:tabs>
        <w:tab w:val="right" w:pos="709"/>
      </w:tabs>
      <w:spacing w:before="40"/>
      <w:ind w:left="2552"/>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715ECD"/>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styleId="ListParagraph">
    <w:name w:val="List Paragraph"/>
    <w:basedOn w:val="Normal"/>
    <w:uiPriority w:val="2"/>
    <w:qFormat/>
    <w:rsid w:val="00AC77BF"/>
    <w:pPr>
      <w:ind w:left="720"/>
      <w:contextualSpacing/>
    </w:pPr>
  </w:style>
  <w:style w:type="paragraph" w:customStyle="1" w:styleId="Note1">
    <w:name w:val="Note 1"/>
    <w:basedOn w:val="NOTE"/>
    <w:link w:val="Note1Char"/>
    <w:uiPriority w:val="2"/>
    <w:qFormat/>
    <w:rsid w:val="00BF2690"/>
    <w:pPr>
      <w:ind w:left="1985" w:firstLine="0"/>
    </w:pPr>
  </w:style>
  <w:style w:type="paragraph" w:customStyle="1" w:styleId="Note2">
    <w:name w:val="Note 2"/>
    <w:basedOn w:val="NOTE"/>
    <w:link w:val="Note2Char"/>
    <w:uiPriority w:val="2"/>
    <w:qFormat/>
    <w:rsid w:val="00BF2690"/>
    <w:pPr>
      <w:ind w:hanging="510"/>
    </w:pPr>
  </w:style>
  <w:style w:type="character" w:customStyle="1" w:styleId="Note1Char">
    <w:name w:val="Note 1 Char"/>
    <w:basedOn w:val="DefaultParagraphFont"/>
    <w:link w:val="Note1"/>
    <w:uiPriority w:val="2"/>
    <w:rsid w:val="00BF2690"/>
    <w:rPr>
      <w:rFonts w:eastAsia="Times New Roman"/>
      <w:sz w:val="18"/>
    </w:rPr>
  </w:style>
  <w:style w:type="character" w:customStyle="1" w:styleId="Note2Char">
    <w:name w:val="Note 2 Char"/>
    <w:basedOn w:val="DefaultParagraphFont"/>
    <w:link w:val="Note2"/>
    <w:uiPriority w:val="2"/>
    <w:rsid w:val="00BF2690"/>
    <w:rPr>
      <w:rFonts w:eastAsia="Times New Roman"/>
      <w:sz w:val="18"/>
    </w:rPr>
  </w:style>
  <w:style w:type="paragraph" w:customStyle="1" w:styleId="ScheduleNote">
    <w:name w:val="Schedule Note"/>
    <w:basedOn w:val="NOTE"/>
    <w:link w:val="ScheduleNoteChar"/>
    <w:uiPriority w:val="2"/>
    <w:qFormat/>
    <w:rsid w:val="00627A0F"/>
    <w:pPr>
      <w:ind w:left="851" w:firstLine="0"/>
    </w:pPr>
  </w:style>
  <w:style w:type="character" w:customStyle="1" w:styleId="ScheduleNoteChar">
    <w:name w:val="Schedule Note Char"/>
    <w:basedOn w:val="DefaultParagraphFont"/>
    <w:link w:val="ScheduleNote"/>
    <w:uiPriority w:val="2"/>
    <w:rsid w:val="00627A0F"/>
    <w:rPr>
      <w:rFonts w:eastAsia="Times New Roman"/>
      <w:sz w:val="18"/>
    </w:rPr>
  </w:style>
  <w:style w:type="paragraph" w:customStyle="1" w:styleId="Note3">
    <w:name w:val="Note 3"/>
    <w:basedOn w:val="NOTE"/>
    <w:link w:val="Note3Char"/>
    <w:uiPriority w:val="2"/>
    <w:qFormat/>
    <w:rsid w:val="00627A0F"/>
    <w:pPr>
      <w:ind w:left="2977" w:hanging="425"/>
    </w:pPr>
  </w:style>
  <w:style w:type="character" w:customStyle="1" w:styleId="Note3Char">
    <w:name w:val="Note 3 Char"/>
    <w:basedOn w:val="DefaultParagraphFont"/>
    <w:link w:val="Note3"/>
    <w:uiPriority w:val="2"/>
    <w:rsid w:val="00627A0F"/>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599099982">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2279</Words>
  <Characters>12991</Characters>
  <Application>Microsoft Office Word</Application>
  <DocSecurity>0</DocSecurity>
  <PresentationFormat/>
  <Lines>108</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2019-12-18T01:14:00Z</dcterms:created>
  <dcterms:modified xsi:type="dcterms:W3CDTF">2020-02-25T01:54:00Z</dcterms:modified>
  <cp:category/>
  <cp:contentStatus/>
  <dc:language/>
  <cp:version/>
</cp:coreProperties>
</file>