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35B26" w:rsidP="006647B7">
      <w:pPr>
        <w:pStyle w:val="Plainheader"/>
      </w:pPr>
      <w:bookmarkStart w:id="0" w:name="SoP_Name_Title"/>
      <w:proofErr w:type="gramStart"/>
      <w:r>
        <w:t>CHLORACNE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A429B">
        <w:t>62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35B26">
        <w:t>2020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0A429B">
        <w:rPr>
          <w:b w:val="0"/>
        </w:rPr>
        <w:t>28 August 2020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4E422D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6ACD1EA1" wp14:editId="5A1CEF50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FB438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FB4387">
        <w:rPr>
          <w:noProof/>
        </w:rPr>
        <w:t>1</w:t>
      </w:r>
      <w:r w:rsidR="00FB438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B4387">
        <w:rPr>
          <w:noProof/>
        </w:rPr>
        <w:t>Name</w:t>
      </w:r>
      <w:r w:rsidR="00FB4387">
        <w:rPr>
          <w:noProof/>
        </w:rPr>
        <w:tab/>
      </w:r>
      <w:r w:rsidR="00FB4387">
        <w:rPr>
          <w:noProof/>
        </w:rPr>
        <w:fldChar w:fldCharType="begin"/>
      </w:r>
      <w:r w:rsidR="00FB4387">
        <w:rPr>
          <w:noProof/>
        </w:rPr>
        <w:instrText xml:space="preserve"> PAGEREF _Toc49348918 \h </w:instrText>
      </w:r>
      <w:r w:rsidR="00FB4387">
        <w:rPr>
          <w:noProof/>
        </w:rPr>
      </w:r>
      <w:r w:rsidR="00FB4387">
        <w:rPr>
          <w:noProof/>
        </w:rPr>
        <w:fldChar w:fldCharType="separate"/>
      </w:r>
      <w:r w:rsidR="00FB4387">
        <w:rPr>
          <w:noProof/>
        </w:rPr>
        <w:t>3</w:t>
      </w:r>
      <w:r w:rsidR="00FB4387"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B4387" w:rsidRDefault="00FB43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B4387" w:rsidRDefault="00FB438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_Toc49348930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49348918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proofErr w:type="spellStart"/>
      <w:r w:rsidR="00335B26">
        <w:rPr>
          <w:i/>
        </w:rPr>
        <w:t>chloracne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A429B">
        <w:t>62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722F3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49348919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A429B">
        <w:t>28 September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49348920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49348921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proofErr w:type="spellStart"/>
      <w:r w:rsidR="000722F3" w:rsidRPr="000722F3">
        <w:t>chloracne</w:t>
      </w:r>
      <w:proofErr w:type="spellEnd"/>
      <w:r w:rsidRPr="00DA3996">
        <w:t xml:space="preserve"> No. </w:t>
      </w:r>
      <w:r w:rsidR="00335B26">
        <w:t>17</w:t>
      </w:r>
      <w:r w:rsidRPr="00DA3996">
        <w:t xml:space="preserve"> of </w:t>
      </w:r>
      <w:r w:rsidR="00335B26">
        <w:t>2012</w:t>
      </w:r>
      <w:r w:rsidR="005962C4">
        <w:t xml:space="preserve"> </w:t>
      </w:r>
      <w:r w:rsidR="005962C4" w:rsidRPr="00786DAE">
        <w:t xml:space="preserve">(Federal Register of </w:t>
      </w:r>
      <w:r w:rsidR="005962C4" w:rsidRPr="00335B26">
        <w:t xml:space="preserve">Legislation No. </w:t>
      </w:r>
      <w:r w:rsidR="00335B26" w:rsidRPr="00335B26">
        <w:t>F2012L00447</w:t>
      </w:r>
      <w:r w:rsidR="005962C4" w:rsidRPr="00335B26">
        <w:t>) made under</w:t>
      </w:r>
      <w:r w:rsidR="005962C4" w:rsidRPr="00DA3996">
        <w:t xml:space="preserve">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49348922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49348923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934892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proofErr w:type="spellStart"/>
      <w:r w:rsidR="000722F3" w:rsidRPr="000722F3">
        <w:t>chloracne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proofErr w:type="spellStart"/>
      <w:r w:rsidR="000722F3" w:rsidRPr="000722F3">
        <w:t>chloracne</w:t>
      </w:r>
      <w:proofErr w:type="spellEnd"/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proofErr w:type="spellStart"/>
      <w:r w:rsidR="000722F3" w:rsidRPr="000722F3">
        <w:rPr>
          <w:b/>
        </w:rPr>
        <w:t>chloracne</w:t>
      </w:r>
      <w:proofErr w:type="spellEnd"/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proofErr w:type="spellStart"/>
      <w:r w:rsidR="000722F3" w:rsidRPr="000722F3">
        <w:t>chloracne</w:t>
      </w:r>
      <w:proofErr w:type="spellEnd"/>
      <w:r w:rsidR="002716E4" w:rsidRPr="00237BAF">
        <w:t>:</w:t>
      </w:r>
      <w:bookmarkEnd w:id="19"/>
    </w:p>
    <w:bookmarkEnd w:id="20"/>
    <w:p w:rsidR="00335B26" w:rsidRDefault="00335B26" w:rsidP="00335B26">
      <w:pPr>
        <w:pStyle w:val="LV3"/>
      </w:pPr>
      <w:r>
        <w:t xml:space="preserve">means a chronic skin disease, characterised by an acne-like eruption of open and closed </w:t>
      </w:r>
      <w:proofErr w:type="spellStart"/>
      <w:r>
        <w:t>comedones</w:t>
      </w:r>
      <w:proofErr w:type="spellEnd"/>
      <w:r>
        <w:t xml:space="preserve"> (whiteheads and blackheads), pustules and epidermal cysts, occurring after the systemic absorption of certain </w:t>
      </w:r>
      <w:proofErr w:type="spellStart"/>
      <w:r>
        <w:t>polyhalogenated</w:t>
      </w:r>
      <w:proofErr w:type="spellEnd"/>
      <w:r>
        <w:t xml:space="preserve"> aromatic hydrocarbons; and</w:t>
      </w:r>
    </w:p>
    <w:p w:rsidR="00253D7C" w:rsidRDefault="00335B26" w:rsidP="00335B26">
      <w:pPr>
        <w:pStyle w:val="LV3"/>
      </w:pPr>
      <w:proofErr w:type="gramStart"/>
      <w:r>
        <w:t>excludes</w:t>
      </w:r>
      <w:proofErr w:type="gramEnd"/>
      <w:r>
        <w:t xml:space="preserve"> drug-related acneiform facial eruptions.</w:t>
      </w:r>
    </w:p>
    <w:p w:rsidR="00253D7C" w:rsidRPr="008E76DC" w:rsidRDefault="00335B26" w:rsidP="00253D7C">
      <w:pPr>
        <w:pStyle w:val="Note2"/>
      </w:pPr>
      <w:r w:rsidRPr="00335B26">
        <w:t xml:space="preserve">Note: </w:t>
      </w:r>
      <w:r>
        <w:t xml:space="preserve"> </w:t>
      </w:r>
      <w:proofErr w:type="spellStart"/>
      <w:r w:rsidRPr="00335B26">
        <w:t>Chloracne</w:t>
      </w:r>
      <w:proofErr w:type="spellEnd"/>
      <w:r w:rsidRPr="00335B26">
        <w:t xml:space="preserve"> lesions are typically distributed over the face, earlobes and neck, and can also occur on the trunk, genitalia and buttocks.</w:t>
      </w:r>
      <w:r>
        <w:t xml:space="preserve"> </w:t>
      </w:r>
      <w:r w:rsidRPr="00335B26">
        <w:t>Other skin manifestations may include hyperpigmentation and hyperhidrosis. The skin lesions may be accompanied by systemic signs and symptoms.</w:t>
      </w:r>
    </w:p>
    <w:p w:rsidR="00FD775E" w:rsidRDefault="00237BAF" w:rsidP="00C8472E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proofErr w:type="spellStart"/>
      <w:r w:rsidR="000722F3" w:rsidRPr="000722F3">
        <w:rPr>
          <w:b/>
        </w:rPr>
        <w:t>chloracne</w:t>
      </w:r>
      <w:proofErr w:type="spellEnd"/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proofErr w:type="spellStart"/>
      <w:r w:rsidR="000722F3" w:rsidRPr="000722F3">
        <w:t>chloracne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proofErr w:type="spellStart"/>
      <w:r w:rsidR="000722F3" w:rsidRPr="000722F3">
        <w:t>chloracne</w:t>
      </w:r>
      <w:proofErr w:type="spellEnd"/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72BC2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49348925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proofErr w:type="spellStart"/>
      <w:r w:rsidR="000722F3" w:rsidRPr="000722F3">
        <w:t>chloracne</w:t>
      </w:r>
      <w:proofErr w:type="spellEnd"/>
      <w:r>
        <w:t xml:space="preserve"> </w:t>
      </w:r>
      <w:r w:rsidRPr="00D5620B">
        <w:t>and death from</w:t>
      </w:r>
      <w:r>
        <w:t xml:space="preserve"> </w:t>
      </w:r>
      <w:proofErr w:type="spellStart"/>
      <w:r w:rsidR="000722F3" w:rsidRPr="000722F3">
        <w:t>chloracne</w:t>
      </w:r>
      <w:proofErr w:type="spellEnd"/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C72BC2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934892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proofErr w:type="spellStart"/>
      <w:r w:rsidR="000722F3" w:rsidRPr="000722F3">
        <w:t>chloracne</w:t>
      </w:r>
      <w:proofErr w:type="spellEnd"/>
      <w:r w:rsidR="007A3989">
        <w:t xml:space="preserve"> </w:t>
      </w:r>
      <w:r w:rsidR="007C7DEE" w:rsidRPr="00AA6D8B">
        <w:t xml:space="preserve">or death from </w:t>
      </w:r>
      <w:proofErr w:type="spellStart"/>
      <w:r w:rsidR="000722F3" w:rsidRPr="000722F3">
        <w:t>chloracne</w:t>
      </w:r>
      <w:proofErr w:type="spellEnd"/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335B26" w:rsidP="00335B26">
      <w:pPr>
        <w:pStyle w:val="LV2"/>
      </w:pPr>
      <w:bookmarkStart w:id="27" w:name="_Ref402530260"/>
      <w:bookmarkStart w:id="28" w:name="_Ref409598844"/>
      <w:r w:rsidRPr="00335B26">
        <w:t xml:space="preserve">inhaling, ingesting or having cutaneous contact with a </w:t>
      </w:r>
      <w:proofErr w:type="spellStart"/>
      <w:r w:rsidRPr="00335B26">
        <w:t>polyhalogenated</w:t>
      </w:r>
      <w:proofErr w:type="spellEnd"/>
      <w:r w:rsidRPr="00335B26">
        <w:t xml:space="preserve"> aromatic hydrocarbon from the specified list of </w:t>
      </w:r>
      <w:proofErr w:type="spellStart"/>
      <w:r w:rsidRPr="00335B26">
        <w:t>polyhalogenated</w:t>
      </w:r>
      <w:proofErr w:type="spellEnd"/>
      <w:r w:rsidRPr="00335B26">
        <w:t xml:space="preserve"> aromatic hydrocarbons</w:t>
      </w:r>
      <w:r w:rsidR="00AF460F">
        <w:t>,</w:t>
      </w:r>
      <w:r w:rsidRPr="00335B26">
        <w:t xml:space="preserve"> within the three months </w:t>
      </w:r>
      <w:r w:rsidR="00A61931">
        <w:t xml:space="preserve">before the clinical onset </w:t>
      </w:r>
      <w:r w:rsidRPr="00335B26">
        <w:t xml:space="preserve">of </w:t>
      </w:r>
      <w:proofErr w:type="spellStart"/>
      <w:r w:rsidRPr="00335B26">
        <w:t>chloracne</w:t>
      </w:r>
      <w:proofErr w:type="spellEnd"/>
      <w:r w:rsidRPr="00335B26">
        <w:t>;</w:t>
      </w:r>
    </w:p>
    <w:p w:rsidR="000722F3" w:rsidRDefault="000722F3" w:rsidP="000722F3">
      <w:pPr>
        <w:pStyle w:val="Note2"/>
        <w:spacing w:after="60"/>
        <w:ind w:left="1985" w:hanging="567"/>
      </w:pPr>
      <w:r w:rsidRPr="00335B26">
        <w:t xml:space="preserve">Note </w:t>
      </w:r>
      <w:r>
        <w:t>1</w:t>
      </w:r>
      <w:r w:rsidRPr="00335B26">
        <w:t xml:space="preserve">: Examples of products </w:t>
      </w:r>
      <w:r>
        <w:t>that</w:t>
      </w:r>
      <w:r w:rsidRPr="00335B26">
        <w:t xml:space="preserve"> may </w:t>
      </w:r>
      <w:r>
        <w:t xml:space="preserve">contain </w:t>
      </w:r>
      <w:proofErr w:type="spellStart"/>
      <w:r w:rsidRPr="00335B26">
        <w:t>polyhalogenate</w:t>
      </w:r>
      <w:r>
        <w:t>d</w:t>
      </w:r>
      <w:proofErr w:type="spellEnd"/>
      <w:r>
        <w:t xml:space="preserve"> aromatic hydrocarbons from the specified list include:</w:t>
      </w:r>
    </w:p>
    <w:p w:rsidR="000722F3" w:rsidRDefault="000722F3" w:rsidP="000722F3">
      <w:pPr>
        <w:pStyle w:val="Note2"/>
        <w:numPr>
          <w:ilvl w:val="0"/>
          <w:numId w:val="22"/>
        </w:numPr>
        <w:spacing w:before="0"/>
        <w:ind w:left="2552" w:hanging="567"/>
      </w:pPr>
      <w:r>
        <w:t>f</w:t>
      </w:r>
      <w:r w:rsidRPr="00335B26">
        <w:t>ungicides</w:t>
      </w:r>
      <w:r>
        <w:t>;</w:t>
      </w:r>
    </w:p>
    <w:p w:rsidR="000722F3" w:rsidRDefault="000722F3" w:rsidP="000722F3">
      <w:pPr>
        <w:pStyle w:val="Note2"/>
        <w:numPr>
          <w:ilvl w:val="0"/>
          <w:numId w:val="22"/>
        </w:numPr>
        <w:spacing w:before="0"/>
        <w:ind w:left="2552" w:hanging="567"/>
      </w:pPr>
      <w:r>
        <w:t>h</w:t>
      </w:r>
      <w:r w:rsidRPr="00335B26">
        <w:t>erbicides</w:t>
      </w:r>
      <w:r>
        <w:t>;</w:t>
      </w:r>
    </w:p>
    <w:p w:rsidR="000722F3" w:rsidRDefault="000722F3" w:rsidP="000722F3">
      <w:pPr>
        <w:pStyle w:val="Note2"/>
        <w:numPr>
          <w:ilvl w:val="0"/>
          <w:numId w:val="22"/>
        </w:numPr>
        <w:spacing w:before="0"/>
        <w:ind w:left="2552" w:hanging="567"/>
      </w:pPr>
      <w:r>
        <w:t>i</w:t>
      </w:r>
      <w:r w:rsidRPr="00335B26">
        <w:t>nsecticides</w:t>
      </w:r>
      <w:r>
        <w:t>;</w:t>
      </w:r>
    </w:p>
    <w:p w:rsidR="000722F3" w:rsidRDefault="000722F3" w:rsidP="000722F3">
      <w:pPr>
        <w:pStyle w:val="Note2"/>
        <w:numPr>
          <w:ilvl w:val="0"/>
          <w:numId w:val="22"/>
        </w:numPr>
        <w:spacing w:before="0"/>
        <w:ind w:left="2552" w:hanging="567"/>
      </w:pPr>
      <w:r w:rsidRPr="00335B26">
        <w:t>transformer oils</w:t>
      </w:r>
      <w:r>
        <w:t>;</w:t>
      </w:r>
      <w:r w:rsidRPr="00335B26">
        <w:t xml:space="preserve"> and </w:t>
      </w:r>
    </w:p>
    <w:p w:rsidR="000722F3" w:rsidRDefault="000722F3" w:rsidP="000722F3">
      <w:pPr>
        <w:pStyle w:val="Note2"/>
        <w:numPr>
          <w:ilvl w:val="0"/>
          <w:numId w:val="22"/>
        </w:numPr>
        <w:spacing w:before="0"/>
        <w:ind w:left="2552" w:hanging="567"/>
      </w:pPr>
      <w:proofErr w:type="gramStart"/>
      <w:r w:rsidRPr="00335B26">
        <w:t>wood</w:t>
      </w:r>
      <w:proofErr w:type="gramEnd"/>
      <w:r w:rsidRPr="00335B26">
        <w:t xml:space="preserve"> protectors</w:t>
      </w:r>
      <w:r>
        <w:t>.</w:t>
      </w:r>
    </w:p>
    <w:p w:rsidR="00335B26" w:rsidRDefault="00335B26" w:rsidP="00335B26">
      <w:pPr>
        <w:pStyle w:val="Note2"/>
        <w:spacing w:after="60"/>
        <w:ind w:left="1985" w:hanging="567"/>
      </w:pPr>
      <w:r>
        <w:t xml:space="preserve">Note </w:t>
      </w:r>
      <w:r w:rsidR="000722F3">
        <w:t>2</w:t>
      </w:r>
      <w:r>
        <w:t>: Examples of circumstances that m</w:t>
      </w:r>
      <w:r w:rsidR="00A61931">
        <w:t>ay</w:t>
      </w:r>
      <w:r>
        <w:t xml:space="preserve"> lead to exposure to </w:t>
      </w:r>
      <w:proofErr w:type="spellStart"/>
      <w:r>
        <w:t>polyhalogenated</w:t>
      </w:r>
      <w:proofErr w:type="spellEnd"/>
      <w:r>
        <w:t xml:space="preserve"> aromatic hydrocarbons </w:t>
      </w:r>
      <w:r w:rsidR="000722F3">
        <w:t xml:space="preserve">from the specified list </w:t>
      </w:r>
      <w:r>
        <w:t xml:space="preserve">include: </w:t>
      </w:r>
    </w:p>
    <w:p w:rsidR="00335B26" w:rsidRDefault="00335B26" w:rsidP="00335B26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being</w:t>
      </w:r>
      <w:proofErr w:type="gramEnd"/>
      <w:r>
        <w:t xml:space="preserve"> in an environment shrouded in dust from timber treated with;</w:t>
      </w:r>
    </w:p>
    <w:p w:rsidR="00335B26" w:rsidRDefault="00335B26" w:rsidP="00335B26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being</w:t>
      </w:r>
      <w:proofErr w:type="gramEnd"/>
      <w:r>
        <w:t xml:space="preserve"> sprayed with;</w:t>
      </w:r>
    </w:p>
    <w:p w:rsidR="00335B26" w:rsidRDefault="00335B26" w:rsidP="00335B26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cleaning</w:t>
      </w:r>
      <w:proofErr w:type="gramEnd"/>
      <w:r>
        <w:t xml:space="preserve"> or maintaining equipment used to apply;</w:t>
      </w:r>
    </w:p>
    <w:p w:rsidR="00335B26" w:rsidRDefault="00335B26" w:rsidP="00335B26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consum</w:t>
      </w:r>
      <w:r w:rsidR="00A61931">
        <w:t>ing</w:t>
      </w:r>
      <w:proofErr w:type="gramEnd"/>
      <w:r>
        <w:t xml:space="preserve"> cooking oil or food contaminated with; </w:t>
      </w:r>
    </w:p>
    <w:p w:rsidR="00335B26" w:rsidRDefault="00335B26" w:rsidP="00335B26">
      <w:pPr>
        <w:pStyle w:val="Note2"/>
        <w:spacing w:before="0"/>
        <w:ind w:left="2552" w:hanging="567"/>
      </w:pPr>
      <w:r>
        <w:t>(e)</w:t>
      </w:r>
      <w:r>
        <w:tab/>
      </w:r>
      <w:proofErr w:type="gramStart"/>
      <w:r>
        <w:t>decanting</w:t>
      </w:r>
      <w:proofErr w:type="gramEnd"/>
      <w:r>
        <w:t xml:space="preserve"> or spraying;</w:t>
      </w:r>
    </w:p>
    <w:p w:rsidR="00335B26" w:rsidRDefault="00335B26" w:rsidP="00335B26">
      <w:pPr>
        <w:pStyle w:val="Note2"/>
        <w:spacing w:before="0"/>
        <w:ind w:left="2552" w:hanging="567"/>
      </w:pPr>
      <w:r>
        <w:t>(f)</w:t>
      </w:r>
      <w:r>
        <w:tab/>
      </w:r>
      <w:proofErr w:type="gramStart"/>
      <w:r>
        <w:t>handling</w:t>
      </w:r>
      <w:proofErr w:type="gramEnd"/>
      <w:r>
        <w:t xml:space="preserve"> or sawing timber treated with; and</w:t>
      </w:r>
    </w:p>
    <w:p w:rsidR="00335B26" w:rsidRDefault="00335B26" w:rsidP="00335B26">
      <w:pPr>
        <w:pStyle w:val="Note2"/>
        <w:spacing w:before="0"/>
        <w:ind w:left="2552" w:hanging="567"/>
      </w:pPr>
      <w:r>
        <w:t>(g)</w:t>
      </w:r>
      <w:r>
        <w:tab/>
      </w:r>
      <w:proofErr w:type="gramStart"/>
      <w:r>
        <w:t>using</w:t>
      </w:r>
      <w:proofErr w:type="gramEnd"/>
      <w:r>
        <w:t xml:space="preserve"> cutting oil contaminated with;</w:t>
      </w:r>
    </w:p>
    <w:p w:rsidR="00253D7C" w:rsidRDefault="00335B26" w:rsidP="00335B26">
      <w:pPr>
        <w:pStyle w:val="Note2"/>
        <w:spacing w:before="60"/>
        <w:ind w:left="1985" w:firstLine="0"/>
      </w:pPr>
      <w:proofErr w:type="gramStart"/>
      <w:r>
        <w:t>any</w:t>
      </w:r>
      <w:proofErr w:type="gramEnd"/>
      <w:r>
        <w:t xml:space="preserve"> of the</w:t>
      </w:r>
      <w:r w:rsidR="007C2CF6">
        <w:t xml:space="preserve"> </w:t>
      </w:r>
      <w:proofErr w:type="spellStart"/>
      <w:r>
        <w:t>polyhalogenated</w:t>
      </w:r>
      <w:proofErr w:type="spellEnd"/>
      <w:r>
        <w:t xml:space="preserve"> aromatic hydrocarbons from the specified list of </w:t>
      </w:r>
      <w:proofErr w:type="spellStart"/>
      <w:r>
        <w:t>polyhalogenated</w:t>
      </w:r>
      <w:proofErr w:type="spellEnd"/>
      <w:r>
        <w:t xml:space="preserve"> aromatic hydrocarbons.</w:t>
      </w:r>
      <w:r w:rsidR="00253D7C" w:rsidRPr="00046E67">
        <w:tab/>
      </w:r>
      <w:r w:rsidR="00253D7C">
        <w:t xml:space="preserve"> </w:t>
      </w:r>
    </w:p>
    <w:p w:rsidR="00335B26" w:rsidRPr="00046E67" w:rsidRDefault="00335B26" w:rsidP="00335B26">
      <w:pPr>
        <w:pStyle w:val="Note2"/>
        <w:ind w:left="1985" w:hanging="567"/>
      </w:pPr>
      <w:r>
        <w:t xml:space="preserve">Note 3: </w:t>
      </w:r>
      <w:r w:rsidRPr="00335B26">
        <w:rPr>
          <w:b/>
          <w:i/>
        </w:rPr>
        <w:t xml:space="preserve">specified list of </w:t>
      </w:r>
      <w:proofErr w:type="spellStart"/>
      <w:r w:rsidRPr="00335B26">
        <w:rPr>
          <w:b/>
          <w:i/>
        </w:rPr>
        <w:t>polyhalogenated</w:t>
      </w:r>
      <w:proofErr w:type="spellEnd"/>
      <w:r w:rsidRPr="00335B26">
        <w:rPr>
          <w:b/>
          <w:i/>
        </w:rPr>
        <w:t xml:space="preserve"> aromatic hydrocarbons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  <w:r>
        <w:t xml:space="preserve"> </w:t>
      </w:r>
    </w:p>
    <w:p w:rsidR="00A61931" w:rsidRPr="008D1B8B" w:rsidRDefault="00A61931" w:rsidP="00A61931">
      <w:pPr>
        <w:pStyle w:val="LV2"/>
      </w:pPr>
      <w:r w:rsidRPr="00335B26">
        <w:t xml:space="preserve">inhaling, ingesting or having cutaneous contact with a </w:t>
      </w:r>
      <w:proofErr w:type="spellStart"/>
      <w:r w:rsidRPr="00335B26">
        <w:t>polyhalogenated</w:t>
      </w:r>
      <w:proofErr w:type="spellEnd"/>
      <w:r w:rsidRPr="00335B26">
        <w:t xml:space="preserve"> aromatic hydrocarbon from the specified list of </w:t>
      </w:r>
      <w:proofErr w:type="spellStart"/>
      <w:r w:rsidRPr="00335B26">
        <w:t>polyhalogenated</w:t>
      </w:r>
      <w:proofErr w:type="spellEnd"/>
      <w:r w:rsidRPr="00335B26">
        <w:t xml:space="preserve"> aromatic hydrocarbons</w:t>
      </w:r>
      <w:r w:rsidR="00AF460F">
        <w:t>,</w:t>
      </w:r>
      <w:r w:rsidRPr="00335B26">
        <w:t xml:space="preserve"> within the three months before the clinical worsening of </w:t>
      </w:r>
      <w:proofErr w:type="spellStart"/>
      <w:r w:rsidRPr="00335B26">
        <w:t>chloracne</w:t>
      </w:r>
      <w:proofErr w:type="spellEnd"/>
      <w:r w:rsidRPr="00335B26">
        <w:t>;</w:t>
      </w:r>
    </w:p>
    <w:p w:rsidR="000722F3" w:rsidRDefault="000722F3" w:rsidP="000722F3">
      <w:pPr>
        <w:pStyle w:val="Note2"/>
        <w:spacing w:after="60"/>
        <w:ind w:left="1985" w:hanging="567"/>
      </w:pPr>
      <w:r w:rsidRPr="00335B26">
        <w:lastRenderedPageBreak/>
        <w:t xml:space="preserve">Note </w:t>
      </w:r>
      <w:r>
        <w:t>1</w:t>
      </w:r>
      <w:r w:rsidRPr="00335B26">
        <w:t xml:space="preserve">: Examples of products </w:t>
      </w:r>
      <w:r>
        <w:t>that</w:t>
      </w:r>
      <w:r w:rsidRPr="00335B26">
        <w:t xml:space="preserve"> may </w:t>
      </w:r>
      <w:r>
        <w:t xml:space="preserve">contain </w:t>
      </w:r>
      <w:proofErr w:type="spellStart"/>
      <w:r w:rsidRPr="00335B26">
        <w:t>polyhalogenate</w:t>
      </w:r>
      <w:r>
        <w:t>d</w:t>
      </w:r>
      <w:proofErr w:type="spellEnd"/>
      <w:r>
        <w:t xml:space="preserve"> aromatic hydrocarbons from the specified list include:</w:t>
      </w:r>
    </w:p>
    <w:p w:rsidR="000722F3" w:rsidRDefault="000722F3" w:rsidP="000722F3">
      <w:pPr>
        <w:pStyle w:val="Note2"/>
        <w:numPr>
          <w:ilvl w:val="0"/>
          <w:numId w:val="25"/>
        </w:numPr>
        <w:spacing w:before="0"/>
        <w:ind w:left="2552" w:hanging="567"/>
      </w:pPr>
      <w:r>
        <w:t>f</w:t>
      </w:r>
      <w:r w:rsidRPr="00335B26">
        <w:t>ungicides</w:t>
      </w:r>
      <w:r>
        <w:t>;</w:t>
      </w:r>
    </w:p>
    <w:p w:rsidR="000722F3" w:rsidRDefault="000722F3" w:rsidP="000722F3">
      <w:pPr>
        <w:pStyle w:val="Note2"/>
        <w:numPr>
          <w:ilvl w:val="0"/>
          <w:numId w:val="25"/>
        </w:numPr>
        <w:spacing w:before="0"/>
        <w:ind w:left="2552" w:hanging="567"/>
      </w:pPr>
      <w:r>
        <w:t>h</w:t>
      </w:r>
      <w:r w:rsidRPr="00335B26">
        <w:t>erbicides</w:t>
      </w:r>
      <w:r>
        <w:t>;</w:t>
      </w:r>
    </w:p>
    <w:p w:rsidR="000722F3" w:rsidRDefault="000722F3" w:rsidP="000722F3">
      <w:pPr>
        <w:pStyle w:val="Note2"/>
        <w:numPr>
          <w:ilvl w:val="0"/>
          <w:numId w:val="25"/>
        </w:numPr>
        <w:spacing w:before="0"/>
        <w:ind w:left="2552" w:hanging="567"/>
      </w:pPr>
      <w:r>
        <w:t>i</w:t>
      </w:r>
      <w:r w:rsidRPr="00335B26">
        <w:t>nsecticides</w:t>
      </w:r>
      <w:r>
        <w:t>;</w:t>
      </w:r>
    </w:p>
    <w:p w:rsidR="000722F3" w:rsidRDefault="000722F3" w:rsidP="000722F3">
      <w:pPr>
        <w:pStyle w:val="Note2"/>
        <w:numPr>
          <w:ilvl w:val="0"/>
          <w:numId w:val="25"/>
        </w:numPr>
        <w:spacing w:before="0"/>
        <w:ind w:left="2552" w:hanging="567"/>
      </w:pPr>
      <w:r w:rsidRPr="00335B26">
        <w:t>transformer oils</w:t>
      </w:r>
      <w:r>
        <w:t>;</w:t>
      </w:r>
      <w:r w:rsidRPr="00335B26">
        <w:t xml:space="preserve"> and </w:t>
      </w:r>
    </w:p>
    <w:p w:rsidR="000722F3" w:rsidRDefault="000722F3" w:rsidP="000722F3">
      <w:pPr>
        <w:pStyle w:val="Note2"/>
        <w:numPr>
          <w:ilvl w:val="0"/>
          <w:numId w:val="25"/>
        </w:numPr>
        <w:spacing w:before="0"/>
        <w:ind w:left="2552" w:hanging="567"/>
      </w:pPr>
      <w:proofErr w:type="gramStart"/>
      <w:r w:rsidRPr="00335B26">
        <w:t>wood</w:t>
      </w:r>
      <w:proofErr w:type="gramEnd"/>
      <w:r w:rsidRPr="00335B26">
        <w:t xml:space="preserve"> protectors</w:t>
      </w:r>
      <w:r>
        <w:t>.</w:t>
      </w:r>
    </w:p>
    <w:p w:rsidR="000722F3" w:rsidRDefault="000722F3" w:rsidP="000722F3">
      <w:pPr>
        <w:pStyle w:val="Note2"/>
        <w:spacing w:after="60"/>
        <w:ind w:left="1985" w:hanging="567"/>
      </w:pPr>
      <w:r>
        <w:t xml:space="preserve">Note 2: Examples of circumstances that may lead to exposure to </w:t>
      </w:r>
      <w:proofErr w:type="spellStart"/>
      <w:r>
        <w:t>polyhalogenated</w:t>
      </w:r>
      <w:proofErr w:type="spellEnd"/>
      <w:r>
        <w:t xml:space="preserve"> aromatic hydrocarbons from the specified list include: </w:t>
      </w:r>
    </w:p>
    <w:p w:rsidR="000722F3" w:rsidRDefault="000722F3" w:rsidP="000722F3">
      <w:pPr>
        <w:pStyle w:val="Note2"/>
        <w:spacing w:before="0"/>
        <w:ind w:left="2552" w:hanging="567"/>
      </w:pPr>
      <w:r>
        <w:t>(a)</w:t>
      </w:r>
      <w:r>
        <w:tab/>
      </w:r>
      <w:proofErr w:type="gramStart"/>
      <w:r>
        <w:t>being</w:t>
      </w:r>
      <w:proofErr w:type="gramEnd"/>
      <w:r>
        <w:t xml:space="preserve"> in an environment shrouded in dust from timber treated with;</w:t>
      </w:r>
    </w:p>
    <w:p w:rsidR="000722F3" w:rsidRDefault="000722F3" w:rsidP="000722F3">
      <w:pPr>
        <w:pStyle w:val="Note2"/>
        <w:spacing w:before="0"/>
        <w:ind w:left="2552" w:hanging="567"/>
      </w:pPr>
      <w:r>
        <w:t>(b)</w:t>
      </w:r>
      <w:r>
        <w:tab/>
      </w:r>
      <w:proofErr w:type="gramStart"/>
      <w:r>
        <w:t>being</w:t>
      </w:r>
      <w:proofErr w:type="gramEnd"/>
      <w:r>
        <w:t xml:space="preserve"> sprayed with;</w:t>
      </w:r>
    </w:p>
    <w:p w:rsidR="000722F3" w:rsidRDefault="000722F3" w:rsidP="000722F3">
      <w:pPr>
        <w:pStyle w:val="Note2"/>
        <w:spacing w:before="0"/>
        <w:ind w:left="2552" w:hanging="567"/>
      </w:pPr>
      <w:r>
        <w:t>(c)</w:t>
      </w:r>
      <w:r>
        <w:tab/>
      </w:r>
      <w:proofErr w:type="gramStart"/>
      <w:r>
        <w:t>cleaning</w:t>
      </w:r>
      <w:proofErr w:type="gramEnd"/>
      <w:r>
        <w:t xml:space="preserve"> or maintaining equipment used to apply;</w:t>
      </w:r>
    </w:p>
    <w:p w:rsidR="000722F3" w:rsidRDefault="000722F3" w:rsidP="000722F3">
      <w:pPr>
        <w:pStyle w:val="Note2"/>
        <w:spacing w:before="0"/>
        <w:ind w:left="2552" w:hanging="567"/>
      </w:pPr>
      <w:r>
        <w:t>(d)</w:t>
      </w:r>
      <w:r>
        <w:tab/>
      </w:r>
      <w:proofErr w:type="gramStart"/>
      <w:r>
        <w:t>consuming</w:t>
      </w:r>
      <w:proofErr w:type="gramEnd"/>
      <w:r>
        <w:t xml:space="preserve"> cooking oil or food contaminated with; </w:t>
      </w:r>
    </w:p>
    <w:p w:rsidR="000722F3" w:rsidRDefault="000722F3" w:rsidP="000722F3">
      <w:pPr>
        <w:pStyle w:val="Note2"/>
        <w:spacing w:before="0"/>
        <w:ind w:left="2552" w:hanging="567"/>
      </w:pPr>
      <w:r>
        <w:t>(e)</w:t>
      </w:r>
      <w:r>
        <w:tab/>
      </w:r>
      <w:proofErr w:type="gramStart"/>
      <w:r>
        <w:t>decanting</w:t>
      </w:r>
      <w:proofErr w:type="gramEnd"/>
      <w:r>
        <w:t xml:space="preserve"> or spraying;</w:t>
      </w:r>
    </w:p>
    <w:p w:rsidR="000722F3" w:rsidRDefault="000722F3" w:rsidP="000722F3">
      <w:pPr>
        <w:pStyle w:val="Note2"/>
        <w:spacing w:before="0"/>
        <w:ind w:left="2552" w:hanging="567"/>
      </w:pPr>
      <w:r>
        <w:t>(f)</w:t>
      </w:r>
      <w:r>
        <w:tab/>
      </w:r>
      <w:proofErr w:type="gramStart"/>
      <w:r>
        <w:t>handling</w:t>
      </w:r>
      <w:proofErr w:type="gramEnd"/>
      <w:r>
        <w:t xml:space="preserve"> or sawing timber treated with; and</w:t>
      </w:r>
    </w:p>
    <w:p w:rsidR="000722F3" w:rsidRDefault="000722F3" w:rsidP="000722F3">
      <w:pPr>
        <w:pStyle w:val="Note2"/>
        <w:spacing w:before="0"/>
        <w:ind w:left="2552" w:hanging="567"/>
      </w:pPr>
      <w:r>
        <w:t>(g)</w:t>
      </w:r>
      <w:r>
        <w:tab/>
      </w:r>
      <w:proofErr w:type="gramStart"/>
      <w:r>
        <w:t>using</w:t>
      </w:r>
      <w:proofErr w:type="gramEnd"/>
      <w:r>
        <w:t xml:space="preserve"> cutting oil contaminated with;</w:t>
      </w:r>
    </w:p>
    <w:p w:rsidR="000722F3" w:rsidRDefault="000722F3" w:rsidP="000722F3">
      <w:pPr>
        <w:pStyle w:val="Note2"/>
        <w:ind w:left="1985" w:firstLine="0"/>
      </w:pPr>
      <w:proofErr w:type="gramStart"/>
      <w:r>
        <w:t>any</w:t>
      </w:r>
      <w:proofErr w:type="gramEnd"/>
      <w:r>
        <w:t xml:space="preserve"> of the </w:t>
      </w:r>
      <w:proofErr w:type="spellStart"/>
      <w:r>
        <w:t>polyhalogenated</w:t>
      </w:r>
      <w:proofErr w:type="spellEnd"/>
      <w:r>
        <w:t xml:space="preserve"> aromatic hydrocarbons from the specified list of </w:t>
      </w:r>
      <w:proofErr w:type="spellStart"/>
      <w:r>
        <w:t>polyhalogenated</w:t>
      </w:r>
      <w:proofErr w:type="spellEnd"/>
      <w:r>
        <w:t xml:space="preserve"> aromatic hydrocarbons.</w:t>
      </w:r>
      <w:r w:rsidRPr="00046E67">
        <w:tab/>
      </w:r>
      <w:r>
        <w:t xml:space="preserve"> </w:t>
      </w:r>
    </w:p>
    <w:p w:rsidR="00A61931" w:rsidRPr="00046E67" w:rsidRDefault="00A61931" w:rsidP="000722F3">
      <w:pPr>
        <w:pStyle w:val="Note2"/>
        <w:ind w:left="1985" w:hanging="567"/>
      </w:pPr>
      <w:r>
        <w:t xml:space="preserve">Note 3: </w:t>
      </w:r>
      <w:r w:rsidRPr="00335B26">
        <w:rPr>
          <w:b/>
          <w:i/>
        </w:rPr>
        <w:t xml:space="preserve">specified list of </w:t>
      </w:r>
      <w:proofErr w:type="spellStart"/>
      <w:r w:rsidRPr="00335B26">
        <w:rPr>
          <w:b/>
          <w:i/>
        </w:rPr>
        <w:t>polyhalogenated</w:t>
      </w:r>
      <w:proofErr w:type="spellEnd"/>
      <w:r w:rsidRPr="00335B26">
        <w:rPr>
          <w:b/>
          <w:i/>
        </w:rPr>
        <w:t xml:space="preserve"> aromatic hydrocarbons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  <w:r>
        <w:t xml:space="preserve"> 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proofErr w:type="spellStart"/>
      <w:r w:rsidR="000722F3" w:rsidRPr="000722F3">
        <w:t>chloracne</w:t>
      </w:r>
      <w:proofErr w:type="spellEnd"/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4934892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7C2CF6">
        <w:t>2</w:t>
      </w:r>
      <w:r w:rsidR="00FF1D47">
        <w:t>)</w:t>
      </w:r>
      <w:r w:rsidR="007C2CF6">
        <w:t xml:space="preserve"> and 9(3)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proofErr w:type="spellStart"/>
      <w:r w:rsidR="000722F3" w:rsidRPr="000722F3">
        <w:t>chloracne</w:t>
      </w:r>
      <w:proofErr w:type="spellEnd"/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proofErr w:type="spellStart"/>
      <w:r w:rsidR="000722F3" w:rsidRPr="000722F3">
        <w:t>chloracne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4934892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934892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9348930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E93827" w:rsidRPr="00513D05" w:rsidRDefault="00E93827" w:rsidP="00E93827">
      <w:pPr>
        <w:pStyle w:val="SH3"/>
      </w:pPr>
      <w:bookmarkStart w:id="37" w:name="_Ref402530810"/>
      <w:proofErr w:type="spellStart"/>
      <w:proofErr w:type="gramStart"/>
      <w:r w:rsidRPr="00335B26">
        <w:rPr>
          <w:b/>
          <w:i/>
        </w:rPr>
        <w:t>chloracne</w:t>
      </w:r>
      <w:proofErr w:type="spellEnd"/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E93827" w:rsidRDefault="00E93827" w:rsidP="00E93827">
      <w:pPr>
        <w:pStyle w:val="SH3"/>
      </w:pPr>
      <w:bookmarkStart w:id="38" w:name="_Ref402529607"/>
      <w:bookmarkEnd w:id="37"/>
      <w:proofErr w:type="spellStart"/>
      <w:r w:rsidRPr="00E93827">
        <w:rPr>
          <w:b/>
          <w:i/>
        </w:rPr>
        <w:t>polychlorodibenzofurans</w:t>
      </w:r>
      <w:proofErr w:type="spellEnd"/>
      <w:r w:rsidRPr="00E93827">
        <w:rPr>
          <w:b/>
          <w:i/>
        </w:rPr>
        <w:t xml:space="preserve"> (PCDFs)</w:t>
      </w:r>
      <w:r>
        <w:rPr>
          <w:b/>
          <w:i/>
        </w:rPr>
        <w:t xml:space="preserve"> as specified</w:t>
      </w:r>
      <w:r>
        <w:t xml:space="preserve"> means:</w:t>
      </w:r>
    </w:p>
    <w:p w:rsidR="00E93827" w:rsidRDefault="00E93827" w:rsidP="00E93827">
      <w:pPr>
        <w:pStyle w:val="SH4"/>
        <w:ind w:left="1418"/>
      </w:pPr>
      <w:r>
        <w:t>2,3,7,8-tetrachlorodibenzofuran (TCDF);</w:t>
      </w:r>
    </w:p>
    <w:p w:rsidR="00E93827" w:rsidRDefault="00E93827" w:rsidP="00E93827">
      <w:pPr>
        <w:pStyle w:val="SH4"/>
        <w:ind w:left="1418"/>
      </w:pPr>
      <w:proofErr w:type="spellStart"/>
      <w:r>
        <w:t>pentachlorodibenzofurans</w:t>
      </w:r>
      <w:proofErr w:type="spellEnd"/>
      <w:r>
        <w:t xml:space="preserve"> (</w:t>
      </w:r>
      <w:proofErr w:type="spellStart"/>
      <w:r>
        <w:t>PeCDFs</w:t>
      </w:r>
      <w:proofErr w:type="spellEnd"/>
      <w:r>
        <w:t>);</w:t>
      </w:r>
    </w:p>
    <w:p w:rsidR="00E93827" w:rsidRDefault="00E93827" w:rsidP="00E93827">
      <w:pPr>
        <w:pStyle w:val="SH4"/>
        <w:ind w:left="1418"/>
      </w:pPr>
      <w:proofErr w:type="spellStart"/>
      <w:r>
        <w:t>haemachlorodibenzofurans</w:t>
      </w:r>
      <w:proofErr w:type="spellEnd"/>
      <w:r>
        <w:t>;</w:t>
      </w:r>
    </w:p>
    <w:p w:rsidR="00E93827" w:rsidRDefault="00E93827" w:rsidP="00E93827">
      <w:pPr>
        <w:pStyle w:val="SH4"/>
        <w:ind w:left="1418"/>
      </w:pPr>
      <w:proofErr w:type="spellStart"/>
      <w:r>
        <w:t>hexachlorodibenzofurans</w:t>
      </w:r>
      <w:proofErr w:type="spellEnd"/>
      <w:r>
        <w:t xml:space="preserve"> (</w:t>
      </w:r>
      <w:proofErr w:type="spellStart"/>
      <w:r>
        <w:t>HxCDFs</w:t>
      </w:r>
      <w:proofErr w:type="spellEnd"/>
      <w:r>
        <w:t>);</w:t>
      </w:r>
    </w:p>
    <w:p w:rsidR="00E93827" w:rsidRDefault="00E93827" w:rsidP="00E93827">
      <w:pPr>
        <w:pStyle w:val="SH4"/>
        <w:ind w:left="1418"/>
      </w:pPr>
      <w:proofErr w:type="spellStart"/>
      <w:r>
        <w:t>heptachlorodibenzofurans</w:t>
      </w:r>
      <w:proofErr w:type="spellEnd"/>
      <w:r>
        <w:t xml:space="preserve"> (</w:t>
      </w:r>
      <w:proofErr w:type="spellStart"/>
      <w:r>
        <w:t>HpCDFs</w:t>
      </w:r>
      <w:proofErr w:type="spellEnd"/>
      <w:r>
        <w:t xml:space="preserve">); </w:t>
      </w:r>
    </w:p>
    <w:p w:rsidR="00E93827" w:rsidRDefault="00E93827" w:rsidP="00E93827">
      <w:pPr>
        <w:pStyle w:val="SH4"/>
        <w:ind w:left="1418"/>
      </w:pPr>
      <w:proofErr w:type="spellStart"/>
      <w:r>
        <w:t>octachlorodibenzofurans</w:t>
      </w:r>
      <w:proofErr w:type="spellEnd"/>
      <w:r>
        <w:t xml:space="preserve"> (OCDFs); or</w:t>
      </w:r>
    </w:p>
    <w:p w:rsidR="00E93827" w:rsidRPr="00E93827" w:rsidRDefault="00E93827" w:rsidP="00E93827">
      <w:pPr>
        <w:pStyle w:val="SH4"/>
        <w:ind w:left="1418"/>
      </w:pPr>
      <w:proofErr w:type="spellStart"/>
      <w:proofErr w:type="gramStart"/>
      <w:r>
        <w:t>trichlorodibenzofurans</w:t>
      </w:r>
      <w:proofErr w:type="spellEnd"/>
      <w:proofErr w:type="gramEnd"/>
      <w:r>
        <w:t>.</w:t>
      </w:r>
    </w:p>
    <w:p w:rsidR="00E93827" w:rsidRDefault="00E93827" w:rsidP="00E93827">
      <w:pPr>
        <w:pStyle w:val="SH3"/>
      </w:pPr>
      <w:proofErr w:type="spellStart"/>
      <w:r w:rsidRPr="00E93827">
        <w:rPr>
          <w:b/>
          <w:i/>
        </w:rPr>
        <w:t>polychlorodibenzo</w:t>
      </w:r>
      <w:proofErr w:type="spellEnd"/>
      <w:r w:rsidRPr="00E93827">
        <w:rPr>
          <w:b/>
          <w:i/>
        </w:rPr>
        <w:t>-para-dioxins (PCDDs)</w:t>
      </w:r>
      <w:r w:rsidR="00790709">
        <w:rPr>
          <w:b/>
          <w:i/>
        </w:rPr>
        <w:t xml:space="preserve"> </w:t>
      </w:r>
      <w:r>
        <w:rPr>
          <w:b/>
          <w:i/>
        </w:rPr>
        <w:t>as specified</w:t>
      </w:r>
      <w:r>
        <w:t xml:space="preserve"> means:</w:t>
      </w:r>
    </w:p>
    <w:p w:rsidR="00E93827" w:rsidRDefault="00E93827" w:rsidP="00E93827">
      <w:pPr>
        <w:pStyle w:val="SH4"/>
        <w:ind w:left="1418"/>
      </w:pPr>
      <w:r>
        <w:t>2,3,7,8-tetrachlorodibenzo-para-dioxin (TCDD);</w:t>
      </w:r>
    </w:p>
    <w:p w:rsidR="00E93827" w:rsidRDefault="00E93827" w:rsidP="00E93827">
      <w:pPr>
        <w:pStyle w:val="SH4"/>
        <w:ind w:left="1418"/>
      </w:pPr>
      <w:r>
        <w:t>1,2,3,7,8-pentachlorodibenzo-para-dioxin (</w:t>
      </w:r>
      <w:proofErr w:type="spellStart"/>
      <w:r>
        <w:t>PeCDD</w:t>
      </w:r>
      <w:proofErr w:type="spellEnd"/>
      <w:r>
        <w:t>);</w:t>
      </w:r>
    </w:p>
    <w:p w:rsidR="00E93827" w:rsidRDefault="00E93827" w:rsidP="00E93827">
      <w:pPr>
        <w:pStyle w:val="SH4"/>
        <w:ind w:left="1418"/>
      </w:pPr>
      <w:proofErr w:type="spellStart"/>
      <w:r>
        <w:t>hexachlorodibenzo</w:t>
      </w:r>
      <w:proofErr w:type="spellEnd"/>
      <w:r>
        <w:t>-para-dioxin (</w:t>
      </w:r>
      <w:proofErr w:type="spellStart"/>
      <w:r>
        <w:t>HxCDD</w:t>
      </w:r>
      <w:proofErr w:type="spellEnd"/>
      <w:r>
        <w:t>);</w:t>
      </w:r>
    </w:p>
    <w:p w:rsidR="00E93827" w:rsidRDefault="00E93827" w:rsidP="00E93827">
      <w:pPr>
        <w:pStyle w:val="SH4"/>
        <w:ind w:left="1418"/>
      </w:pPr>
      <w:r>
        <w:t>1,2,3,4,6,7,8-heptachlorodibenzo-para-dioxin (</w:t>
      </w:r>
      <w:proofErr w:type="spellStart"/>
      <w:r>
        <w:t>HpCDD</w:t>
      </w:r>
      <w:proofErr w:type="spellEnd"/>
      <w:r>
        <w:t>); or</w:t>
      </w:r>
    </w:p>
    <w:p w:rsidR="00E93827" w:rsidRPr="00E93827" w:rsidRDefault="00E93827" w:rsidP="00E93827">
      <w:pPr>
        <w:pStyle w:val="SH4"/>
        <w:ind w:left="1418"/>
      </w:pPr>
      <w:proofErr w:type="spellStart"/>
      <w:proofErr w:type="gramStart"/>
      <w:r>
        <w:t>octachlorodibenzo</w:t>
      </w:r>
      <w:proofErr w:type="spellEnd"/>
      <w:r>
        <w:t>-para-dioxin</w:t>
      </w:r>
      <w:proofErr w:type="gramEnd"/>
      <w:r>
        <w:t xml:space="preserve"> (OCDD).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335B26" w:rsidRDefault="00335B26" w:rsidP="00335B26">
      <w:pPr>
        <w:pStyle w:val="SH3"/>
      </w:pPr>
      <w:r w:rsidRPr="00335B26">
        <w:rPr>
          <w:b/>
          <w:i/>
        </w:rPr>
        <w:t xml:space="preserve">specified list of </w:t>
      </w:r>
      <w:proofErr w:type="spellStart"/>
      <w:r w:rsidRPr="00335B26">
        <w:rPr>
          <w:b/>
          <w:i/>
        </w:rPr>
        <w:t>polyhalogenated</w:t>
      </w:r>
      <w:proofErr w:type="spellEnd"/>
      <w:r w:rsidRPr="00335B26">
        <w:rPr>
          <w:b/>
          <w:i/>
        </w:rPr>
        <w:t xml:space="preserve"> aromatic hydrocarbons</w:t>
      </w:r>
      <w:r>
        <w:t xml:space="preserve"> means:</w:t>
      </w:r>
    </w:p>
    <w:p w:rsidR="00335B26" w:rsidRDefault="00335B26" w:rsidP="00335B26">
      <w:pPr>
        <w:pStyle w:val="SH4"/>
        <w:ind w:left="1418"/>
      </w:pPr>
      <w:proofErr w:type="spellStart"/>
      <w:r>
        <w:t>azobenzenes</w:t>
      </w:r>
      <w:proofErr w:type="spellEnd"/>
      <w:r>
        <w:t>, including 3,3',4,4'-tetrachloroazobenzene;</w:t>
      </w:r>
    </w:p>
    <w:p w:rsidR="00335B26" w:rsidRDefault="00335B26" w:rsidP="00335B26">
      <w:pPr>
        <w:pStyle w:val="SH4"/>
        <w:ind w:left="1418"/>
      </w:pPr>
      <w:proofErr w:type="spellStart"/>
      <w:r>
        <w:t>azoxybenzenes</w:t>
      </w:r>
      <w:proofErr w:type="spellEnd"/>
      <w:r>
        <w:t>, including 3,4,3',4'-tetrachloroazoxybenzene;</w:t>
      </w:r>
    </w:p>
    <w:p w:rsidR="00335B26" w:rsidRDefault="00335B26" w:rsidP="00335B26">
      <w:pPr>
        <w:pStyle w:val="SH4"/>
        <w:ind w:left="1418"/>
      </w:pPr>
      <w:r>
        <w:t>o-dichlorobenzene;</w:t>
      </w:r>
    </w:p>
    <w:p w:rsidR="00335B26" w:rsidRDefault="00335B26" w:rsidP="00335B26">
      <w:pPr>
        <w:pStyle w:val="SH4"/>
        <w:ind w:left="1418"/>
      </w:pPr>
      <w:proofErr w:type="spellStart"/>
      <w:r>
        <w:t>polybrominated</w:t>
      </w:r>
      <w:proofErr w:type="spellEnd"/>
      <w:r>
        <w:t xml:space="preserve"> biphenyls (PBBs);</w:t>
      </w:r>
    </w:p>
    <w:p w:rsidR="00335B26" w:rsidRDefault="00335B26" w:rsidP="00335B26">
      <w:pPr>
        <w:pStyle w:val="SH4"/>
        <w:ind w:left="1418"/>
      </w:pPr>
      <w:proofErr w:type="spellStart"/>
      <w:r>
        <w:t>polybromodibenzofurans</w:t>
      </w:r>
      <w:proofErr w:type="spellEnd"/>
      <w:r>
        <w:t xml:space="preserve">, including </w:t>
      </w:r>
      <w:proofErr w:type="spellStart"/>
      <w:r>
        <w:t>tetrabromodibenzofuran</w:t>
      </w:r>
      <w:proofErr w:type="spellEnd"/>
      <w:r>
        <w:t>;</w:t>
      </w:r>
    </w:p>
    <w:p w:rsidR="00335B26" w:rsidRDefault="00335B26" w:rsidP="00335B26">
      <w:pPr>
        <w:pStyle w:val="SH4"/>
        <w:ind w:left="1418"/>
      </w:pPr>
      <w:r>
        <w:t xml:space="preserve">polychlorinated biphenyls (PCBs); </w:t>
      </w:r>
    </w:p>
    <w:p w:rsidR="00335B26" w:rsidRDefault="00335B26" w:rsidP="00335B26">
      <w:pPr>
        <w:pStyle w:val="SH4"/>
        <w:ind w:left="1418"/>
      </w:pPr>
      <w:proofErr w:type="spellStart"/>
      <w:r>
        <w:t>polychlorodibenzofurans</w:t>
      </w:r>
      <w:proofErr w:type="spellEnd"/>
      <w:r>
        <w:t xml:space="preserve"> (PCDFs)</w:t>
      </w:r>
      <w:r w:rsidR="00E93827">
        <w:t xml:space="preserve"> as specified</w:t>
      </w:r>
      <w:r>
        <w:t>;</w:t>
      </w:r>
    </w:p>
    <w:p w:rsidR="00335B26" w:rsidRDefault="00335B26" w:rsidP="00335B26">
      <w:pPr>
        <w:pStyle w:val="SH4"/>
        <w:ind w:left="1418"/>
      </w:pPr>
      <w:proofErr w:type="spellStart"/>
      <w:r>
        <w:t>polychlorodibenzo</w:t>
      </w:r>
      <w:proofErr w:type="spellEnd"/>
      <w:r>
        <w:t>-para-dioxins (PCDDs)</w:t>
      </w:r>
      <w:r w:rsidR="00E93827">
        <w:t xml:space="preserve"> as specified</w:t>
      </w:r>
      <w:r>
        <w:t>;</w:t>
      </w:r>
    </w:p>
    <w:p w:rsidR="00335B26" w:rsidRDefault="00335B26" w:rsidP="00335B26">
      <w:pPr>
        <w:pStyle w:val="SH4"/>
        <w:ind w:left="1418"/>
      </w:pPr>
      <w:proofErr w:type="spellStart"/>
      <w:r>
        <w:t>polychloronaphthalenes</w:t>
      </w:r>
      <w:proofErr w:type="spellEnd"/>
      <w:r>
        <w:t xml:space="preserve">, including </w:t>
      </w:r>
      <w:proofErr w:type="spellStart"/>
      <w:r>
        <w:t>pentachloronaphthalene</w:t>
      </w:r>
      <w:proofErr w:type="spellEnd"/>
      <w:r>
        <w:t xml:space="preserve"> (</w:t>
      </w:r>
      <w:proofErr w:type="spellStart"/>
      <w:r>
        <w:t>Halowax</w:t>
      </w:r>
      <w:proofErr w:type="spellEnd"/>
      <w:r>
        <w:t xml:space="preserve"> 1013) and </w:t>
      </w:r>
      <w:proofErr w:type="spellStart"/>
      <w:r>
        <w:t>hexachloronaphthalene</w:t>
      </w:r>
      <w:proofErr w:type="spellEnd"/>
      <w:r>
        <w:t xml:space="preserve"> (HCN);</w:t>
      </w:r>
    </w:p>
    <w:p w:rsidR="00335B26" w:rsidRDefault="00335B26" w:rsidP="00335B26">
      <w:pPr>
        <w:pStyle w:val="SH4"/>
        <w:ind w:left="1418"/>
      </w:pPr>
      <w:proofErr w:type="spellStart"/>
      <w:r>
        <w:t>polychromonaphthalenes</w:t>
      </w:r>
      <w:proofErr w:type="spellEnd"/>
      <w:r>
        <w:t>; or</w:t>
      </w:r>
    </w:p>
    <w:p w:rsidR="00335B26" w:rsidRPr="00335B26" w:rsidRDefault="00335B26" w:rsidP="00335B26">
      <w:pPr>
        <w:pStyle w:val="SH4"/>
        <w:ind w:left="1418"/>
      </w:pPr>
      <w:proofErr w:type="spellStart"/>
      <w:proofErr w:type="gramStart"/>
      <w:r>
        <w:t>triazoloquinoxalines</w:t>
      </w:r>
      <w:proofErr w:type="spellEnd"/>
      <w:proofErr w:type="gramEnd"/>
      <w:r>
        <w:t>.</w:t>
      </w:r>
    </w:p>
    <w:p w:rsidR="00335B26" w:rsidRPr="00335B26" w:rsidRDefault="00E93827" w:rsidP="00E93827">
      <w:pPr>
        <w:pStyle w:val="ScheduleNote"/>
        <w:ind w:left="1276" w:hanging="425"/>
      </w:pPr>
      <w:r>
        <w:lastRenderedPageBreak/>
        <w:t xml:space="preserve">Note: </w:t>
      </w:r>
      <w:r w:rsidRPr="00E93827">
        <w:rPr>
          <w:b/>
          <w:i/>
        </w:rPr>
        <w:tab/>
      </w:r>
      <w:proofErr w:type="spellStart"/>
      <w:r w:rsidRPr="00E93827">
        <w:rPr>
          <w:b/>
          <w:i/>
        </w:rPr>
        <w:t>polychlorodibenzofurans</w:t>
      </w:r>
      <w:proofErr w:type="spellEnd"/>
      <w:r w:rsidRPr="00E93827">
        <w:rPr>
          <w:b/>
          <w:i/>
        </w:rPr>
        <w:t xml:space="preserve"> (PCDFs) as specified</w:t>
      </w:r>
      <w:r>
        <w:t xml:space="preserve"> and </w:t>
      </w:r>
      <w:r w:rsidRPr="00E93827">
        <w:rPr>
          <w:b/>
          <w:i/>
        </w:rPr>
        <w:tab/>
      </w:r>
      <w:proofErr w:type="spellStart"/>
      <w:r w:rsidRPr="00E93827">
        <w:rPr>
          <w:b/>
          <w:i/>
        </w:rPr>
        <w:t>polychlorodibenzo</w:t>
      </w:r>
      <w:proofErr w:type="spellEnd"/>
      <w:r w:rsidRPr="00E93827">
        <w:rPr>
          <w:b/>
          <w:i/>
        </w:rPr>
        <w:t>-para-dioxins (PCDDs) as specified</w:t>
      </w:r>
      <w:r>
        <w:t xml:space="preserve"> are also defined </w:t>
      </w:r>
      <w:r w:rsidRPr="00A36B1A">
        <w:t xml:space="preserve">in the Schedule 1 </w:t>
      </w:r>
      <w:r w:rsidR="00EC5521">
        <w:t>-</w:t>
      </w:r>
      <w:r w:rsidRPr="00A36B1A">
        <w:t xml:space="preserve"> Dictionary</w:t>
      </w:r>
      <w:r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722F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0722F3">
            <w:rPr>
              <w:i/>
              <w:sz w:val="18"/>
              <w:szCs w:val="18"/>
            </w:rPr>
            <w:t>Chloracne</w:t>
          </w:r>
          <w:proofErr w:type="spellEnd"/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A429B" w:rsidRPr="000A429B">
            <w:rPr>
              <w:i/>
              <w:sz w:val="18"/>
              <w:szCs w:val="18"/>
            </w:rPr>
            <w:t>62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722F3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E422D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E422D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722F3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proofErr w:type="spellStart"/>
          <w:r w:rsidRPr="000722F3">
            <w:rPr>
              <w:i/>
              <w:sz w:val="18"/>
              <w:szCs w:val="18"/>
            </w:rPr>
            <w:t>Chloracne</w:t>
          </w:r>
          <w:proofErr w:type="spellEnd"/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0A429B" w:rsidRPr="000A429B">
            <w:rPr>
              <w:i/>
              <w:sz w:val="18"/>
              <w:szCs w:val="18"/>
            </w:rPr>
            <w:t>62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722F3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E422D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E422D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15C05"/>
    <w:multiLevelType w:val="hybridMultilevel"/>
    <w:tmpl w:val="EE9EC1A0"/>
    <w:lvl w:ilvl="0" w:tplc="9A401A9C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0A243CE"/>
    <w:multiLevelType w:val="hybridMultilevel"/>
    <w:tmpl w:val="EB326FD0"/>
    <w:lvl w:ilvl="0" w:tplc="81728E12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4EBB182C"/>
    <w:multiLevelType w:val="hybridMultilevel"/>
    <w:tmpl w:val="A52058A0"/>
    <w:lvl w:ilvl="0" w:tplc="81728E12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573430C5"/>
    <w:multiLevelType w:val="hybridMultilevel"/>
    <w:tmpl w:val="EE9EC1A0"/>
    <w:lvl w:ilvl="0" w:tplc="9A401A9C">
      <w:start w:val="1"/>
      <w:numFmt w:val="lowerLetter"/>
      <w:lvlText w:val="(%1)"/>
      <w:lvlJc w:val="left"/>
      <w:pPr>
        <w:ind w:left="2138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9"/>
  </w:num>
  <w:num w:numId="23">
    <w:abstractNumId w:val="18"/>
  </w:num>
  <w:num w:numId="24">
    <w:abstractNumId w:val="17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22F3"/>
    <w:rsid w:val="00075F6B"/>
    <w:rsid w:val="00081B7C"/>
    <w:rsid w:val="00085567"/>
    <w:rsid w:val="0008674F"/>
    <w:rsid w:val="00097FDF"/>
    <w:rsid w:val="000A3D68"/>
    <w:rsid w:val="000A429B"/>
    <w:rsid w:val="000A651F"/>
    <w:rsid w:val="000B1350"/>
    <w:rsid w:val="000B58FA"/>
    <w:rsid w:val="000C0521"/>
    <w:rsid w:val="000C21A3"/>
    <w:rsid w:val="000C664A"/>
    <w:rsid w:val="000C6D96"/>
    <w:rsid w:val="000D05EF"/>
    <w:rsid w:val="000D1A75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4F60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26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3DD9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422D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A2E22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0709"/>
    <w:rsid w:val="00793915"/>
    <w:rsid w:val="007A15B1"/>
    <w:rsid w:val="007A3989"/>
    <w:rsid w:val="007B132E"/>
    <w:rsid w:val="007B52F6"/>
    <w:rsid w:val="007C2253"/>
    <w:rsid w:val="007C2CF6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23D4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0F0D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5B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1931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AF460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7C9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2BC2"/>
    <w:rsid w:val="00C738B9"/>
    <w:rsid w:val="00C7573B"/>
    <w:rsid w:val="00C77046"/>
    <w:rsid w:val="00C8472E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07E2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16A03"/>
    <w:rsid w:val="00D32F65"/>
    <w:rsid w:val="00D32F71"/>
    <w:rsid w:val="00D34D66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7653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3AE8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827"/>
    <w:rsid w:val="00E93E6F"/>
    <w:rsid w:val="00E94D5E"/>
    <w:rsid w:val="00EA7100"/>
    <w:rsid w:val="00EA7F9F"/>
    <w:rsid w:val="00EB1274"/>
    <w:rsid w:val="00EB2BC4"/>
    <w:rsid w:val="00EC5521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4387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Revision">
    <w:name w:val="Revision"/>
    <w:hidden/>
    <w:uiPriority w:val="99"/>
    <w:semiHidden/>
    <w:rsid w:val="009A5BB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1351</Words>
  <Characters>7701</Characters>
  <Application>Microsoft Office Word</Application>
  <DocSecurity>0</DocSecurity>
  <PresentationFormat/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2020-03-02T04:24:00Z</dcterms:created>
  <dcterms:modified xsi:type="dcterms:W3CDTF">2020-08-26T05:48:00Z</dcterms:modified>
  <cp:category/>
  <cp:contentStatus/>
  <dc:language/>
  <cp:version/>
</cp:coreProperties>
</file>