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-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715914" w:rsidRPr="00024911" w:rsidRDefault="00866D33" w:rsidP="006647B7">
      <w:pPr>
        <w:pStyle w:val="Plainheader"/>
      </w:pPr>
      <w:r>
        <w:t>ACUTE MYELOID LEUKAEMIA</w:t>
      </w:r>
      <w:r w:rsidR="00997416">
        <w:br/>
      </w:r>
      <w:r w:rsidR="00E55F66" w:rsidRPr="00024911">
        <w:t xml:space="preserve">(No. </w:t>
      </w:r>
      <w:bookmarkStart w:id="1" w:name="BP"/>
      <w:r w:rsidR="003874A1">
        <w:t>17</w:t>
      </w:r>
      <w:bookmarkEnd w:id="1"/>
      <w:r w:rsidR="00E55F66" w:rsidRPr="00024911">
        <w:t xml:space="preserve"> of</w:t>
      </w:r>
      <w:r w:rsidR="00085567">
        <w:t xml:space="preserve"> </w:t>
      </w:r>
      <w:r>
        <w:t>2020</w:t>
      </w:r>
      <w:r w:rsidR="00E55F66"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196B(</w:t>
      </w:r>
      <w:r w:rsidR="00420AD3">
        <w:rPr>
          <w:sz w:val="24"/>
          <w:szCs w:val="24"/>
        </w:rPr>
        <w:t>2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7E771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3874A1">
        <w:t>28 February 2020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FB5A69" w:rsidRDefault="00FB5A69" w:rsidP="0034373D">
            <w:pPr>
              <w:pStyle w:val="Plain"/>
            </w:pPr>
          </w:p>
        </w:tc>
      </w:tr>
      <w:tr w:rsidR="00FB5A69" w:rsidTr="0034373D">
        <w:tc>
          <w:tcPr>
            <w:tcW w:w="4116" w:type="dxa"/>
          </w:tcPr>
          <w:p w:rsidR="00FB5A69" w:rsidRDefault="00970067" w:rsidP="0034373D">
            <w:pPr>
              <w:pStyle w:val="Plain"/>
            </w:pPr>
            <w:r>
              <w:rPr>
                <w:noProof/>
              </w:rPr>
              <w:drawing>
                <wp:inline distT="0" distB="0" distL="0" distR="0" wp14:anchorId="320B27DA" wp14:editId="7104A64A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A69" w:rsidRDefault="00FB5A69" w:rsidP="0034373D">
            <w:pPr>
              <w:pStyle w:val="Plain"/>
            </w:pPr>
          </w:p>
          <w:p w:rsidR="00FB5A69" w:rsidRPr="007527C1" w:rsidRDefault="00FB5A69" w:rsidP="0034373D">
            <w:pPr>
              <w:pStyle w:val="Plain"/>
            </w:pPr>
            <w:r w:rsidRPr="007527C1">
              <w:t>Professor Nicholas Saunders AO</w:t>
            </w:r>
          </w:p>
          <w:p w:rsidR="00FB5A69" w:rsidRDefault="00FB5A69" w:rsidP="0034373D">
            <w:pPr>
              <w:pStyle w:val="Plain"/>
            </w:pPr>
            <w:r w:rsidRPr="007527C1">
              <w:t>Chairperson</w:t>
            </w:r>
          </w:p>
          <w:p w:rsidR="00FB5A69" w:rsidRDefault="00FB5A69" w:rsidP="0034373D"/>
        </w:tc>
      </w:tr>
    </w:tbl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ED630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D630F">
        <w:rPr>
          <w:noProof/>
        </w:rPr>
        <w:t>1</w:t>
      </w:r>
      <w:r w:rsidR="00ED630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D630F">
        <w:rPr>
          <w:noProof/>
        </w:rPr>
        <w:t>Name</w:t>
      </w:r>
      <w:r w:rsidR="00ED630F">
        <w:rPr>
          <w:noProof/>
        </w:rPr>
        <w:tab/>
      </w:r>
      <w:r w:rsidR="00ED630F">
        <w:rPr>
          <w:noProof/>
        </w:rPr>
        <w:fldChar w:fldCharType="begin"/>
      </w:r>
      <w:r w:rsidR="00ED630F">
        <w:rPr>
          <w:noProof/>
        </w:rPr>
        <w:instrText xml:space="preserve"> PAGEREF _Toc517781227 \h </w:instrText>
      </w:r>
      <w:r w:rsidR="00ED630F">
        <w:rPr>
          <w:noProof/>
        </w:rPr>
      </w:r>
      <w:r w:rsidR="00ED630F">
        <w:rPr>
          <w:noProof/>
        </w:rPr>
        <w:fldChar w:fldCharType="separate"/>
      </w:r>
      <w:r w:rsidR="003D6B4D">
        <w:rPr>
          <w:noProof/>
        </w:rPr>
        <w:t>3</w:t>
      </w:r>
      <w:r w:rsidR="00ED630F"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_Toc517781228 \h </w:instrText>
      </w:r>
      <w:r>
        <w:rPr>
          <w:noProof/>
        </w:rPr>
      </w:r>
      <w:r>
        <w:rPr>
          <w:noProof/>
        </w:rPr>
        <w:fldChar w:fldCharType="separate"/>
      </w:r>
      <w:r w:rsidR="003D6B4D">
        <w:rPr>
          <w:noProof/>
        </w:rPr>
        <w:t>3</w:t>
      </w:r>
      <w:r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_Toc517781229 \h </w:instrText>
      </w:r>
      <w:r>
        <w:rPr>
          <w:noProof/>
        </w:rPr>
      </w:r>
      <w:r>
        <w:rPr>
          <w:noProof/>
        </w:rPr>
        <w:fldChar w:fldCharType="separate"/>
      </w:r>
      <w:r w:rsidR="003D6B4D">
        <w:rPr>
          <w:noProof/>
        </w:rPr>
        <w:t>3</w:t>
      </w:r>
      <w:r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_Toc517781230 \h </w:instrText>
      </w:r>
      <w:r>
        <w:rPr>
          <w:noProof/>
        </w:rPr>
      </w:r>
      <w:r>
        <w:rPr>
          <w:noProof/>
        </w:rPr>
        <w:fldChar w:fldCharType="separate"/>
      </w:r>
      <w:r w:rsidR="003D6B4D"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4D0643" w:rsidRDefault="004D0643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3" w:name="_Toc517781227"/>
      <w:r>
        <w:lastRenderedPageBreak/>
        <w:t>Name</w:t>
      </w:r>
      <w:bookmarkEnd w:id="3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866D33">
        <w:rPr>
          <w:i/>
        </w:rPr>
        <w:t>acute myeloid leukaemia</w:t>
      </w:r>
      <w:r w:rsidR="00E55F66" w:rsidRPr="00F97A62">
        <w:t xml:space="preserve"> </w:t>
      </w:r>
      <w:r w:rsidR="00C9342B">
        <w:t>(</w:t>
      </w:r>
      <w:r w:rsidR="00E55F66" w:rsidRPr="00F97A62">
        <w:t xml:space="preserve">No. </w:t>
      </w:r>
      <w:r w:rsidR="003874A1">
        <w:t>17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866D33">
        <w:t>2020</w:t>
      </w:r>
      <w:r w:rsidR="00C9342B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5" w:name="_Toc517781228"/>
      <w:r w:rsidRPr="00684C0E">
        <w:t>Commencement</w:t>
      </w:r>
      <w:bookmarkEnd w:id="5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3874A1">
        <w:t>23 March 2020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6" w:name="_Toc517781229"/>
      <w:r w:rsidRPr="00684C0E">
        <w:t>Authority</w:t>
      </w:r>
      <w:bookmarkEnd w:id="6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>subsections 196B(2) and (8)</w:t>
      </w:r>
      <w:r w:rsidRPr="007527C1">
        <w:t xml:space="preserve"> of the </w:t>
      </w:r>
      <w:r w:rsidRPr="007527C1">
        <w:rPr>
          <w:i/>
        </w:rPr>
        <w:t>Veterans</w:t>
      </w:r>
      <w:r w:rsidR="007E771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7" w:name="_Toc417979035"/>
      <w:bookmarkStart w:id="8" w:name="_Toc517781230"/>
      <w:bookmarkStart w:id="9" w:name="_Ref409687573"/>
      <w:bookmarkStart w:id="10" w:name="_Ref409687579"/>
      <w:bookmarkStart w:id="11" w:name="_Ref409687725"/>
      <w:r>
        <w:t>Amendment</w:t>
      </w:r>
      <w:bookmarkEnd w:id="7"/>
      <w:bookmarkEnd w:id="8"/>
    </w:p>
    <w:p w:rsidR="00420AD3" w:rsidRDefault="00420AD3" w:rsidP="00CC2B3F">
      <w:pPr>
        <w:pStyle w:val="PlainIndent"/>
      </w:pPr>
      <w:bookmarkStart w:id="12" w:name="_Ref403053584"/>
      <w:bookmarkEnd w:id="9"/>
      <w:bookmarkEnd w:id="10"/>
      <w:bookmarkEnd w:id="11"/>
      <w:r>
        <w:t>The</w:t>
      </w:r>
      <w:r w:rsidRPr="00D5620B">
        <w:t xml:space="preserve"> </w:t>
      </w:r>
      <w:bookmarkEnd w:id="12"/>
      <w:r w:rsidR="007A72EF">
        <w:t xml:space="preserve">Statement of Principles concerning </w:t>
      </w:r>
      <w:r w:rsidR="005021CE" w:rsidRPr="00E0149F">
        <w:rPr>
          <w:i/>
        </w:rPr>
        <w:t>acute myeloid leukaemia</w:t>
      </w:r>
      <w:r w:rsidR="007A72EF">
        <w:t xml:space="preserve"> </w:t>
      </w:r>
      <w:r w:rsidR="00C9342B">
        <w:t>(</w:t>
      </w:r>
      <w:r w:rsidR="007A72EF">
        <w:t xml:space="preserve">No. </w:t>
      </w:r>
      <w:r w:rsidR="00866D33">
        <w:t>71</w:t>
      </w:r>
      <w:r w:rsidR="007A72EF">
        <w:t xml:space="preserve"> of </w:t>
      </w:r>
      <w:r w:rsidR="00866D33">
        <w:t>2015</w:t>
      </w:r>
      <w:r w:rsidR="00C9342B">
        <w:t>)</w:t>
      </w:r>
      <w:r w:rsidR="007A72EF">
        <w:t xml:space="preserve"> </w:t>
      </w:r>
      <w:r w:rsidR="00B25E8D">
        <w:t xml:space="preserve">(Federal Register of </w:t>
      </w:r>
      <w:r w:rsidR="00B25E8D" w:rsidRPr="00866D33">
        <w:t xml:space="preserve">Legislation No. </w:t>
      </w:r>
      <w:r w:rsidR="00866D33" w:rsidRPr="00866D33">
        <w:t>F2015L00903</w:t>
      </w:r>
      <w:r w:rsidR="00B25E8D" w:rsidRPr="00866D33">
        <w:t>)</w:t>
      </w:r>
      <w:r w:rsidRPr="00866D33">
        <w:t xml:space="preserve"> is</w:t>
      </w:r>
      <w:r>
        <w:t xml:space="preserve">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5898"/>
      </w:tblGrid>
      <w:tr w:rsidR="00420AD3" w:rsidTr="00966B89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898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1D3EA4" w:rsidTr="00966B89">
        <w:tc>
          <w:tcPr>
            <w:tcW w:w="1559" w:type="dxa"/>
          </w:tcPr>
          <w:p w:rsidR="001D3EA4" w:rsidRPr="00B33F5C" w:rsidRDefault="001D3EA4" w:rsidP="00833036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</w:t>
            </w:r>
            <w:r w:rsidR="00966B89">
              <w:rPr>
                <w:i/>
              </w:rPr>
              <w:t>1</w:t>
            </w:r>
            <w:r w:rsidR="00833036">
              <w:rPr>
                <w:i/>
              </w:rPr>
              <w:t>3</w:t>
            </w:r>
            <w:r w:rsidR="00966B89">
              <w:rPr>
                <w:i/>
              </w:rPr>
              <w:t>a</w:t>
            </w:r>
            <w:r>
              <w:rPr>
                <w:i/>
              </w:rPr>
              <w:t>)</w:t>
            </w:r>
          </w:p>
        </w:tc>
        <w:tc>
          <w:tcPr>
            <w:tcW w:w="5898" w:type="dxa"/>
          </w:tcPr>
          <w:p w:rsidR="001D3EA4" w:rsidRPr="00E910AC" w:rsidRDefault="00866D33" w:rsidP="001D3EA4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  <w:r w:rsidRPr="00866D33">
              <w:rPr>
                <w:i/>
                <w:sz w:val="24"/>
                <w:szCs w:val="24"/>
              </w:rPr>
              <w:t>Insert the following factor in subsection 9(</w:t>
            </w:r>
            <w:r w:rsidR="00966B89">
              <w:rPr>
                <w:i/>
                <w:sz w:val="24"/>
                <w:szCs w:val="24"/>
              </w:rPr>
              <w:t>1</w:t>
            </w:r>
            <w:r w:rsidR="00072DDD">
              <w:rPr>
                <w:i/>
                <w:sz w:val="24"/>
                <w:szCs w:val="24"/>
              </w:rPr>
              <w:t>3</w:t>
            </w:r>
            <w:r w:rsidRPr="00866D33">
              <w:rPr>
                <w:i/>
                <w:sz w:val="24"/>
                <w:szCs w:val="24"/>
              </w:rPr>
              <w:t>a)</w:t>
            </w:r>
            <w:r w:rsidRPr="00866D33">
              <w:rPr>
                <w:sz w:val="24"/>
                <w:szCs w:val="24"/>
              </w:rPr>
              <w:t>:</w:t>
            </w:r>
          </w:p>
          <w:p w:rsidR="001D3EA4" w:rsidRPr="00E910AC" w:rsidRDefault="00966B89" w:rsidP="001D3EA4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>
              <w:t xml:space="preserve">inhaling, ingesting or having cutaneous contact with </w:t>
            </w:r>
            <w:proofErr w:type="spellStart"/>
            <w:r>
              <w:t>dieldrin</w:t>
            </w:r>
            <w:proofErr w:type="spellEnd"/>
            <w:r>
              <w:t xml:space="preserve"> or </w:t>
            </w:r>
            <w:proofErr w:type="spellStart"/>
            <w:r>
              <w:t>aldrin</w:t>
            </w:r>
            <w:proofErr w:type="spellEnd"/>
            <w:r>
              <w:t xml:space="preserve"> for a cumulative period of at least 1 000 hours before the clinical onset of acute myeloid leukaemia, where the first exposure to </w:t>
            </w:r>
            <w:proofErr w:type="spellStart"/>
            <w:r>
              <w:t>dieldrin</w:t>
            </w:r>
            <w:proofErr w:type="spellEnd"/>
            <w:r>
              <w:t xml:space="preserve"> </w:t>
            </w:r>
            <w:r w:rsidR="00EF036F">
              <w:t xml:space="preserve">or </w:t>
            </w:r>
            <w:proofErr w:type="spellStart"/>
            <w:r w:rsidR="00EF036F">
              <w:t>aldrin</w:t>
            </w:r>
            <w:proofErr w:type="spellEnd"/>
            <w:r w:rsidR="00EF036F">
              <w:t xml:space="preserve"> </w:t>
            </w:r>
            <w:r>
              <w:t>occurred at least five years before the clinical onset of acute myeloid leukaemia;</w:t>
            </w:r>
            <w:r w:rsidR="001D3EA4" w:rsidRPr="00E910AC">
              <w:rPr>
                <w:rFonts w:cs="Arial"/>
                <w:sz w:val="24"/>
                <w:szCs w:val="24"/>
              </w:rPr>
              <w:t xml:space="preserve"> </w:t>
            </w:r>
          </w:p>
          <w:p w:rsidR="001D3EA4" w:rsidRDefault="001D3EA4" w:rsidP="00966B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</w:rPr>
            </w:pPr>
          </w:p>
        </w:tc>
      </w:tr>
      <w:tr w:rsidR="00420AD3" w:rsidTr="00966B89">
        <w:tc>
          <w:tcPr>
            <w:tcW w:w="1559" w:type="dxa"/>
          </w:tcPr>
          <w:p w:rsidR="00420AD3" w:rsidRPr="000C1872" w:rsidRDefault="00966B89" w:rsidP="00833036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9(1</w:t>
            </w:r>
            <w:r w:rsidR="00833036">
              <w:rPr>
                <w:i/>
              </w:rPr>
              <w:t>3</w:t>
            </w:r>
            <w:r>
              <w:rPr>
                <w:i/>
              </w:rPr>
              <w:t>b)</w:t>
            </w:r>
          </w:p>
        </w:tc>
        <w:tc>
          <w:tcPr>
            <w:tcW w:w="5898" w:type="dxa"/>
          </w:tcPr>
          <w:p w:rsidR="00420AD3" w:rsidRDefault="00966B89" w:rsidP="001D3EA4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</w:pPr>
            <w:r w:rsidRPr="00866D33">
              <w:rPr>
                <w:i/>
              </w:rPr>
              <w:t>Insert the following factor in subsection 9(</w:t>
            </w:r>
            <w:r>
              <w:rPr>
                <w:i/>
              </w:rPr>
              <w:t>1</w:t>
            </w:r>
            <w:r w:rsidR="00072DDD">
              <w:rPr>
                <w:i/>
              </w:rPr>
              <w:t>3</w:t>
            </w:r>
            <w:r>
              <w:rPr>
                <w:i/>
              </w:rPr>
              <w:t>b</w:t>
            </w:r>
            <w:r w:rsidRPr="00866D33">
              <w:rPr>
                <w:i/>
              </w:rPr>
              <w:t>)</w:t>
            </w:r>
            <w:r w:rsidRPr="00866D33">
              <w:t>:</w:t>
            </w:r>
          </w:p>
          <w:p w:rsidR="001D3EA4" w:rsidRDefault="00966B89" w:rsidP="002664A2">
            <w:pPr>
              <w:pStyle w:val="Plain"/>
              <w:tabs>
                <w:tab w:val="clear" w:pos="567"/>
                <w:tab w:val="left" w:pos="1944"/>
              </w:tabs>
              <w:spacing w:line="240" w:lineRule="atLeast"/>
            </w:pPr>
            <w:r>
              <w:t xml:space="preserve">inhaling, ingesting or having cutaneous contact with </w:t>
            </w:r>
            <w:proofErr w:type="spellStart"/>
            <w:r>
              <w:t>diazinon</w:t>
            </w:r>
            <w:proofErr w:type="spellEnd"/>
            <w:r>
              <w:t xml:space="preserve"> for a cumulative period of at least 1 000 hours before the clinical onset of acute myeloid leukaemia, where the first exposure to </w:t>
            </w:r>
            <w:proofErr w:type="spellStart"/>
            <w:r>
              <w:t>diazinon</w:t>
            </w:r>
            <w:proofErr w:type="spellEnd"/>
            <w:r>
              <w:t xml:space="preserve"> occurred at least five years before the clinical onset of acute myeloid leukaemia;</w:t>
            </w:r>
          </w:p>
          <w:p w:rsidR="002664A2" w:rsidRPr="002664A2" w:rsidRDefault="002664A2" w:rsidP="002664A2">
            <w:pPr>
              <w:pStyle w:val="Plain"/>
              <w:tabs>
                <w:tab w:val="clear" w:pos="567"/>
                <w:tab w:val="left" w:pos="1944"/>
              </w:tabs>
              <w:spacing w:line="240" w:lineRule="atLeast"/>
            </w:pP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10"/>
          <w:headerReference w:type="first" r:id="rId11"/>
          <w:footerReference w:type="first" r:id="rId12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866D33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Acute Myeloid Leukaemia</w:t>
          </w:r>
          <w:r w:rsidR="00935988">
            <w:rPr>
              <w:i/>
              <w:sz w:val="18"/>
              <w:szCs w:val="18"/>
            </w:rPr>
            <w:t xml:space="preserve"> </w:t>
          </w:r>
          <w:r w:rsidR="00C9342B">
            <w:rPr>
              <w:i/>
              <w:sz w:val="18"/>
              <w:szCs w:val="18"/>
            </w:rPr>
            <w:t>(</w:t>
          </w:r>
          <w:r w:rsidR="00935988" w:rsidRPr="007C5CE0">
            <w:rPr>
              <w:i/>
              <w:sz w:val="18"/>
            </w:rPr>
            <w:t xml:space="preserve">No. </w:t>
          </w:r>
          <w:r w:rsidR="003874A1">
            <w:rPr>
              <w:i/>
              <w:sz w:val="18"/>
            </w:rPr>
            <w:t>17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2020</w:t>
          </w:r>
          <w:r w:rsidR="00C9342B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A0C73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A0C73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935988" w:rsidRDefault="00F03C06" w:rsidP="009359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866D33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Acute Myeloid Leukaemia </w:t>
          </w:r>
          <w:r w:rsidR="00C9342B">
            <w:rPr>
              <w:i/>
              <w:sz w:val="18"/>
              <w:szCs w:val="18"/>
            </w:rPr>
            <w:t>(</w:t>
          </w:r>
          <w:r w:rsidR="00935988" w:rsidRPr="007C5CE0">
            <w:rPr>
              <w:i/>
              <w:sz w:val="18"/>
            </w:rPr>
            <w:t xml:space="preserve">No. </w:t>
          </w:r>
          <w:r w:rsidR="003874A1">
            <w:rPr>
              <w:i/>
              <w:sz w:val="18"/>
            </w:rPr>
            <w:t>17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2020</w:t>
          </w:r>
          <w:r w:rsidR="00C9342B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A0C7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A0C73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935988" w:rsidRDefault="007F2378" w:rsidP="009359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D507DA" w:rsidRDefault="00885EAB" w:rsidP="00D507D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935988" w:rsidRDefault="00885EAB" w:rsidP="009359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C9" w:rsidRPr="00FB5A69" w:rsidRDefault="005B0EC9" w:rsidP="00FB5A69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935988" w:rsidRDefault="00885EAB" w:rsidP="009359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935988" w:rsidRDefault="00885EAB" w:rsidP="0093598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72DDD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C7136"/>
    <w:rsid w:val="000D05EF"/>
    <w:rsid w:val="000D4D03"/>
    <w:rsid w:val="000D77A5"/>
    <w:rsid w:val="000E2261"/>
    <w:rsid w:val="000E4183"/>
    <w:rsid w:val="000F21C1"/>
    <w:rsid w:val="000F76FA"/>
    <w:rsid w:val="001002BA"/>
    <w:rsid w:val="00101F89"/>
    <w:rsid w:val="001058EA"/>
    <w:rsid w:val="0010745C"/>
    <w:rsid w:val="00113FB2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435D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0C73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874A1"/>
    <w:rsid w:val="003A189F"/>
    <w:rsid w:val="003A2FFE"/>
    <w:rsid w:val="003A5C26"/>
    <w:rsid w:val="003B3E42"/>
    <w:rsid w:val="003C4C02"/>
    <w:rsid w:val="003C6231"/>
    <w:rsid w:val="003C7C41"/>
    <w:rsid w:val="003D0BFE"/>
    <w:rsid w:val="003D380A"/>
    <w:rsid w:val="003D5700"/>
    <w:rsid w:val="003D6B4D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0643"/>
    <w:rsid w:val="004D10CF"/>
    <w:rsid w:val="004D4BCA"/>
    <w:rsid w:val="004E063A"/>
    <w:rsid w:val="004E7BEC"/>
    <w:rsid w:val="004F23E0"/>
    <w:rsid w:val="005021CE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0EC9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4EF8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A72EF"/>
    <w:rsid w:val="007B132E"/>
    <w:rsid w:val="007C2253"/>
    <w:rsid w:val="007C5CE0"/>
    <w:rsid w:val="007C7DEE"/>
    <w:rsid w:val="007D3BA2"/>
    <w:rsid w:val="007E163D"/>
    <w:rsid w:val="007E667A"/>
    <w:rsid w:val="007E771F"/>
    <w:rsid w:val="007F2378"/>
    <w:rsid w:val="007F28C9"/>
    <w:rsid w:val="00803587"/>
    <w:rsid w:val="00806368"/>
    <w:rsid w:val="008117E9"/>
    <w:rsid w:val="00824498"/>
    <w:rsid w:val="008321ED"/>
    <w:rsid w:val="00832C32"/>
    <w:rsid w:val="00833036"/>
    <w:rsid w:val="00842EA3"/>
    <w:rsid w:val="00850A63"/>
    <w:rsid w:val="0085384C"/>
    <w:rsid w:val="00856A31"/>
    <w:rsid w:val="0086644D"/>
    <w:rsid w:val="00866D33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5988"/>
    <w:rsid w:val="00941893"/>
    <w:rsid w:val="00947D5A"/>
    <w:rsid w:val="009532A5"/>
    <w:rsid w:val="00956922"/>
    <w:rsid w:val="009612CF"/>
    <w:rsid w:val="00966B89"/>
    <w:rsid w:val="00970067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5E8D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42B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7039"/>
    <w:rsid w:val="00CD7B88"/>
    <w:rsid w:val="00CE051D"/>
    <w:rsid w:val="00CE1335"/>
    <w:rsid w:val="00CE493D"/>
    <w:rsid w:val="00CE5D85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07DA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149F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D630F"/>
    <w:rsid w:val="00EE22CB"/>
    <w:rsid w:val="00EF036F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5A69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4AD1B-4558-4DBA-B51D-77E7DC03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1669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2019-12-09T00:18:00Z</dcterms:created>
  <dcterms:modified xsi:type="dcterms:W3CDTF">2020-02-25T01:59:00Z</dcterms:modified>
  <cp:category/>
  <cp:contentStatus/>
  <dc:language/>
  <cp:version/>
</cp:coreProperties>
</file>