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0E2EDA" w:rsidP="006647B7">
      <w:pPr>
        <w:pStyle w:val="Plainheader"/>
      </w:pPr>
      <w:bookmarkStart w:id="1" w:name="SoP_Name_Title"/>
      <w:r>
        <w:t xml:space="preserve">COELIAC </w:t>
      </w:r>
      <w:proofErr w:type="gramStart"/>
      <w:r>
        <w:t>DISEASE</w:t>
      </w:r>
      <w:bookmarkEnd w:id="1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8D3343">
        <w:t>29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0E2EDA">
        <w:t>2020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  <w:r w:rsidR="00B81DDB">
        <w:rPr>
          <w:sz w:val="24"/>
          <w:szCs w:val="24"/>
        </w:rPr>
        <w:t xml:space="preserve"> 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C6138C">
        <w:rPr>
          <w:b w:val="0"/>
        </w:rPr>
        <w:t>24 April 2020</w:t>
      </w:r>
      <w:r w:rsidR="00714605">
        <w:rPr>
          <w:b w:val="0"/>
        </w:rPr>
        <w:t xml:space="preserve"> 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511AAB" w:rsidP="00781DD2">
            <w:pPr>
              <w:pStyle w:val="Plain"/>
              <w:spacing w:before="0"/>
              <w:ind w:left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72A1B780" wp14:editId="410993D3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C6138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6138C">
        <w:rPr>
          <w:noProof/>
        </w:rPr>
        <w:t>1</w:t>
      </w:r>
      <w:r w:rsidR="00C6138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6138C">
        <w:rPr>
          <w:noProof/>
        </w:rPr>
        <w:t>Name</w:t>
      </w:r>
      <w:r w:rsidR="00C6138C">
        <w:rPr>
          <w:noProof/>
        </w:rPr>
        <w:tab/>
      </w:r>
      <w:r w:rsidR="00C6138C">
        <w:rPr>
          <w:noProof/>
        </w:rPr>
        <w:fldChar w:fldCharType="begin"/>
      </w:r>
      <w:r w:rsidR="00C6138C">
        <w:rPr>
          <w:noProof/>
        </w:rPr>
        <w:instrText xml:space="preserve"> PAGEREF _Toc35521703 \h </w:instrText>
      </w:r>
      <w:r w:rsidR="00C6138C">
        <w:rPr>
          <w:noProof/>
        </w:rPr>
      </w:r>
      <w:r w:rsidR="00C6138C">
        <w:rPr>
          <w:noProof/>
        </w:rPr>
        <w:fldChar w:fldCharType="separate"/>
      </w:r>
      <w:r w:rsidR="00511AAB">
        <w:rPr>
          <w:noProof/>
        </w:rPr>
        <w:t>3</w:t>
      </w:r>
      <w:r w:rsidR="00C6138C">
        <w:rPr>
          <w:noProof/>
        </w:rPr>
        <w:fldChar w:fldCharType="end"/>
      </w:r>
    </w:p>
    <w:p w:rsidR="00C6138C" w:rsidRDefault="00C6138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_Toc35521704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3</w:t>
      </w:r>
      <w:r>
        <w:rPr>
          <w:noProof/>
        </w:rPr>
        <w:fldChar w:fldCharType="end"/>
      </w:r>
    </w:p>
    <w:p w:rsidR="00C6138C" w:rsidRDefault="00C6138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_Toc35521705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3</w:t>
      </w:r>
      <w:r>
        <w:rPr>
          <w:noProof/>
        </w:rPr>
        <w:fldChar w:fldCharType="end"/>
      </w:r>
    </w:p>
    <w:p w:rsidR="00C6138C" w:rsidRDefault="00C6138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_Toc35521706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3</w:t>
      </w:r>
      <w:r>
        <w:rPr>
          <w:noProof/>
        </w:rPr>
        <w:fldChar w:fldCharType="end"/>
      </w:r>
    </w:p>
    <w:p w:rsidR="00C6138C" w:rsidRDefault="00C6138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_Toc35521707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3</w:t>
      </w:r>
      <w:r>
        <w:rPr>
          <w:noProof/>
        </w:rPr>
        <w:fldChar w:fldCharType="end"/>
      </w:r>
    </w:p>
    <w:p w:rsidR="00C6138C" w:rsidRDefault="00C6138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_Toc35521708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3</w:t>
      </w:r>
      <w:r>
        <w:rPr>
          <w:noProof/>
        </w:rPr>
        <w:fldChar w:fldCharType="end"/>
      </w:r>
    </w:p>
    <w:p w:rsidR="00C6138C" w:rsidRDefault="00C6138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_Toc35521709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3</w:t>
      </w:r>
      <w:r>
        <w:rPr>
          <w:noProof/>
        </w:rPr>
        <w:fldChar w:fldCharType="end"/>
      </w:r>
    </w:p>
    <w:p w:rsidR="00C6138C" w:rsidRDefault="00C6138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_Toc35521710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4</w:t>
      </w:r>
      <w:r>
        <w:rPr>
          <w:noProof/>
        </w:rPr>
        <w:fldChar w:fldCharType="end"/>
      </w:r>
    </w:p>
    <w:p w:rsidR="00C6138C" w:rsidRDefault="00C6138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_Toc35521711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4</w:t>
      </w:r>
      <w:r>
        <w:rPr>
          <w:noProof/>
        </w:rPr>
        <w:fldChar w:fldCharType="end"/>
      </w:r>
    </w:p>
    <w:p w:rsidR="00C6138C" w:rsidRDefault="00C6138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_Toc35521712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5</w:t>
      </w:r>
      <w:r>
        <w:rPr>
          <w:noProof/>
        </w:rPr>
        <w:fldChar w:fldCharType="end"/>
      </w:r>
    </w:p>
    <w:p w:rsidR="00C6138C" w:rsidRDefault="00C6138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_Toc35521713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5</w:t>
      </w:r>
      <w:r>
        <w:rPr>
          <w:noProof/>
        </w:rPr>
        <w:fldChar w:fldCharType="end"/>
      </w:r>
    </w:p>
    <w:p w:rsidR="00C6138C" w:rsidRDefault="00C6138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_Toc35521714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6</w:t>
      </w:r>
      <w:r>
        <w:rPr>
          <w:noProof/>
        </w:rPr>
        <w:fldChar w:fldCharType="end"/>
      </w:r>
    </w:p>
    <w:p w:rsidR="00C6138C" w:rsidRDefault="00C6138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_Toc35521715 \h </w:instrText>
      </w:r>
      <w:r>
        <w:rPr>
          <w:noProof/>
        </w:rPr>
      </w:r>
      <w:r>
        <w:rPr>
          <w:noProof/>
        </w:rPr>
        <w:fldChar w:fldCharType="separate"/>
      </w:r>
      <w:r w:rsidR="00511AAB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253D7C">
      <w:pPr>
        <w:pStyle w:val="LV1"/>
      </w:pPr>
      <w:bookmarkStart w:id="5" w:name="_Toc35521703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E2EDA">
        <w:rPr>
          <w:i/>
        </w:rPr>
        <w:t>coeliac disease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8D3343">
        <w:t>29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E2EDA">
        <w:t>2020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35521704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>This instrument commences on</w:t>
      </w:r>
      <w:r w:rsidR="00C6138C">
        <w:t xml:space="preserve"> 25 May 2020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35521705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35521706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E2EDA" w:rsidRPr="000E2EDA">
        <w:t>coeliac disease</w:t>
      </w:r>
      <w:r w:rsidRPr="00DA3996">
        <w:t xml:space="preserve"> No. </w:t>
      </w:r>
      <w:r w:rsidR="000E2EDA">
        <w:t>1</w:t>
      </w:r>
      <w:r w:rsidRPr="00DA3996">
        <w:t xml:space="preserve"> of </w:t>
      </w:r>
      <w:r w:rsidR="000E2EDA">
        <w:t>2011</w:t>
      </w:r>
      <w:r w:rsidR="005962C4">
        <w:t xml:space="preserve"> </w:t>
      </w:r>
      <w:r w:rsidR="005962C4" w:rsidRPr="00786DAE">
        <w:t xml:space="preserve">(Federal Register of Legislation No. </w:t>
      </w:r>
      <w:r w:rsidR="000E2EDA" w:rsidRPr="000E2EDA">
        <w:t>F2010L03248</w:t>
      </w:r>
      <w:r w:rsidR="005962C4" w:rsidRPr="00786DAE">
        <w:t xml:space="preserve">) </w:t>
      </w:r>
      <w:r w:rsidR="005962C4" w:rsidRPr="00DA3996">
        <w:t xml:space="preserve">made under subsection </w:t>
      </w:r>
      <w:proofErr w:type="gramStart"/>
      <w:r w:rsidR="005962C4" w:rsidRPr="00DA3996">
        <w:t>196B(</w:t>
      </w:r>
      <w:proofErr w:type="gramEnd"/>
      <w:r w:rsidR="005962C4" w:rsidRPr="00DA3996">
        <w:t xml:space="preserve">2)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35521707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35521708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3552170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0E2EDA" w:rsidRPr="000E2EDA">
        <w:t>coeliac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E2EDA" w:rsidRPr="000E2EDA">
        <w:t>coeliac disease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0E2EDA" w:rsidRPr="000E2EDA">
        <w:rPr>
          <w:b/>
        </w:rPr>
        <w:t>coeliac disease</w:t>
      </w:r>
    </w:p>
    <w:p w:rsidR="002716E4" w:rsidRPr="00237BAF" w:rsidRDefault="007C7DEE" w:rsidP="00253D7C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0E2EDA" w:rsidRPr="000E2EDA">
        <w:t>coeliac disease</w:t>
      </w:r>
      <w:r w:rsidR="002716E4" w:rsidRPr="00237BAF">
        <w:t>:</w:t>
      </w:r>
      <w:bookmarkEnd w:id="19"/>
    </w:p>
    <w:bookmarkEnd w:id="20"/>
    <w:p w:rsidR="000E2EDA" w:rsidRDefault="000E2EDA" w:rsidP="000E2EDA">
      <w:pPr>
        <w:pStyle w:val="LV3"/>
      </w:pPr>
      <w:r>
        <w:t>means a malabsorption disorder in susceptible people due to immune</w:t>
      </w:r>
      <w:r w:rsidR="00577165">
        <w:t>-</w:t>
      </w:r>
      <w:r>
        <w:t>mediated mucosal inflammation of the small intestine</w:t>
      </w:r>
      <w:r w:rsidR="00577165">
        <w:t>,</w:t>
      </w:r>
      <w:r>
        <w:t xml:space="preserve"> characterised by villous atrophy and crypt hyperplasia, and triggered by hypersensitivity to ingested gluten; and</w:t>
      </w:r>
    </w:p>
    <w:p w:rsidR="00C70A89" w:rsidRDefault="000E2EDA" w:rsidP="000E2EDA">
      <w:pPr>
        <w:pStyle w:val="LV3"/>
      </w:pPr>
      <w:r>
        <w:t>excludes</w:t>
      </w:r>
      <w:r w:rsidR="00C70A89">
        <w:t>:</w:t>
      </w:r>
    </w:p>
    <w:p w:rsidR="00C70A89" w:rsidRDefault="000E2EDA" w:rsidP="00C70A89">
      <w:pPr>
        <w:pStyle w:val="LV4"/>
        <w:ind w:left="2552"/>
      </w:pPr>
      <w:r>
        <w:t>non-coeliac gluten sensitivity</w:t>
      </w:r>
      <w:r w:rsidR="00C70A89">
        <w:t>;</w:t>
      </w:r>
      <w:r>
        <w:t xml:space="preserve"> </w:t>
      </w:r>
    </w:p>
    <w:p w:rsidR="00C70A89" w:rsidRDefault="000E2EDA" w:rsidP="00C70A89">
      <w:pPr>
        <w:pStyle w:val="LV4"/>
        <w:ind w:left="2552"/>
      </w:pPr>
      <w:r>
        <w:t>non-coeliac wheat protein sensitivity</w:t>
      </w:r>
      <w:r w:rsidR="00C70A89">
        <w:t>;</w:t>
      </w:r>
      <w:r>
        <w:t xml:space="preserve"> and </w:t>
      </w:r>
    </w:p>
    <w:p w:rsidR="00253D7C" w:rsidRDefault="000E2EDA" w:rsidP="00C70A89">
      <w:pPr>
        <w:pStyle w:val="LV4"/>
        <w:ind w:left="2552"/>
      </w:pPr>
      <w:proofErr w:type="gramStart"/>
      <w:r>
        <w:t>wheat</w:t>
      </w:r>
      <w:proofErr w:type="gramEnd"/>
      <w:r>
        <w:t xml:space="preserve"> allergy.</w:t>
      </w:r>
    </w:p>
    <w:p w:rsidR="00253D7C" w:rsidRDefault="00253D7C" w:rsidP="000E2EDA">
      <w:pPr>
        <w:pStyle w:val="Note1"/>
        <w:ind w:left="2552" w:hanging="567"/>
      </w:pPr>
      <w:r w:rsidRPr="00C15950">
        <w:t>Note</w:t>
      </w:r>
      <w:r w:rsidR="000E2EDA">
        <w:t xml:space="preserve"> 1</w:t>
      </w:r>
      <w:r w:rsidRPr="00C15950">
        <w:t xml:space="preserve">: </w:t>
      </w:r>
      <w:r w:rsidR="000E2EDA" w:rsidRPr="000E2EDA">
        <w:t>Coeliac disease is associated with autoantibodies to tissue transglutaminase (</w:t>
      </w:r>
      <w:proofErr w:type="spellStart"/>
      <w:r w:rsidR="000E2EDA" w:rsidRPr="000E2EDA">
        <w:t>tTG</w:t>
      </w:r>
      <w:proofErr w:type="spellEnd"/>
      <w:r w:rsidR="000E2EDA" w:rsidRPr="000E2EDA">
        <w:t>-IgA) and to endomysium (EMA-IgA).</w:t>
      </w:r>
    </w:p>
    <w:p w:rsidR="000E2EDA" w:rsidRPr="00C15950" w:rsidRDefault="000E2EDA" w:rsidP="000E2EDA">
      <w:pPr>
        <w:pStyle w:val="Note1"/>
        <w:ind w:left="2552" w:hanging="567"/>
      </w:pPr>
      <w:r w:rsidRPr="000E2EDA">
        <w:lastRenderedPageBreak/>
        <w:t xml:space="preserve">Note 2: Coeliac disease is characterised by other gastrointestinal manifestations in addition to malabsorption, and by </w:t>
      </w:r>
      <w:proofErr w:type="spellStart"/>
      <w:r w:rsidRPr="000E2EDA">
        <w:t>extraintestinal</w:t>
      </w:r>
      <w:proofErr w:type="spellEnd"/>
      <w:r w:rsidRPr="000E2EDA">
        <w:t xml:space="preserve"> manifestations involving a wide range of organ systems.</w:t>
      </w:r>
    </w:p>
    <w:p w:rsidR="008F572A" w:rsidRPr="00237BAF" w:rsidRDefault="008F572A" w:rsidP="000E2EDA">
      <w:pPr>
        <w:pStyle w:val="LV2"/>
      </w:pPr>
      <w:r w:rsidRPr="00237BAF">
        <w:t xml:space="preserve">While </w:t>
      </w:r>
      <w:r w:rsidR="000E2EDA" w:rsidRPr="000E2EDA">
        <w:t>coeliac disease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0E2EDA" w:rsidRPr="000E2EDA">
        <w:t>K90.0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0E2EDA" w:rsidRPr="000E2EDA">
        <w:t>coeliac disease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0E2EDA" w:rsidRPr="000E2EDA">
        <w:rPr>
          <w:b/>
        </w:rPr>
        <w:t>coeliac disease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E2EDA" w:rsidRPr="000E2EDA">
        <w:t>coeliac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0E2EDA" w:rsidRPr="000E2EDA">
        <w:t>coeliac disease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35521710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0E2EDA" w:rsidRPr="000E2EDA">
        <w:t>coeliac disease</w:t>
      </w:r>
      <w:r>
        <w:t xml:space="preserve"> </w:t>
      </w:r>
      <w:r w:rsidRPr="00D5620B">
        <w:t>and death from</w:t>
      </w:r>
      <w:r>
        <w:t xml:space="preserve"> </w:t>
      </w:r>
      <w:r w:rsidR="000E2EDA" w:rsidRPr="000E2EDA">
        <w:t>coeliac disease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35521711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0E2EDA" w:rsidRPr="000E2EDA">
        <w:t>coeliac disease</w:t>
      </w:r>
      <w:r w:rsidR="007A3989">
        <w:t xml:space="preserve"> </w:t>
      </w:r>
      <w:r w:rsidR="007C7DEE" w:rsidRPr="00AA6D8B">
        <w:t xml:space="preserve">or death from </w:t>
      </w:r>
      <w:r w:rsidR="000E2EDA" w:rsidRPr="000E2EDA">
        <w:t>coeliac disease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253D7C" w:rsidRPr="008D1B8B" w:rsidRDefault="000E2EDA" w:rsidP="000E2EDA">
      <w:pPr>
        <w:pStyle w:val="LV2"/>
      </w:pPr>
      <w:bookmarkStart w:id="27" w:name="_Ref402530260"/>
      <w:bookmarkStart w:id="28" w:name="_Ref409598844"/>
      <w:r w:rsidRPr="000E2EDA">
        <w:t>being treated with interferon alpha within the six months before the clinical worsening of coeliac disease;</w:t>
      </w:r>
    </w:p>
    <w:p w:rsidR="000E2EDA" w:rsidRDefault="000E2EDA" w:rsidP="000E2EDA">
      <w:pPr>
        <w:pStyle w:val="LV2"/>
      </w:pPr>
      <w:r w:rsidRPr="000E2EDA">
        <w:t>being treated with ribavirin within the six months before the clinical worsening of coeliac disease;</w:t>
      </w:r>
    </w:p>
    <w:p w:rsidR="000E2EDA" w:rsidRDefault="000E2EDA" w:rsidP="000E2EDA">
      <w:pPr>
        <w:pStyle w:val="LV2"/>
      </w:pPr>
      <w:r w:rsidRPr="000E2EDA">
        <w:t xml:space="preserve">being treated with </w:t>
      </w:r>
      <w:r>
        <w:t xml:space="preserve">a </w:t>
      </w:r>
      <w:r w:rsidRPr="000E2EDA">
        <w:t xml:space="preserve">proton pump inhibitor or </w:t>
      </w:r>
      <w:r>
        <w:t xml:space="preserve">a </w:t>
      </w:r>
      <w:r w:rsidRPr="000E2EDA">
        <w:t xml:space="preserve">histamine-2 receptor antagonist, on more days than not, for </w:t>
      </w:r>
      <w:r w:rsidR="00F2593E">
        <w:t xml:space="preserve">at least </w:t>
      </w:r>
      <w:r w:rsidRPr="000E2EDA">
        <w:t>the six months before the clinical worsening of coeliac disease;</w:t>
      </w:r>
    </w:p>
    <w:p w:rsidR="000E2EDA" w:rsidRDefault="000E2EDA" w:rsidP="000E2EDA">
      <w:pPr>
        <w:pStyle w:val="Note2"/>
        <w:ind w:left="1985" w:hanging="567"/>
      </w:pPr>
      <w:r w:rsidRPr="000E2EDA">
        <w:t xml:space="preserve">Note 1: Examples of proton pump inhibitors include esomeprazole, lansoprazole, omeprazole, pantoprazole and </w:t>
      </w:r>
      <w:proofErr w:type="spellStart"/>
      <w:r w:rsidRPr="000E2EDA">
        <w:t>rabeprazole</w:t>
      </w:r>
      <w:proofErr w:type="spellEnd"/>
      <w:r w:rsidRPr="000E2EDA">
        <w:t>.</w:t>
      </w:r>
    </w:p>
    <w:p w:rsidR="000E2EDA" w:rsidRDefault="000E2EDA" w:rsidP="000E2EDA">
      <w:pPr>
        <w:pStyle w:val="Note2"/>
        <w:ind w:left="1985" w:hanging="567"/>
      </w:pPr>
      <w:r w:rsidRPr="000E2EDA">
        <w:t>Note 2: Examples of histamine-</w:t>
      </w:r>
      <w:r w:rsidR="00C70A89">
        <w:t xml:space="preserve">2 receptor antagonists include </w:t>
      </w:r>
      <w:r w:rsidRPr="000E2EDA">
        <w:t xml:space="preserve">cimetidine, famotidine, </w:t>
      </w:r>
      <w:proofErr w:type="spellStart"/>
      <w:r w:rsidRPr="000E2EDA">
        <w:t>nizatidine</w:t>
      </w:r>
      <w:proofErr w:type="spellEnd"/>
      <w:r w:rsidRPr="000E2EDA">
        <w:t xml:space="preserve"> and ranitidine.</w:t>
      </w:r>
    </w:p>
    <w:p w:rsidR="000E2EDA" w:rsidRDefault="000E2EDA" w:rsidP="000E2EDA">
      <w:pPr>
        <w:pStyle w:val="LV2"/>
      </w:pPr>
      <w:r w:rsidRPr="000E2EDA">
        <w:lastRenderedPageBreak/>
        <w:t xml:space="preserve">being treated with </w:t>
      </w:r>
      <w:r>
        <w:t xml:space="preserve">a </w:t>
      </w:r>
      <w:r w:rsidRPr="000E2EDA">
        <w:t>non-selective</w:t>
      </w:r>
      <w:r w:rsidR="00C6138C">
        <w:t>,</w:t>
      </w:r>
      <w:r w:rsidRPr="000E2EDA">
        <w:t xml:space="preserve"> non-steroidal</w:t>
      </w:r>
      <w:r w:rsidR="00C6138C">
        <w:t>,</w:t>
      </w:r>
      <w:r w:rsidRPr="000E2EDA">
        <w:t xml:space="preserve"> anti-inflammatory agent, on more days than not, for </w:t>
      </w:r>
      <w:r w:rsidR="00F2593E">
        <w:t xml:space="preserve">at least </w:t>
      </w:r>
      <w:r w:rsidRPr="000E2EDA">
        <w:t>the six months before the clinical worsening of coeliac disease;</w:t>
      </w:r>
    </w:p>
    <w:p w:rsidR="000E2EDA" w:rsidRDefault="000E2EDA" w:rsidP="00F2593E">
      <w:pPr>
        <w:pStyle w:val="Note2"/>
        <w:ind w:left="1843" w:hanging="425"/>
      </w:pPr>
      <w:r w:rsidRPr="000E2EDA">
        <w:t>Note: Examples of non-selective</w:t>
      </w:r>
      <w:r w:rsidR="00C6138C">
        <w:t>,</w:t>
      </w:r>
      <w:r w:rsidRPr="000E2EDA">
        <w:t xml:space="preserve"> non-steroidal</w:t>
      </w:r>
      <w:r w:rsidR="00C6138C">
        <w:t>,</w:t>
      </w:r>
      <w:r w:rsidRPr="000E2EDA">
        <w:t xml:space="preserve"> anti-inflammatory agents include </w:t>
      </w:r>
      <w:r>
        <w:t>a</w:t>
      </w:r>
      <w:r w:rsidRPr="000E2EDA">
        <w:t xml:space="preserve">spirin, diclofenac, ibuprofen, indomethacin, </w:t>
      </w:r>
      <w:proofErr w:type="spellStart"/>
      <w:r w:rsidRPr="000E2EDA">
        <w:t>ketoprofen</w:t>
      </w:r>
      <w:proofErr w:type="spellEnd"/>
      <w:r w:rsidRPr="000E2EDA">
        <w:t xml:space="preserve">, ketorolac, </w:t>
      </w:r>
      <w:proofErr w:type="spellStart"/>
      <w:r w:rsidRPr="000E2EDA">
        <w:t>mefenamic</w:t>
      </w:r>
      <w:proofErr w:type="spellEnd"/>
      <w:r w:rsidRPr="000E2EDA">
        <w:t xml:space="preserve"> acid, naproxen, </w:t>
      </w:r>
      <w:proofErr w:type="spellStart"/>
      <w:r w:rsidRPr="000E2EDA">
        <w:t>piroxicam</w:t>
      </w:r>
      <w:proofErr w:type="spellEnd"/>
      <w:r w:rsidRPr="000E2EDA">
        <w:t xml:space="preserve"> and </w:t>
      </w:r>
      <w:proofErr w:type="spellStart"/>
      <w:r w:rsidRPr="000E2EDA">
        <w:t>sulindac</w:t>
      </w:r>
      <w:proofErr w:type="spellEnd"/>
      <w:r w:rsidRPr="000E2EDA">
        <w:t>.</w:t>
      </w:r>
    </w:p>
    <w:p w:rsidR="00577165" w:rsidRDefault="00577165" w:rsidP="00577165">
      <w:pPr>
        <w:pStyle w:val="LV2"/>
      </w:pPr>
      <w:r w:rsidRPr="00577165">
        <w:t>inability to maintain a gluten-free diet at the time of the clinic</w:t>
      </w:r>
      <w:r>
        <w:t>al worsening of coeliac disease;</w:t>
      </w:r>
    </w:p>
    <w:p w:rsidR="007C7DEE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0E2EDA" w:rsidRPr="000E2EDA">
        <w:t>coeliac disease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35521712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2593E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F2593E">
        <w:t>1</w:t>
      </w:r>
      <w:r w:rsidR="00FF1D47">
        <w:t>)</w:t>
      </w:r>
      <w:r w:rsidR="00F2593E">
        <w:t xml:space="preserve"> to 9(</w:t>
      </w:r>
      <w:r w:rsidR="00577165">
        <w:t>6</w:t>
      </w:r>
      <w:r w:rsidR="00F2593E">
        <w:t xml:space="preserve">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0E2EDA" w:rsidRPr="000E2EDA">
        <w:t>coeliac disease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0E2EDA" w:rsidRPr="000E2EDA">
        <w:t>coeliac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3552171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3552171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35521715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E3282B" w:rsidRPr="00513D05" w:rsidRDefault="00E3282B" w:rsidP="00E3282B">
      <w:pPr>
        <w:pStyle w:val="SH3"/>
      </w:pPr>
      <w:bookmarkStart w:id="37" w:name="_Ref402530810"/>
      <w:proofErr w:type="gramStart"/>
      <w:r w:rsidRPr="000E2EDA">
        <w:rPr>
          <w:b/>
          <w:i/>
        </w:rPr>
        <w:t>coeliac</w:t>
      </w:r>
      <w:proofErr w:type="gramEnd"/>
      <w:r w:rsidRPr="000E2EDA">
        <w:rPr>
          <w:b/>
          <w:i/>
        </w:rPr>
        <w:t xml:space="preserve"> disease</w:t>
      </w:r>
      <w:r w:rsidRPr="00513D05">
        <w:t>—see subsection</w:t>
      </w:r>
      <w:r>
        <w:t xml:space="preserve"> 7(2).</w:t>
      </w:r>
    </w:p>
    <w:p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E2ED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E2EDA">
            <w:rPr>
              <w:i/>
              <w:sz w:val="18"/>
              <w:szCs w:val="18"/>
            </w:rPr>
            <w:t>Coeliac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C6138C">
            <w:rPr>
              <w:i/>
              <w:sz w:val="18"/>
            </w:rPr>
            <w:t>29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E2EDA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11AA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11AA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0E2EDA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E2EDA">
            <w:rPr>
              <w:i/>
              <w:sz w:val="18"/>
              <w:szCs w:val="18"/>
            </w:rPr>
            <w:t>Coeliac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="00C6138C">
            <w:rPr>
              <w:i/>
              <w:sz w:val="18"/>
            </w:rPr>
            <w:t>29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E2EDA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11AA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11AA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2EDA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2ACD"/>
    <w:rsid w:val="003E341B"/>
    <w:rsid w:val="003F39C0"/>
    <w:rsid w:val="003F4535"/>
    <w:rsid w:val="004116CD"/>
    <w:rsid w:val="0041386E"/>
    <w:rsid w:val="004144EC"/>
    <w:rsid w:val="00417EB9"/>
    <w:rsid w:val="00420A33"/>
    <w:rsid w:val="00420C8C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1AAB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77165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605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67C50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334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1DDB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138C"/>
    <w:rsid w:val="00C670B0"/>
    <w:rsid w:val="00C70A89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282B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4A7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593E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2"/>
    <w:qFormat/>
    <w:rsid w:val="000E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6277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2019-11-04T02:20:00Z</dcterms:created>
  <dcterms:modified xsi:type="dcterms:W3CDTF">2020-04-21T00:45:00Z</dcterms:modified>
  <cp:category/>
  <cp:contentStatus/>
  <dc:language/>
  <cp:version/>
</cp:coreProperties>
</file>