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70787" w14:textId="77777777" w:rsidR="00715914" w:rsidRPr="00FA33FB" w:rsidRDefault="00997416" w:rsidP="00D41C1B">
      <w:pPr>
        <w:pStyle w:val="Plain"/>
        <w:rPr>
          <w:sz w:val="28"/>
        </w:rPr>
      </w:pPr>
      <w:r>
        <w:rPr>
          <w:noProof/>
        </w:rPr>
        <w:drawing>
          <wp:inline distT="0" distB="0" distL="0" distR="0" wp14:anchorId="0350E6CC" wp14:editId="51B2E08C">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14B89E03" w14:textId="77777777" w:rsidR="00715914" w:rsidRPr="00FA33FB" w:rsidRDefault="00715914" w:rsidP="00715914">
      <w:pPr>
        <w:rPr>
          <w:sz w:val="19"/>
        </w:rPr>
      </w:pPr>
    </w:p>
    <w:p w14:paraId="09929603" w14:textId="77777777" w:rsidR="000F76FA" w:rsidRPr="00024911" w:rsidRDefault="00E55F66" w:rsidP="006647B7">
      <w:pPr>
        <w:pStyle w:val="Plainheader"/>
      </w:pPr>
      <w:r w:rsidRPr="00024911">
        <w:t>Statement of Principles</w:t>
      </w:r>
    </w:p>
    <w:p w14:paraId="5791980D" w14:textId="77777777" w:rsidR="000D4972" w:rsidRPr="00024911" w:rsidRDefault="000D4972" w:rsidP="000D4972">
      <w:pPr>
        <w:pStyle w:val="Plainheader"/>
      </w:pPr>
      <w:proofErr w:type="gramStart"/>
      <w:r w:rsidRPr="00024911">
        <w:t>concerning</w:t>
      </w:r>
      <w:proofErr w:type="gramEnd"/>
    </w:p>
    <w:p w14:paraId="078315F3" w14:textId="77777777" w:rsidR="00054930" w:rsidRDefault="000E6CAB" w:rsidP="000D4972">
      <w:pPr>
        <w:pStyle w:val="Plainheader"/>
      </w:pPr>
      <w:bookmarkStart w:id="0" w:name="SoP_Name_Title"/>
      <w:r>
        <w:t>INFLAMMATORY BOWEL DISEASE</w:t>
      </w:r>
      <w:bookmarkEnd w:id="0"/>
      <w:r w:rsidR="000D4972">
        <w:br/>
        <w:t xml:space="preserve"> </w:t>
      </w:r>
      <w:r w:rsidR="00997416">
        <w:t xml:space="preserve">(Balance of Probabilities) </w:t>
      </w:r>
    </w:p>
    <w:p w14:paraId="4AEDBBFB" w14:textId="664D1519" w:rsidR="00715914" w:rsidRPr="00024911" w:rsidRDefault="00E55F66" w:rsidP="006647B7">
      <w:pPr>
        <w:pStyle w:val="Plainheader"/>
      </w:pPr>
      <w:r w:rsidRPr="00024911">
        <w:t xml:space="preserve">(No. </w:t>
      </w:r>
      <w:bookmarkStart w:id="1" w:name="BP"/>
      <w:r w:rsidR="003B349A">
        <w:t>91</w:t>
      </w:r>
      <w:bookmarkEnd w:id="1"/>
      <w:r w:rsidRPr="00024911">
        <w:t xml:space="preserve"> of</w:t>
      </w:r>
      <w:r w:rsidR="00085567">
        <w:t xml:space="preserve"> </w:t>
      </w:r>
      <w:bookmarkStart w:id="2" w:name="year"/>
      <w:r w:rsidR="00CF5A16">
        <w:t>2020</w:t>
      </w:r>
      <w:bookmarkEnd w:id="2"/>
      <w:r w:rsidRPr="00024911">
        <w:t>)</w:t>
      </w:r>
    </w:p>
    <w:p w14:paraId="1D516893"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57258174" w14:textId="77777777" w:rsidR="00F97A62" w:rsidRPr="00F97A62" w:rsidRDefault="00F97A62" w:rsidP="00F97A62">
      <w:pPr>
        <w:rPr>
          <w:lang w:eastAsia="en-AU"/>
        </w:rPr>
      </w:pPr>
    </w:p>
    <w:p w14:paraId="395C6871" w14:textId="4191F38E" w:rsidR="00A07743" w:rsidRPr="00A07743" w:rsidRDefault="00A07743" w:rsidP="00A07743">
      <w:pPr>
        <w:tabs>
          <w:tab w:val="left" w:pos="851"/>
        </w:tabs>
        <w:spacing w:line="240" w:lineRule="auto"/>
        <w:rPr>
          <w:rFonts w:eastAsia="Times New Roman"/>
          <w:sz w:val="24"/>
          <w:szCs w:val="24"/>
          <w:lang w:eastAsia="en-AU"/>
        </w:rPr>
      </w:pPr>
      <w:r w:rsidRPr="00A07743">
        <w:rPr>
          <w:rFonts w:eastAsia="Times New Roman"/>
          <w:sz w:val="24"/>
          <w:szCs w:val="24"/>
          <w:lang w:eastAsia="en-AU"/>
        </w:rPr>
        <w:t>Dated</w:t>
      </w:r>
      <w:r w:rsidRPr="00A07743">
        <w:rPr>
          <w:rFonts w:eastAsia="Times New Roman"/>
          <w:sz w:val="24"/>
          <w:szCs w:val="24"/>
          <w:lang w:eastAsia="en-AU"/>
        </w:rPr>
        <w:tab/>
      </w:r>
      <w:r w:rsidR="003B349A">
        <w:rPr>
          <w:rFonts w:eastAsia="Times New Roman"/>
          <w:sz w:val="24"/>
          <w:szCs w:val="24"/>
          <w:lang w:eastAsia="en-AU"/>
        </w:rPr>
        <w:t>30 October 2020</w:t>
      </w:r>
    </w:p>
    <w:p w14:paraId="291F911E" w14:textId="77777777" w:rsidR="00A07743" w:rsidRPr="00A07743" w:rsidRDefault="00A07743" w:rsidP="00A07743">
      <w:pPr>
        <w:spacing w:line="240" w:lineRule="auto"/>
        <w:rPr>
          <w:rFonts w:eastAsia="Times New Roman"/>
          <w:sz w:val="24"/>
          <w:szCs w:val="24"/>
          <w:lang w:eastAsia="en-AU"/>
        </w:rPr>
      </w:pPr>
    </w:p>
    <w:p w14:paraId="3B0EEC1D" w14:textId="77777777" w:rsidR="00A07743" w:rsidRPr="00A07743" w:rsidRDefault="00A07743" w:rsidP="00A07743">
      <w:pPr>
        <w:spacing w:line="240" w:lineRule="auto"/>
        <w:rPr>
          <w:rFonts w:eastAsia="Times New Roman"/>
          <w:sz w:val="24"/>
          <w:szCs w:val="24"/>
          <w:lang w:eastAsia="en-AU"/>
        </w:rPr>
      </w:pPr>
    </w:p>
    <w:p w14:paraId="4684E190" w14:textId="77777777" w:rsidR="00A07743" w:rsidRPr="00A07743" w:rsidRDefault="00A07743" w:rsidP="00A07743">
      <w:pPr>
        <w:spacing w:line="240" w:lineRule="auto"/>
        <w:rPr>
          <w:rFonts w:eastAsia="Times New Roman"/>
          <w:sz w:val="24"/>
          <w:szCs w:val="24"/>
          <w:lang w:eastAsia="en-AU"/>
        </w:rPr>
      </w:pPr>
    </w:p>
    <w:p w14:paraId="72CE20A9" w14:textId="77777777" w:rsidR="00A07743" w:rsidRPr="00A07743" w:rsidRDefault="00A07743" w:rsidP="00A07743">
      <w:pPr>
        <w:spacing w:line="240" w:lineRule="auto"/>
        <w:rPr>
          <w:rFonts w:eastAsia="Times New Roman"/>
          <w:sz w:val="24"/>
          <w:szCs w:val="24"/>
          <w:lang w:eastAsia="en-AU"/>
        </w:rPr>
      </w:pPr>
    </w:p>
    <w:p w14:paraId="68C7DAF1" w14:textId="77777777" w:rsidR="00A07743" w:rsidRPr="00A07743" w:rsidRDefault="00A07743" w:rsidP="00A07743">
      <w:pPr>
        <w:spacing w:line="240" w:lineRule="auto"/>
        <w:rPr>
          <w:rFonts w:eastAsia="Times New Roman"/>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A07743" w:rsidRPr="00A07743" w14:paraId="2AF946A9" w14:textId="77777777" w:rsidTr="001F122F">
        <w:tc>
          <w:tcPr>
            <w:tcW w:w="4116" w:type="dxa"/>
          </w:tcPr>
          <w:p w14:paraId="562750F3" w14:textId="77777777" w:rsidR="00A07743" w:rsidRPr="00A07743" w:rsidRDefault="00A07743" w:rsidP="00A07743">
            <w:pPr>
              <w:spacing w:line="240" w:lineRule="auto"/>
              <w:rPr>
                <w:rFonts w:eastAsia="Times New Roman"/>
                <w:sz w:val="24"/>
                <w:szCs w:val="24"/>
                <w:lang w:eastAsia="en-AU"/>
              </w:rPr>
            </w:pPr>
            <w:r w:rsidRPr="00A07743">
              <w:rPr>
                <w:rFonts w:eastAsia="Times New Roman"/>
                <w:sz w:val="24"/>
                <w:szCs w:val="24"/>
                <w:lang w:eastAsia="en-AU"/>
              </w:rPr>
              <w:t>The Common Seal of the</w:t>
            </w:r>
            <w:r w:rsidRPr="00A07743">
              <w:rPr>
                <w:rFonts w:eastAsia="Times New Roman"/>
                <w:sz w:val="24"/>
                <w:szCs w:val="24"/>
                <w:lang w:eastAsia="en-AU"/>
              </w:rPr>
              <w:br/>
              <w:t>Repatriation Medical Authority</w:t>
            </w:r>
            <w:r w:rsidRPr="00A07743">
              <w:rPr>
                <w:rFonts w:eastAsia="Times New Roman"/>
                <w:sz w:val="24"/>
                <w:szCs w:val="24"/>
                <w:lang w:eastAsia="en-AU"/>
              </w:rPr>
              <w:br/>
              <w:t>was affixed to this instrument</w:t>
            </w:r>
            <w:r w:rsidRPr="00A07743">
              <w:rPr>
                <w:rFonts w:eastAsia="Times New Roman"/>
                <w:sz w:val="24"/>
                <w:szCs w:val="24"/>
                <w:lang w:eastAsia="en-AU"/>
              </w:rPr>
              <w:br/>
              <w:t>at the direction of:</w:t>
            </w:r>
          </w:p>
          <w:p w14:paraId="3D596EB7" w14:textId="77777777" w:rsidR="00A07743" w:rsidRPr="00A07743" w:rsidRDefault="00A07743" w:rsidP="00A07743">
            <w:pPr>
              <w:spacing w:line="240" w:lineRule="auto"/>
              <w:rPr>
                <w:rFonts w:eastAsia="Times New Roman"/>
                <w:sz w:val="24"/>
                <w:szCs w:val="24"/>
                <w:lang w:eastAsia="en-AU"/>
              </w:rPr>
            </w:pPr>
          </w:p>
        </w:tc>
      </w:tr>
      <w:tr w:rsidR="00A07743" w:rsidRPr="00A07743" w14:paraId="66F62191" w14:textId="77777777" w:rsidTr="001F122F">
        <w:tc>
          <w:tcPr>
            <w:tcW w:w="4116" w:type="dxa"/>
          </w:tcPr>
          <w:p w14:paraId="3818959D" w14:textId="60BC09C2" w:rsidR="00A07743" w:rsidRPr="00A07743" w:rsidRDefault="00AB58E2" w:rsidP="00A07743">
            <w:pPr>
              <w:spacing w:line="240" w:lineRule="auto"/>
              <w:rPr>
                <w:rFonts w:eastAsia="Times New Roman"/>
                <w:sz w:val="24"/>
                <w:szCs w:val="24"/>
                <w:lang w:eastAsia="en-AU"/>
              </w:rPr>
            </w:pPr>
            <w:r>
              <w:rPr>
                <w:noProof/>
              </w:rPr>
              <w:drawing>
                <wp:inline distT="0" distB="0" distL="0" distR="0" wp14:anchorId="28CF38E3" wp14:editId="30C61509">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bookmarkStart w:id="3" w:name="_GoBack"/>
            <w:bookmarkEnd w:id="3"/>
          </w:p>
          <w:p w14:paraId="2230882C" w14:textId="77777777" w:rsidR="00A07743" w:rsidRPr="00A07743" w:rsidRDefault="00A07743" w:rsidP="00A07743">
            <w:pPr>
              <w:spacing w:line="240" w:lineRule="auto"/>
              <w:rPr>
                <w:rFonts w:eastAsia="Times New Roman"/>
                <w:sz w:val="24"/>
                <w:szCs w:val="24"/>
                <w:lang w:eastAsia="en-AU"/>
              </w:rPr>
            </w:pPr>
          </w:p>
          <w:p w14:paraId="3AE4B52F" w14:textId="77777777" w:rsidR="00A07743" w:rsidRPr="00A07743" w:rsidRDefault="00A07743" w:rsidP="00A07743">
            <w:pPr>
              <w:spacing w:line="240" w:lineRule="auto"/>
              <w:rPr>
                <w:rFonts w:eastAsia="Times New Roman"/>
                <w:sz w:val="24"/>
                <w:szCs w:val="24"/>
                <w:lang w:eastAsia="en-AU"/>
              </w:rPr>
            </w:pPr>
            <w:r w:rsidRPr="00A07743">
              <w:rPr>
                <w:rFonts w:eastAsia="Times New Roman"/>
                <w:sz w:val="24"/>
                <w:szCs w:val="24"/>
                <w:lang w:eastAsia="en-AU"/>
              </w:rPr>
              <w:t>Professor Nicholas Saunders AO</w:t>
            </w:r>
          </w:p>
          <w:p w14:paraId="7307A490" w14:textId="77777777" w:rsidR="00A07743" w:rsidRPr="00A07743" w:rsidRDefault="00A07743" w:rsidP="00A07743">
            <w:pPr>
              <w:spacing w:line="240" w:lineRule="auto"/>
              <w:rPr>
                <w:rFonts w:eastAsia="Times New Roman"/>
                <w:sz w:val="24"/>
                <w:szCs w:val="24"/>
                <w:lang w:eastAsia="en-AU"/>
              </w:rPr>
            </w:pPr>
            <w:r w:rsidRPr="00A07743">
              <w:rPr>
                <w:rFonts w:eastAsia="Times New Roman"/>
                <w:sz w:val="24"/>
                <w:szCs w:val="24"/>
                <w:lang w:eastAsia="en-AU"/>
              </w:rPr>
              <w:t>Chairperson</w:t>
            </w:r>
          </w:p>
          <w:p w14:paraId="07411603" w14:textId="77777777" w:rsidR="00A07743" w:rsidRPr="00A07743" w:rsidRDefault="00A07743" w:rsidP="00A07743"/>
        </w:tc>
      </w:tr>
    </w:tbl>
    <w:p w14:paraId="0864FADD" w14:textId="77777777" w:rsidR="00F67B67" w:rsidRPr="00FA33FB" w:rsidRDefault="00F67B67" w:rsidP="00F67B67"/>
    <w:p w14:paraId="24F8A842"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725BB9C0"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14:paraId="0ACAF5A1" w14:textId="38D99C0B" w:rsidR="00E64F56"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64F56">
        <w:rPr>
          <w:noProof/>
        </w:rPr>
        <w:t>1</w:t>
      </w:r>
      <w:r w:rsidR="00E64F56">
        <w:rPr>
          <w:rFonts w:asciiTheme="minorHAnsi" w:eastAsiaTheme="minorEastAsia" w:hAnsiTheme="minorHAnsi" w:cstheme="minorBidi"/>
          <w:noProof/>
          <w:kern w:val="0"/>
          <w:sz w:val="22"/>
          <w:szCs w:val="22"/>
        </w:rPr>
        <w:tab/>
      </w:r>
      <w:r w:rsidR="00E64F56">
        <w:rPr>
          <w:noProof/>
        </w:rPr>
        <w:t>Name</w:t>
      </w:r>
      <w:r w:rsidR="00E64F56">
        <w:rPr>
          <w:noProof/>
        </w:rPr>
        <w:tab/>
      </w:r>
      <w:r w:rsidR="00E64F56">
        <w:rPr>
          <w:noProof/>
        </w:rPr>
        <w:fldChar w:fldCharType="begin"/>
      </w:r>
      <w:r w:rsidR="00E64F56">
        <w:rPr>
          <w:noProof/>
        </w:rPr>
        <w:instrText xml:space="preserve"> PAGEREF _Toc53668277 \h </w:instrText>
      </w:r>
      <w:r w:rsidR="00E64F56">
        <w:rPr>
          <w:noProof/>
        </w:rPr>
      </w:r>
      <w:r w:rsidR="00E64F56">
        <w:rPr>
          <w:noProof/>
        </w:rPr>
        <w:fldChar w:fldCharType="separate"/>
      </w:r>
      <w:r w:rsidR="00C4200E">
        <w:rPr>
          <w:noProof/>
        </w:rPr>
        <w:t>3</w:t>
      </w:r>
      <w:r w:rsidR="00E64F56">
        <w:rPr>
          <w:noProof/>
        </w:rPr>
        <w:fldChar w:fldCharType="end"/>
      </w:r>
    </w:p>
    <w:p w14:paraId="273DCBF9" w14:textId="41EB899A" w:rsidR="00E64F56" w:rsidRDefault="00E64F56">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_Toc53668278 \h </w:instrText>
      </w:r>
      <w:r>
        <w:rPr>
          <w:noProof/>
        </w:rPr>
      </w:r>
      <w:r>
        <w:rPr>
          <w:noProof/>
        </w:rPr>
        <w:fldChar w:fldCharType="separate"/>
      </w:r>
      <w:r w:rsidR="00C4200E">
        <w:rPr>
          <w:noProof/>
        </w:rPr>
        <w:t>3</w:t>
      </w:r>
      <w:r>
        <w:rPr>
          <w:noProof/>
        </w:rPr>
        <w:fldChar w:fldCharType="end"/>
      </w:r>
    </w:p>
    <w:p w14:paraId="08C6E8ED" w14:textId="26D05958" w:rsidR="00E64F56" w:rsidRDefault="00E64F56">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_Toc53668279 \h </w:instrText>
      </w:r>
      <w:r>
        <w:rPr>
          <w:noProof/>
        </w:rPr>
      </w:r>
      <w:r>
        <w:rPr>
          <w:noProof/>
        </w:rPr>
        <w:fldChar w:fldCharType="separate"/>
      </w:r>
      <w:r w:rsidR="00C4200E">
        <w:rPr>
          <w:noProof/>
        </w:rPr>
        <w:t>3</w:t>
      </w:r>
      <w:r>
        <w:rPr>
          <w:noProof/>
        </w:rPr>
        <w:fldChar w:fldCharType="end"/>
      </w:r>
    </w:p>
    <w:p w14:paraId="51E27AED" w14:textId="00148179" w:rsidR="00E64F56" w:rsidRDefault="00E64F56">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_Toc53668280 \h </w:instrText>
      </w:r>
      <w:r>
        <w:rPr>
          <w:noProof/>
        </w:rPr>
      </w:r>
      <w:r>
        <w:rPr>
          <w:noProof/>
        </w:rPr>
        <w:fldChar w:fldCharType="separate"/>
      </w:r>
      <w:r w:rsidR="00C4200E">
        <w:rPr>
          <w:noProof/>
        </w:rPr>
        <w:t>3</w:t>
      </w:r>
      <w:r>
        <w:rPr>
          <w:noProof/>
        </w:rPr>
        <w:fldChar w:fldCharType="end"/>
      </w:r>
    </w:p>
    <w:p w14:paraId="7892C417" w14:textId="7D812442" w:rsidR="00E64F56" w:rsidRDefault="00E64F56">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_Toc53668281 \h </w:instrText>
      </w:r>
      <w:r>
        <w:rPr>
          <w:noProof/>
        </w:rPr>
      </w:r>
      <w:r>
        <w:rPr>
          <w:noProof/>
        </w:rPr>
        <w:fldChar w:fldCharType="separate"/>
      </w:r>
      <w:r w:rsidR="00C4200E">
        <w:rPr>
          <w:noProof/>
        </w:rPr>
        <w:t>3</w:t>
      </w:r>
      <w:r>
        <w:rPr>
          <w:noProof/>
        </w:rPr>
        <w:fldChar w:fldCharType="end"/>
      </w:r>
    </w:p>
    <w:p w14:paraId="31799912" w14:textId="1604F0BC" w:rsidR="00E64F56" w:rsidRDefault="00E64F56">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_Toc53668282 \h </w:instrText>
      </w:r>
      <w:r>
        <w:rPr>
          <w:noProof/>
        </w:rPr>
      </w:r>
      <w:r>
        <w:rPr>
          <w:noProof/>
        </w:rPr>
        <w:fldChar w:fldCharType="separate"/>
      </w:r>
      <w:r w:rsidR="00C4200E">
        <w:rPr>
          <w:noProof/>
        </w:rPr>
        <w:t>3</w:t>
      </w:r>
      <w:r>
        <w:rPr>
          <w:noProof/>
        </w:rPr>
        <w:fldChar w:fldCharType="end"/>
      </w:r>
    </w:p>
    <w:p w14:paraId="20F224FA" w14:textId="0A3384D6" w:rsidR="00E64F56" w:rsidRDefault="00E64F56">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_Toc53668283 \h </w:instrText>
      </w:r>
      <w:r>
        <w:rPr>
          <w:noProof/>
        </w:rPr>
      </w:r>
      <w:r>
        <w:rPr>
          <w:noProof/>
        </w:rPr>
        <w:fldChar w:fldCharType="separate"/>
      </w:r>
      <w:r w:rsidR="00C4200E">
        <w:rPr>
          <w:noProof/>
        </w:rPr>
        <w:t>3</w:t>
      </w:r>
      <w:r>
        <w:rPr>
          <w:noProof/>
        </w:rPr>
        <w:fldChar w:fldCharType="end"/>
      </w:r>
    </w:p>
    <w:p w14:paraId="048151B5" w14:textId="27B6BCEC" w:rsidR="00E64F56" w:rsidRDefault="00E64F56">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_Toc53668284 \h </w:instrText>
      </w:r>
      <w:r>
        <w:rPr>
          <w:noProof/>
        </w:rPr>
      </w:r>
      <w:r>
        <w:rPr>
          <w:noProof/>
        </w:rPr>
        <w:fldChar w:fldCharType="separate"/>
      </w:r>
      <w:r w:rsidR="00C4200E">
        <w:rPr>
          <w:noProof/>
        </w:rPr>
        <w:t>4</w:t>
      </w:r>
      <w:r>
        <w:rPr>
          <w:noProof/>
        </w:rPr>
        <w:fldChar w:fldCharType="end"/>
      </w:r>
    </w:p>
    <w:p w14:paraId="702839C8" w14:textId="7AF49FAA" w:rsidR="00E64F56" w:rsidRDefault="00E64F56">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_Toc53668285 \h </w:instrText>
      </w:r>
      <w:r>
        <w:rPr>
          <w:noProof/>
        </w:rPr>
      </w:r>
      <w:r>
        <w:rPr>
          <w:noProof/>
        </w:rPr>
        <w:fldChar w:fldCharType="separate"/>
      </w:r>
      <w:r w:rsidR="00C4200E">
        <w:rPr>
          <w:noProof/>
        </w:rPr>
        <w:t>4</w:t>
      </w:r>
      <w:r>
        <w:rPr>
          <w:noProof/>
        </w:rPr>
        <w:fldChar w:fldCharType="end"/>
      </w:r>
    </w:p>
    <w:p w14:paraId="523DB43A" w14:textId="6FD25AED" w:rsidR="00E64F56" w:rsidRDefault="00E64F56">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_Toc53668286 \h </w:instrText>
      </w:r>
      <w:r>
        <w:rPr>
          <w:noProof/>
        </w:rPr>
      </w:r>
      <w:r>
        <w:rPr>
          <w:noProof/>
        </w:rPr>
        <w:fldChar w:fldCharType="separate"/>
      </w:r>
      <w:r w:rsidR="00C4200E">
        <w:rPr>
          <w:noProof/>
        </w:rPr>
        <w:t>6</w:t>
      </w:r>
      <w:r>
        <w:rPr>
          <w:noProof/>
        </w:rPr>
        <w:fldChar w:fldCharType="end"/>
      </w:r>
    </w:p>
    <w:p w14:paraId="2437F79A" w14:textId="6B97F46A" w:rsidR="00E64F56" w:rsidRDefault="00E64F56">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_Toc53668287 \h </w:instrText>
      </w:r>
      <w:r>
        <w:rPr>
          <w:noProof/>
        </w:rPr>
      </w:r>
      <w:r>
        <w:rPr>
          <w:noProof/>
        </w:rPr>
        <w:fldChar w:fldCharType="separate"/>
      </w:r>
      <w:r w:rsidR="00C4200E">
        <w:rPr>
          <w:noProof/>
        </w:rPr>
        <w:t>6</w:t>
      </w:r>
      <w:r>
        <w:rPr>
          <w:noProof/>
        </w:rPr>
        <w:fldChar w:fldCharType="end"/>
      </w:r>
    </w:p>
    <w:p w14:paraId="1222A351" w14:textId="6F327913" w:rsidR="00E64F56" w:rsidRDefault="00E64F56">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_Toc53668288 \h </w:instrText>
      </w:r>
      <w:r>
        <w:rPr>
          <w:noProof/>
        </w:rPr>
      </w:r>
      <w:r>
        <w:rPr>
          <w:noProof/>
        </w:rPr>
        <w:fldChar w:fldCharType="separate"/>
      </w:r>
      <w:r w:rsidR="00C4200E">
        <w:rPr>
          <w:noProof/>
        </w:rPr>
        <w:t>7</w:t>
      </w:r>
      <w:r>
        <w:rPr>
          <w:noProof/>
        </w:rPr>
        <w:fldChar w:fldCharType="end"/>
      </w:r>
    </w:p>
    <w:p w14:paraId="55E02222" w14:textId="215266E7" w:rsidR="00E64F56" w:rsidRDefault="00E64F56">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_Toc53668289 \h </w:instrText>
      </w:r>
      <w:r>
        <w:rPr>
          <w:noProof/>
        </w:rPr>
      </w:r>
      <w:r>
        <w:rPr>
          <w:noProof/>
        </w:rPr>
        <w:fldChar w:fldCharType="separate"/>
      </w:r>
      <w:r w:rsidR="00C4200E">
        <w:rPr>
          <w:noProof/>
        </w:rPr>
        <w:t>7</w:t>
      </w:r>
      <w:r>
        <w:rPr>
          <w:noProof/>
        </w:rPr>
        <w:fldChar w:fldCharType="end"/>
      </w:r>
    </w:p>
    <w:p w14:paraId="1B296FDC" w14:textId="22C8C219" w:rsidR="003A2FFE" w:rsidRDefault="002A3436" w:rsidP="00715914">
      <w:r>
        <w:rPr>
          <w:rFonts w:eastAsia="Times New Roman"/>
          <w:b/>
          <w:kern w:val="28"/>
          <w:sz w:val="18"/>
          <w:lang w:eastAsia="en-AU"/>
        </w:rPr>
        <w:fldChar w:fldCharType="end"/>
      </w:r>
    </w:p>
    <w:p w14:paraId="1FB5163A" w14:textId="77777777" w:rsidR="003A2FFE" w:rsidRDefault="003A2FFE" w:rsidP="003A2FFE">
      <w:pPr>
        <w:tabs>
          <w:tab w:val="left" w:pos="3631"/>
        </w:tabs>
      </w:pPr>
    </w:p>
    <w:p w14:paraId="0122779B" w14:textId="77777777" w:rsidR="003734C6" w:rsidRDefault="003734C6" w:rsidP="00715914">
      <w:r w:rsidRPr="003A2FFE">
        <w:br w:type="page"/>
      </w:r>
    </w:p>
    <w:p w14:paraId="22532231" w14:textId="77777777" w:rsidR="00877AE3" w:rsidRDefault="00877AE3">
      <w:pPr>
        <w:pStyle w:val="LV1"/>
      </w:pPr>
      <w:bookmarkStart w:id="5" w:name="_Toc53668277"/>
      <w:r>
        <w:lastRenderedPageBreak/>
        <w:t>Name</w:t>
      </w:r>
      <w:bookmarkEnd w:id="5"/>
    </w:p>
    <w:p w14:paraId="6A538412" w14:textId="00229FFD"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42670C">
        <w:rPr>
          <w:i/>
        </w:rPr>
        <w:t>inflammatory bowel disease</w:t>
      </w:r>
      <w:bookmarkEnd w:id="7"/>
      <w:r w:rsidR="00E55F66" w:rsidRPr="00F97A62">
        <w:t xml:space="preserve"> </w:t>
      </w:r>
      <w:r w:rsidR="00997416">
        <w:rPr>
          <w:i/>
        </w:rPr>
        <w:t xml:space="preserve">(Balance of Probabilities) </w:t>
      </w:r>
      <w:r w:rsidR="00E55F66" w:rsidRPr="00F97A62">
        <w:t xml:space="preserve">(No. </w:t>
      </w:r>
      <w:r w:rsidR="00E64F56">
        <w:t>91</w:t>
      </w:r>
      <w:r w:rsidR="00085567">
        <w:t xml:space="preserve"> </w:t>
      </w:r>
      <w:r w:rsidR="00E55F66" w:rsidRPr="00F97A62">
        <w:t>of</w:t>
      </w:r>
      <w:r w:rsidR="00085567">
        <w:t xml:space="preserve"> </w:t>
      </w:r>
      <w:r w:rsidR="00E64F56">
        <w:t>2020</w:t>
      </w:r>
      <w:r w:rsidR="00E55F66" w:rsidRPr="00F97A62">
        <w:t>)</w:t>
      </w:r>
      <w:r w:rsidRPr="00F97A62">
        <w:t>.</w:t>
      </w:r>
    </w:p>
    <w:p w14:paraId="20FE9CD1" w14:textId="77777777" w:rsidR="00F67B67" w:rsidRPr="00684C0E" w:rsidRDefault="00F67B67">
      <w:pPr>
        <w:pStyle w:val="LV1"/>
      </w:pPr>
      <w:bookmarkStart w:id="8" w:name="_Toc53668278"/>
      <w:r w:rsidRPr="00684C0E">
        <w:t>Commencement</w:t>
      </w:r>
      <w:bookmarkEnd w:id="8"/>
    </w:p>
    <w:p w14:paraId="62D2B9DE" w14:textId="14A66C9B" w:rsidR="00F67B67" w:rsidRPr="007527C1" w:rsidRDefault="007527C1" w:rsidP="00DF65CF">
      <w:pPr>
        <w:pStyle w:val="PlainIndent"/>
      </w:pPr>
      <w:r w:rsidRPr="007527C1">
        <w:tab/>
      </w:r>
      <w:r w:rsidR="00F67B67" w:rsidRPr="007527C1">
        <w:t xml:space="preserve">This instrument commences on </w:t>
      </w:r>
      <w:r w:rsidR="003B349A">
        <w:t>30 November 2020</w:t>
      </w:r>
      <w:r w:rsidR="00F67B67" w:rsidRPr="007527C1">
        <w:t>.</w:t>
      </w:r>
    </w:p>
    <w:p w14:paraId="49315F7A" w14:textId="77777777" w:rsidR="00F67B67" w:rsidRPr="00684C0E" w:rsidRDefault="00F67B67">
      <w:pPr>
        <w:pStyle w:val="LV1"/>
      </w:pPr>
      <w:bookmarkStart w:id="9" w:name="_Toc53668279"/>
      <w:r w:rsidRPr="00684C0E">
        <w:t>Authority</w:t>
      </w:r>
      <w:bookmarkEnd w:id="9"/>
    </w:p>
    <w:p w14:paraId="06289F65" w14:textId="77777777"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14:paraId="5F779186" w14:textId="77777777" w:rsidR="007959B9" w:rsidRPr="00684C0E" w:rsidRDefault="007959B9" w:rsidP="00A07743">
      <w:pPr>
        <w:pStyle w:val="LV1"/>
      </w:pPr>
      <w:bookmarkStart w:id="10" w:name="_Toc53668280"/>
      <w:r>
        <w:t>Re</w:t>
      </w:r>
      <w:r w:rsidR="00CB7412">
        <w:t>peal</w:t>
      </w:r>
      <w:bookmarkEnd w:id="10"/>
    </w:p>
    <w:p w14:paraId="0916A57D" w14:textId="7C7E3FAE" w:rsidR="007959B9" w:rsidRPr="007527C1" w:rsidRDefault="000D4972" w:rsidP="00DF65CF">
      <w:pPr>
        <w:pStyle w:val="PlainIndent"/>
      </w:pPr>
      <w:r>
        <w:t>The</w:t>
      </w:r>
      <w:r w:rsidRPr="007527C1">
        <w:t xml:space="preserve"> </w:t>
      </w:r>
      <w:r w:rsidRPr="00DA3996">
        <w:t xml:space="preserve">Statement of Principles concerning </w:t>
      </w:r>
      <w:r w:rsidR="00E64F56" w:rsidRPr="00E64F56">
        <w:t>inflammatory bowel disease</w:t>
      </w:r>
      <w:r w:rsidRPr="00DA3996">
        <w:t xml:space="preserve"> No. </w:t>
      </w:r>
      <w:r w:rsidR="009A03D1">
        <w:t>20</w:t>
      </w:r>
      <w:r w:rsidRPr="00DA3996">
        <w:t xml:space="preserve"> of </w:t>
      </w:r>
      <w:r w:rsidR="009A03D1">
        <w:t>2012</w:t>
      </w:r>
      <w:r>
        <w:t xml:space="preserve"> </w:t>
      </w:r>
      <w:r w:rsidRPr="00786DAE">
        <w:t xml:space="preserve">(Federal Register of Legislation No. </w:t>
      </w:r>
      <w:r w:rsidR="009A03D1" w:rsidRPr="009A03D1">
        <w:t>F2012L00452</w:t>
      </w:r>
      <w:r w:rsidRPr="00786DAE">
        <w:t xml:space="preserve">) </w:t>
      </w:r>
      <w:r w:rsidRPr="00DA3996">
        <w:t>made under subsectio</w:t>
      </w:r>
      <w:r w:rsidR="009A03D1">
        <w:t>n</w:t>
      </w:r>
      <w:r w:rsidRPr="00DA3996">
        <w:t xml:space="preserve"> </w:t>
      </w:r>
      <w:proofErr w:type="gramStart"/>
      <w:r w:rsidRPr="00DA3996">
        <w:t>196B(</w:t>
      </w:r>
      <w:proofErr w:type="gramEnd"/>
      <w:r>
        <w:t>3</w:t>
      </w:r>
      <w:r w:rsidR="009A03D1">
        <w:t>)</w:t>
      </w:r>
      <w:r w:rsidRPr="00DA3996">
        <w:t xml:space="preserve"> of the VEA </w:t>
      </w:r>
      <w:r>
        <w:t>i</w:t>
      </w:r>
      <w:r w:rsidRPr="007527C1">
        <w:t>s</w:t>
      </w:r>
      <w:r>
        <w:t xml:space="preserve"> repealed.</w:t>
      </w:r>
    </w:p>
    <w:p w14:paraId="44D75DCA" w14:textId="77777777" w:rsidR="007C7DEE" w:rsidRPr="00684C0E" w:rsidRDefault="007C7DEE">
      <w:pPr>
        <w:pStyle w:val="LV1"/>
      </w:pPr>
      <w:bookmarkStart w:id="11" w:name="_Toc53668281"/>
      <w:r w:rsidRPr="00684C0E">
        <w:t>Application</w:t>
      </w:r>
      <w:bookmarkEnd w:id="11"/>
    </w:p>
    <w:p w14:paraId="1535DCC3"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4E62D82A" w14:textId="77777777" w:rsidR="007C7DEE" w:rsidRPr="00684C0E" w:rsidRDefault="007C7DEE">
      <w:pPr>
        <w:pStyle w:val="LV1"/>
      </w:pPr>
      <w:bookmarkStart w:id="12" w:name="_Ref410129949"/>
      <w:bookmarkStart w:id="13" w:name="_Toc53668282"/>
      <w:r w:rsidRPr="00684C0E">
        <w:t>Definitions</w:t>
      </w:r>
      <w:bookmarkEnd w:id="12"/>
      <w:bookmarkEnd w:id="13"/>
    </w:p>
    <w:p w14:paraId="410BAD5B"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78065DB0" w14:textId="77777777" w:rsidR="007C7DEE" w:rsidRPr="00684C0E" w:rsidRDefault="007C7DEE">
      <w:pPr>
        <w:pStyle w:val="LV1"/>
      </w:pPr>
      <w:bookmarkStart w:id="14" w:name="_Ref409687573"/>
      <w:bookmarkStart w:id="15" w:name="_Ref409687579"/>
      <w:bookmarkStart w:id="16" w:name="_Ref409687725"/>
      <w:bookmarkStart w:id="17" w:name="_Toc53668283"/>
      <w:r w:rsidRPr="00684C0E">
        <w:t>Kind of injury, disease or death</w:t>
      </w:r>
      <w:r w:rsidR="00215860" w:rsidRPr="00684C0E">
        <w:t xml:space="preserve"> to which this Statement of Principles relates</w:t>
      </w:r>
      <w:bookmarkEnd w:id="14"/>
      <w:bookmarkEnd w:id="15"/>
      <w:bookmarkEnd w:id="16"/>
      <w:bookmarkEnd w:id="17"/>
    </w:p>
    <w:p w14:paraId="27451CC7" w14:textId="754D26FF" w:rsidR="007C7DEE" w:rsidRPr="00D5620B" w:rsidRDefault="007C7DEE" w:rsidP="00900380">
      <w:pPr>
        <w:pStyle w:val="LV2"/>
      </w:pPr>
      <w:bookmarkStart w:id="18" w:name="_Ref403053584"/>
      <w:r w:rsidRPr="00D5620B">
        <w:t xml:space="preserve">This Statement of Principles is </w:t>
      </w:r>
      <w:r w:rsidRPr="002F77A1">
        <w:t xml:space="preserve">about </w:t>
      </w:r>
      <w:r w:rsidR="00E64F56" w:rsidRPr="00E64F56">
        <w:t>inflammatory bowel disease</w:t>
      </w:r>
      <w:r w:rsidR="00D5620B" w:rsidRPr="002F77A1">
        <w:t xml:space="preserve"> </w:t>
      </w:r>
      <w:r w:rsidRPr="002F77A1">
        <w:t>and death</w:t>
      </w:r>
      <w:r w:rsidRPr="00D5620B">
        <w:t xml:space="preserve"> from</w:t>
      </w:r>
      <w:r w:rsidR="002F77A1">
        <w:t xml:space="preserve"> </w:t>
      </w:r>
      <w:r w:rsidR="00E64F56" w:rsidRPr="00E64F56">
        <w:t>inflammatory bowel disease</w:t>
      </w:r>
      <w:r w:rsidRPr="00D5620B">
        <w:t>.</w:t>
      </w:r>
      <w:bookmarkEnd w:id="18"/>
    </w:p>
    <w:p w14:paraId="216DD13E" w14:textId="1FD245B0" w:rsidR="00215860" w:rsidRPr="007142FB" w:rsidRDefault="00215860" w:rsidP="0083517B">
      <w:pPr>
        <w:pStyle w:val="LVtext"/>
      </w:pPr>
      <w:r w:rsidRPr="007142FB">
        <w:t>Meaning of</w:t>
      </w:r>
      <w:r w:rsidR="00D60FC8" w:rsidRPr="007142FB">
        <w:t xml:space="preserve"> </w:t>
      </w:r>
      <w:r w:rsidR="00E64F56" w:rsidRPr="00E64F56">
        <w:rPr>
          <w:b/>
        </w:rPr>
        <w:t>inflammatory bowel disease</w:t>
      </w:r>
    </w:p>
    <w:p w14:paraId="0D00EDED" w14:textId="5FDE28E5" w:rsidR="000D4972" w:rsidRPr="00237BAF" w:rsidRDefault="000D4972" w:rsidP="00900380">
      <w:pPr>
        <w:pStyle w:val="LV2"/>
      </w:pPr>
      <w:bookmarkStart w:id="19" w:name="_Ref409598124"/>
      <w:bookmarkStart w:id="20" w:name="_Ref402529683"/>
      <w:r w:rsidRPr="00237BAF">
        <w:t>For the purposes of this Statement of Principles,</w:t>
      </w:r>
      <w:r w:rsidRPr="002F77A1">
        <w:t xml:space="preserve"> </w:t>
      </w:r>
      <w:r w:rsidR="00E64F56" w:rsidRPr="00E64F56">
        <w:t>inflammatory bowel disease</w:t>
      </w:r>
      <w:r w:rsidRPr="00237BAF">
        <w:t>:</w:t>
      </w:r>
      <w:bookmarkEnd w:id="19"/>
    </w:p>
    <w:bookmarkEnd w:id="20"/>
    <w:p w14:paraId="77B44BA0" w14:textId="77777777" w:rsidR="0093687A" w:rsidRPr="008E76DC" w:rsidRDefault="0093687A" w:rsidP="00900380">
      <w:pPr>
        <w:pStyle w:val="LV3"/>
      </w:pPr>
      <w:r>
        <w:t xml:space="preserve">means </w:t>
      </w:r>
      <w:r w:rsidRPr="00AC2714">
        <w:t>a chronic, relapsing and remitting inflammatory autoimmune disorder of the gastrointestinal tract</w:t>
      </w:r>
      <w:r w:rsidRPr="008E76DC">
        <w:t>; and</w:t>
      </w:r>
    </w:p>
    <w:p w14:paraId="5AC6319C" w14:textId="77777777" w:rsidR="0093687A" w:rsidRDefault="0093687A" w:rsidP="00900380">
      <w:pPr>
        <w:pStyle w:val="LV3"/>
      </w:pPr>
      <w:r w:rsidRPr="008E76DC">
        <w:t>includes</w:t>
      </w:r>
      <w:r>
        <w:t>:</w:t>
      </w:r>
      <w:r w:rsidRPr="008E76DC">
        <w:t xml:space="preserve"> </w:t>
      </w:r>
    </w:p>
    <w:p w14:paraId="006A0A83" w14:textId="1B09F4E1" w:rsidR="0093687A" w:rsidRDefault="0093687A" w:rsidP="0093687A">
      <w:pPr>
        <w:pStyle w:val="LV4"/>
      </w:pPr>
      <w:r>
        <w:t>Crohn disease;</w:t>
      </w:r>
    </w:p>
    <w:p w14:paraId="6804259E" w14:textId="444319C2" w:rsidR="00BF596E" w:rsidRDefault="00BF596E" w:rsidP="00BF596E">
      <w:pPr>
        <w:pStyle w:val="LV4"/>
      </w:pPr>
      <w:r w:rsidRPr="00BF596E">
        <w:t>ulcerative colitis;</w:t>
      </w:r>
      <w:r>
        <w:t xml:space="preserve"> and</w:t>
      </w:r>
    </w:p>
    <w:p w14:paraId="7F21F916" w14:textId="77777777" w:rsidR="0093687A" w:rsidRDefault="0093687A" w:rsidP="0093687A">
      <w:pPr>
        <w:pStyle w:val="LV4"/>
      </w:pPr>
      <w:r w:rsidRPr="00AC2714">
        <w:tab/>
        <w:t>inflammatory bowel disease of unspecified type</w:t>
      </w:r>
      <w:r>
        <w:t>; and</w:t>
      </w:r>
    </w:p>
    <w:p w14:paraId="07034FBC" w14:textId="77777777" w:rsidR="000D4972" w:rsidRDefault="0093687A" w:rsidP="00DD2D3D">
      <w:pPr>
        <w:pStyle w:val="LV3"/>
        <w:keepNext/>
      </w:pPr>
      <w:proofErr w:type="gramStart"/>
      <w:r w:rsidRPr="008E76DC">
        <w:lastRenderedPageBreak/>
        <w:t>excludes</w:t>
      </w:r>
      <w:proofErr w:type="gramEnd"/>
      <w:r w:rsidRPr="008E76DC">
        <w:t xml:space="preserve"> </w:t>
      </w:r>
      <w:r w:rsidRPr="00AC2714">
        <w:t>bowel inflammation that is unrelated to autoimmunity</w:t>
      </w:r>
      <w:r w:rsidRPr="008E76DC">
        <w:t>.</w:t>
      </w:r>
    </w:p>
    <w:p w14:paraId="11299B72" w14:textId="62A8B28A" w:rsidR="0093687A" w:rsidRDefault="0093687A" w:rsidP="00AE31A2">
      <w:pPr>
        <w:pStyle w:val="Note1"/>
        <w:keepNext/>
        <w:ind w:left="2552" w:hanging="567"/>
      </w:pPr>
      <w:r>
        <w:t xml:space="preserve">Note 1: </w:t>
      </w:r>
      <w:r w:rsidRPr="002A0977">
        <w:t>Symptoms of inflammatory bowel disease typically include</w:t>
      </w:r>
      <w:r w:rsidR="00BF596E">
        <w:t xml:space="preserve"> </w:t>
      </w:r>
      <w:r w:rsidRPr="003C365D">
        <w:t>abdominal pain</w:t>
      </w:r>
      <w:r w:rsidR="00BF596E">
        <w:t>, diarrhoea</w:t>
      </w:r>
      <w:r>
        <w:t xml:space="preserve"> and</w:t>
      </w:r>
      <w:r w:rsidRPr="002A0977">
        <w:t xml:space="preserve"> </w:t>
      </w:r>
      <w:r>
        <w:t>weight loss</w:t>
      </w:r>
      <w:r w:rsidRPr="002A0977">
        <w:t>.</w:t>
      </w:r>
    </w:p>
    <w:p w14:paraId="39FABCF1" w14:textId="796CC249" w:rsidR="0093687A" w:rsidRDefault="0093687A" w:rsidP="00BF596E">
      <w:pPr>
        <w:pStyle w:val="Note1"/>
        <w:ind w:left="2552" w:hanging="567"/>
      </w:pPr>
      <w:r>
        <w:t xml:space="preserve">Note 2: </w:t>
      </w:r>
      <w:r w:rsidRPr="002A0977">
        <w:t xml:space="preserve">Inflammatory bowel disease may be associated with extra-intestinal manifestations, </w:t>
      </w:r>
      <w:r w:rsidR="00BF596E">
        <w:t xml:space="preserve">including </w:t>
      </w:r>
      <w:r w:rsidRPr="002A0977">
        <w:t>episcleritis</w:t>
      </w:r>
      <w:r w:rsidR="00BF596E">
        <w:t xml:space="preserve">, </w:t>
      </w:r>
      <w:r w:rsidRPr="002A0977">
        <w:t>erythema nodosum</w:t>
      </w:r>
      <w:r w:rsidR="00BF596E">
        <w:t xml:space="preserve">, </w:t>
      </w:r>
      <w:r w:rsidRPr="002A0977">
        <w:t>peripheral arthritis</w:t>
      </w:r>
      <w:r w:rsidR="00BF596E">
        <w:t xml:space="preserve">, </w:t>
      </w:r>
      <w:r>
        <w:t>and</w:t>
      </w:r>
      <w:r w:rsidR="00BF596E">
        <w:t xml:space="preserve"> </w:t>
      </w:r>
      <w:r w:rsidRPr="002A0977">
        <w:t>pyoderma gangrenosum</w:t>
      </w:r>
      <w:r>
        <w:t>.</w:t>
      </w:r>
    </w:p>
    <w:p w14:paraId="632F3FF1" w14:textId="75AA98EB" w:rsidR="000D4972" w:rsidRPr="008E76DC" w:rsidRDefault="0093687A" w:rsidP="007127CD">
      <w:pPr>
        <w:pStyle w:val="Note1"/>
        <w:ind w:left="2552" w:hanging="567"/>
      </w:pPr>
      <w:r>
        <w:t xml:space="preserve">Note 3: </w:t>
      </w:r>
      <w:r w:rsidRPr="003C365D">
        <w:rPr>
          <w:b/>
          <w:i/>
        </w:rPr>
        <w:t>Crohn disease</w:t>
      </w:r>
      <w:r w:rsidRPr="003C365D">
        <w:t xml:space="preserve"> and </w:t>
      </w:r>
      <w:r w:rsidRPr="003C365D">
        <w:rPr>
          <w:b/>
          <w:i/>
        </w:rPr>
        <w:t>ulcerative colitis</w:t>
      </w:r>
      <w:r w:rsidRPr="003C365D">
        <w:t xml:space="preserve"> are defined in the Schedule</w:t>
      </w:r>
      <w:r w:rsidR="007127CD">
        <w:t> </w:t>
      </w:r>
      <w:r w:rsidRPr="003C365D">
        <w:t>1</w:t>
      </w:r>
      <w:r w:rsidR="007127CD">
        <w:t> </w:t>
      </w:r>
      <w:r w:rsidR="00DD2D3D">
        <w:t>-</w:t>
      </w:r>
      <w:r w:rsidR="007127CD">
        <w:t> </w:t>
      </w:r>
      <w:r w:rsidRPr="003C365D">
        <w:t>Dictionary.</w:t>
      </w:r>
    </w:p>
    <w:p w14:paraId="26B4EAF3" w14:textId="0418E948" w:rsidR="008F572A" w:rsidRPr="00237BAF" w:rsidRDefault="000D4972" w:rsidP="00900380">
      <w:pPr>
        <w:pStyle w:val="LV2"/>
      </w:pPr>
      <w:r w:rsidRPr="00237BAF">
        <w:t xml:space="preserve">While </w:t>
      </w:r>
      <w:r w:rsidR="00E64F56" w:rsidRPr="00E64F56">
        <w:t>inflammatory bowel disease</w:t>
      </w:r>
      <w:r>
        <w:t xml:space="preserve"> </w:t>
      </w:r>
      <w:r w:rsidRPr="00237BAF">
        <w:t>attracts ICD</w:t>
      </w:r>
      <w:r w:rsidRPr="00237BAF">
        <w:noBreakHyphen/>
        <w:t>10</w:t>
      </w:r>
      <w:r w:rsidRPr="00237BAF">
        <w:noBreakHyphen/>
        <w:t xml:space="preserve">AM </w:t>
      </w:r>
      <w:r w:rsidRPr="00EB2BC4">
        <w:t xml:space="preserve">code </w:t>
      </w:r>
      <w:r w:rsidR="0093687A" w:rsidRPr="0093687A">
        <w:t>K50 or K51</w:t>
      </w:r>
      <w:r w:rsidRPr="00EB2BC4">
        <w:t>,</w:t>
      </w:r>
      <w:r w:rsidRPr="00237BAF">
        <w:t xml:space="preserve"> in applying this Statement of Principles the </w:t>
      </w:r>
      <w:r w:rsidRPr="00D5620B">
        <w:t xml:space="preserve">meaning of </w:t>
      </w:r>
      <w:r w:rsidR="00E64F56" w:rsidRPr="00E64F56">
        <w:t>inflammatory bowel disease</w:t>
      </w:r>
      <w:r>
        <w:t xml:space="preserve"> </w:t>
      </w:r>
      <w:r w:rsidRPr="00D5620B">
        <w:t>is that</w:t>
      </w:r>
      <w:r w:rsidRPr="00237BAF">
        <w:t xml:space="preserve"> given in subsection (2).</w:t>
      </w:r>
    </w:p>
    <w:p w14:paraId="05A6436C" w14:textId="77777777" w:rsidR="000F76FA" w:rsidRPr="0053697E" w:rsidRDefault="00825BFB" w:rsidP="00900380">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5675433A" w14:textId="1897426D" w:rsidR="008F572A" w:rsidRPr="00FA33FB" w:rsidRDefault="00237BAF" w:rsidP="0083517B">
      <w:pPr>
        <w:pStyle w:val="LVtext"/>
      </w:pPr>
      <w:r w:rsidRPr="003A5C26">
        <w:t>Death from</w:t>
      </w:r>
      <w:r w:rsidR="008F572A" w:rsidRPr="00237BAF">
        <w:t xml:space="preserve"> </w:t>
      </w:r>
      <w:r w:rsidR="00E64F56" w:rsidRPr="00E64F56">
        <w:rPr>
          <w:b/>
        </w:rPr>
        <w:t>inflammatory bowel disease</w:t>
      </w:r>
    </w:p>
    <w:p w14:paraId="6BA0DC5D" w14:textId="2255348B" w:rsidR="008F572A" w:rsidRPr="00237BAF" w:rsidRDefault="008F572A" w:rsidP="00900380">
      <w:pPr>
        <w:pStyle w:val="LV2"/>
      </w:pPr>
      <w:r w:rsidRPr="00237BAF">
        <w:t xml:space="preserve">For the purposes of this Statement of </w:t>
      </w:r>
      <w:r w:rsidR="00D5620B">
        <w:t xml:space="preserve">Principles, </w:t>
      </w:r>
      <w:r w:rsidR="00E64F56" w:rsidRPr="00E64F56">
        <w:t>inflammatory bowel disease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E64F56" w:rsidRPr="00E64F56">
        <w:t>inflammatory bowel disease</w:t>
      </w:r>
      <w:r w:rsidRPr="00D5620B">
        <w:t>.</w:t>
      </w:r>
    </w:p>
    <w:p w14:paraId="1532C2E4" w14:textId="71B0DA30"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D2D3D">
        <w:t>-</w:t>
      </w:r>
      <w:r w:rsidR="00D32F71">
        <w:t xml:space="preserve"> </w:t>
      </w:r>
      <w:r w:rsidR="00885EAB" w:rsidRPr="00046E67">
        <w:t>Dictionary</w:t>
      </w:r>
      <w:r w:rsidR="007E43F0">
        <w:t>.</w:t>
      </w:r>
    </w:p>
    <w:p w14:paraId="576B55E8" w14:textId="77777777" w:rsidR="007C7DEE" w:rsidRPr="00A20CA1" w:rsidRDefault="007C7DEE" w:rsidP="00A07743">
      <w:pPr>
        <w:pStyle w:val="LV1"/>
      </w:pPr>
      <w:bookmarkStart w:id="21" w:name="_Toc53668284"/>
      <w:r w:rsidRPr="00A20CA1">
        <w:t>Basis for determining the factors</w:t>
      </w:r>
      <w:bookmarkEnd w:id="21"/>
    </w:p>
    <w:p w14:paraId="4BCB7E25" w14:textId="5F42A767"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E64F56" w:rsidRPr="00E64F56">
        <w:t>inflammatory bowel disease</w:t>
      </w:r>
      <w:r w:rsidR="007A3989">
        <w:t xml:space="preserve"> </w:t>
      </w:r>
      <w:r w:rsidRPr="00D5620B">
        <w:t>and death from</w:t>
      </w:r>
      <w:r w:rsidR="007A3989">
        <w:t xml:space="preserve"> </w:t>
      </w:r>
      <w:r w:rsidR="00E64F56" w:rsidRPr="00E64F56">
        <w:t>inflammatory bowel disease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58B33B9D" w14:textId="18919B3C"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rsidR="00DD2D3D">
        <w:t>Schedule 1 -</w:t>
      </w:r>
      <w:r>
        <w:t xml:space="preserve"> </w:t>
      </w:r>
      <w:r w:rsidRPr="00046E67">
        <w:t>Dictionary</w:t>
      </w:r>
      <w:r>
        <w:t>.</w:t>
      </w:r>
    </w:p>
    <w:p w14:paraId="6F02DEA2" w14:textId="77777777" w:rsidR="007C7DEE" w:rsidRPr="00301C54" w:rsidRDefault="007C7DEE">
      <w:pPr>
        <w:pStyle w:val="LV1"/>
      </w:pPr>
      <w:bookmarkStart w:id="22" w:name="_Ref411946955"/>
      <w:bookmarkStart w:id="23" w:name="_Ref411946997"/>
      <w:bookmarkStart w:id="24" w:name="_Ref412032503"/>
      <w:bookmarkStart w:id="25" w:name="_Toc53668285"/>
      <w:r w:rsidRPr="00301C54">
        <w:t xml:space="preserve">Factors that must </w:t>
      </w:r>
      <w:r w:rsidR="00D32F71">
        <w:t>exist</w:t>
      </w:r>
      <w:bookmarkEnd w:id="22"/>
      <w:bookmarkEnd w:id="23"/>
      <w:bookmarkEnd w:id="24"/>
      <w:bookmarkEnd w:id="25"/>
    </w:p>
    <w:p w14:paraId="5C23DC91" w14:textId="3DB2BF25"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E64F56" w:rsidRPr="00E64F56">
        <w:t>inflammatory bowel disease</w:t>
      </w:r>
      <w:r w:rsidR="007A3989">
        <w:t xml:space="preserve"> </w:t>
      </w:r>
      <w:r w:rsidR="007C7DEE" w:rsidRPr="00AA6D8B">
        <w:t xml:space="preserve">or death from </w:t>
      </w:r>
      <w:r w:rsidR="00E64F56" w:rsidRPr="00E64F56">
        <w:t>inflammatory bowel disease</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14:paraId="17DCB427" w14:textId="0EC55773" w:rsidR="002721D8" w:rsidRDefault="002721D8" w:rsidP="00DD2D3D">
      <w:pPr>
        <w:pStyle w:val="LV2"/>
      </w:pPr>
      <w:bookmarkStart w:id="27" w:name="_Ref402530260"/>
      <w:bookmarkStart w:id="28" w:name="_Ref409598844"/>
      <w:r>
        <w:t>t</w:t>
      </w:r>
      <w:r w:rsidRPr="00BA116E">
        <w:t>aking</w:t>
      </w:r>
      <w:r>
        <w:t xml:space="preserve"> </w:t>
      </w:r>
      <w:r w:rsidRPr="00BA116E">
        <w:t>a nonsteroidal anti-inflammatory drug</w:t>
      </w:r>
      <w:r w:rsidR="00DD2D3D">
        <w:t xml:space="preserve"> </w:t>
      </w:r>
      <w:r w:rsidR="00DD2D3D" w:rsidRPr="00DD2D3D">
        <w:t>on at least ten days per month, for a continuous period of at least two months before the clinical onset of inflammatory bowel disease</w:t>
      </w:r>
      <w:r w:rsidR="00DD2D3D">
        <w:t xml:space="preserve"> and </w:t>
      </w:r>
      <w:r w:rsidR="00DD2D3D" w:rsidRPr="00DD2D3D">
        <w:t>the last dose of the drug was taken within the 14 days before the clinical onset of inflammatory bowel disease</w:t>
      </w:r>
      <w:r w:rsidR="00DD2D3D">
        <w:t>;</w:t>
      </w:r>
    </w:p>
    <w:p w14:paraId="3DA616A0" w14:textId="2A00B1C6" w:rsidR="00E202DB" w:rsidRDefault="00E202DB" w:rsidP="00900380">
      <w:pPr>
        <w:pStyle w:val="LV2"/>
      </w:pPr>
      <w:r w:rsidRPr="002721D8">
        <w:lastRenderedPageBreak/>
        <w:t>taking an interferon or a tumour necrosis factor antagonist for at least the seven days before the clinical onset of inflammatory bowel disease</w:t>
      </w:r>
      <w:r>
        <w:t>;</w:t>
      </w:r>
    </w:p>
    <w:p w14:paraId="27BEDBA2" w14:textId="01E89358" w:rsidR="0036322F" w:rsidRDefault="0036322F" w:rsidP="00900380">
      <w:pPr>
        <w:pStyle w:val="LV2"/>
      </w:pPr>
      <w:r w:rsidRPr="0036322F">
        <w:t>taking an immune checkpoint inhibitor within the one year before the clinical onset of inflammatory bowel disease</w:t>
      </w:r>
      <w:r>
        <w:t>;</w:t>
      </w:r>
    </w:p>
    <w:p w14:paraId="79ED7217" w14:textId="59BA88EC" w:rsidR="00547F4E" w:rsidRDefault="00547F4E" w:rsidP="00DD2D3D">
      <w:pPr>
        <w:pStyle w:val="LV2"/>
      </w:pPr>
      <w:r>
        <w:t>taking a c</w:t>
      </w:r>
      <w:r w:rsidR="00DD2D3D">
        <w:t xml:space="preserve">ombined oral contraceptive pill </w:t>
      </w:r>
      <w:r w:rsidR="00DD2D3D" w:rsidRPr="00DD2D3D">
        <w:t>for a continuous period of at least one year before the clinical onset of inflammatory bowel disease</w:t>
      </w:r>
      <w:r w:rsidR="00DD2D3D">
        <w:t xml:space="preserve"> and </w:t>
      </w:r>
      <w:r w:rsidR="00DD2D3D" w:rsidRPr="00DD2D3D">
        <w:t xml:space="preserve">where taking the </w:t>
      </w:r>
      <w:r w:rsidR="00243933">
        <w:t xml:space="preserve">combined </w:t>
      </w:r>
      <w:r w:rsidR="00DD2D3D" w:rsidRPr="00DD2D3D">
        <w:t>oral contraceptive pill has ceased, the clinical onset of inflammatory bowel disease has occurred within one year of cessation</w:t>
      </w:r>
      <w:r w:rsidR="00DD2D3D">
        <w:t>;</w:t>
      </w:r>
    </w:p>
    <w:p w14:paraId="5FFC91B8" w14:textId="40399A12" w:rsidR="00E51134" w:rsidRDefault="00E51134" w:rsidP="00900380">
      <w:pPr>
        <w:pStyle w:val="LV2"/>
      </w:pPr>
      <w:r w:rsidRPr="004F7A94">
        <w:t>undergoing organ or tissue transplantation, excluding corneal transplant, before the clinical onset of inflammatory bowel disease;</w:t>
      </w:r>
    </w:p>
    <w:p w14:paraId="776F1EB3" w14:textId="0C2F560B" w:rsidR="00E51134" w:rsidRDefault="00E51134" w:rsidP="00E51134">
      <w:pPr>
        <w:pStyle w:val="Note2"/>
      </w:pPr>
      <w:r>
        <w:t xml:space="preserve">Note: </w:t>
      </w:r>
      <w:r>
        <w:rPr>
          <w:b/>
          <w:i/>
        </w:rPr>
        <w:t>organ or tissue transplantation</w:t>
      </w:r>
      <w:r w:rsidR="003D4858">
        <w:t xml:space="preserve"> is defined in the Schedule 1 -</w:t>
      </w:r>
      <w:r>
        <w:t xml:space="preserve"> Dictionary.</w:t>
      </w:r>
    </w:p>
    <w:p w14:paraId="7CF9B794" w14:textId="5D002D95" w:rsidR="00811E63" w:rsidRDefault="0025634D" w:rsidP="00900380">
      <w:pPr>
        <w:pStyle w:val="LV2"/>
      </w:pPr>
      <w:r>
        <w:t>f</w:t>
      </w:r>
      <w:r w:rsidR="004B5020">
        <w:t>or Crohn disease only, having smoked at least two</w:t>
      </w:r>
      <w:r w:rsidR="00926932">
        <w:t xml:space="preserve"> pack-years of tobacco products </w:t>
      </w:r>
      <w:r w:rsidR="00926932" w:rsidRPr="00926932">
        <w:t xml:space="preserve">before the clinical onset of </w:t>
      </w:r>
      <w:r w:rsidR="007F1FA6">
        <w:t>Crohn</w:t>
      </w:r>
      <w:r w:rsidR="00926932" w:rsidRPr="00926932">
        <w:t xml:space="preserve"> disease</w:t>
      </w:r>
      <w:r w:rsidR="00FC3031">
        <w:t>,</w:t>
      </w:r>
      <w:r w:rsidR="00926932">
        <w:t xml:space="preserve"> and </w:t>
      </w:r>
      <w:r w:rsidR="00926932" w:rsidRPr="00926932">
        <w:t xml:space="preserve">where smoking has permanently ceased, the clinical onset of </w:t>
      </w:r>
      <w:r w:rsidR="007F1FA6">
        <w:t>Crohn</w:t>
      </w:r>
      <w:r w:rsidR="00926932" w:rsidRPr="00926932">
        <w:t xml:space="preserve"> disease has occurred within four years of cessation</w:t>
      </w:r>
      <w:r w:rsidR="00FC3031">
        <w:t>;</w:t>
      </w:r>
    </w:p>
    <w:p w14:paraId="751F570D" w14:textId="77777777" w:rsidR="00811E63" w:rsidRDefault="00811E63" w:rsidP="00926932">
      <w:pPr>
        <w:pStyle w:val="Note2"/>
      </w:pPr>
      <w:r w:rsidRPr="004F514E">
        <w:t xml:space="preserve">Note: </w:t>
      </w:r>
      <w:r w:rsidRPr="004F514E">
        <w:rPr>
          <w:b/>
          <w:i/>
        </w:rPr>
        <w:t>pack-year of tobacco products</w:t>
      </w:r>
      <w:r w:rsidRPr="004F514E">
        <w:t xml:space="preserve"> is defined in the Schedule</w:t>
      </w:r>
      <w:r>
        <w:t> </w:t>
      </w:r>
      <w:r w:rsidRPr="004F514E">
        <w:t>1</w:t>
      </w:r>
      <w:r>
        <w:t> </w:t>
      </w:r>
      <w:r w:rsidRPr="004F514E">
        <w:t>-</w:t>
      </w:r>
      <w:r>
        <w:t> </w:t>
      </w:r>
      <w:r w:rsidRPr="004F514E">
        <w:t>Dictionary.</w:t>
      </w:r>
    </w:p>
    <w:p w14:paraId="4E5B7CD7" w14:textId="698C0CDE" w:rsidR="0077032D" w:rsidRDefault="0077032D" w:rsidP="00900380">
      <w:pPr>
        <w:pStyle w:val="LV2"/>
      </w:pPr>
      <w:r w:rsidRPr="0077032D">
        <w:t xml:space="preserve">for ulcerative colitis only, in a person with a prior history of a regular smoking habit as specified, permanently ceasing to smoke between one and </w:t>
      </w:r>
      <w:r>
        <w:t>20</w:t>
      </w:r>
      <w:r w:rsidRPr="0077032D">
        <w:t xml:space="preserve"> years before the clinical onset</w:t>
      </w:r>
      <w:r>
        <w:t xml:space="preserve"> </w:t>
      </w:r>
      <w:r w:rsidRPr="0077032D">
        <w:t xml:space="preserve">of </w:t>
      </w:r>
      <w:r w:rsidR="007F1FA6">
        <w:t>ulcerative colitis</w:t>
      </w:r>
      <w:r w:rsidRPr="0077032D">
        <w:t>;</w:t>
      </w:r>
    </w:p>
    <w:p w14:paraId="775A0841" w14:textId="520F9974" w:rsidR="002721D8" w:rsidRDefault="0077032D" w:rsidP="00900380">
      <w:pPr>
        <w:pStyle w:val="Note2"/>
      </w:pPr>
      <w:r>
        <w:t xml:space="preserve">Note: </w:t>
      </w:r>
      <w:r w:rsidRPr="00026778">
        <w:rPr>
          <w:b/>
          <w:i/>
        </w:rPr>
        <w:t>regular smoking habit as specified</w:t>
      </w:r>
      <w:r w:rsidRPr="00046E67">
        <w:t xml:space="preserve"> is defined in the </w:t>
      </w:r>
      <w:r>
        <w:t>Schedule 1 - </w:t>
      </w:r>
      <w:r w:rsidRPr="002717B2">
        <w:t>Dictionary</w:t>
      </w:r>
      <w:r w:rsidRPr="00046E67">
        <w:t>.</w:t>
      </w:r>
    </w:p>
    <w:p w14:paraId="53FBA61D" w14:textId="77777777" w:rsidR="002721D8" w:rsidRDefault="002721D8" w:rsidP="00900380">
      <w:pPr>
        <w:pStyle w:val="LV2"/>
      </w:pPr>
      <w:r w:rsidRPr="002721D8">
        <w:t>taking a drug from the specified list of drugs for at least the seven days before the clinical worsening of inflammatory bowel disease</w:t>
      </w:r>
      <w:r>
        <w:t>;</w:t>
      </w:r>
    </w:p>
    <w:p w14:paraId="78209427" w14:textId="362F8AE6" w:rsidR="002721D8" w:rsidRPr="002721D8" w:rsidRDefault="002721D8" w:rsidP="002721D8">
      <w:pPr>
        <w:pStyle w:val="Note2"/>
      </w:pPr>
      <w:r>
        <w:t xml:space="preserve">Note: </w:t>
      </w:r>
      <w:r>
        <w:rPr>
          <w:b/>
          <w:i/>
        </w:rPr>
        <w:t>specified list of drugs</w:t>
      </w:r>
      <w:r>
        <w:rPr>
          <w:b/>
        </w:rPr>
        <w:t xml:space="preserve"> </w:t>
      </w:r>
      <w:r w:rsidR="00E64F56">
        <w:t>is</w:t>
      </w:r>
      <w:r w:rsidRPr="002721D8">
        <w:t xml:space="preserve"> defined in the Schedule 1 - Dictionary.</w:t>
      </w:r>
    </w:p>
    <w:p w14:paraId="065D6B8A" w14:textId="73D4AAD7" w:rsidR="0036322F" w:rsidRDefault="0036322F" w:rsidP="00900380">
      <w:pPr>
        <w:pStyle w:val="LV2"/>
      </w:pPr>
      <w:r w:rsidRPr="0036322F">
        <w:t>taking an immune checkpoint inhibitor within the one year before the clinical worsening of inflammatory bowel disease</w:t>
      </w:r>
      <w:r>
        <w:t>;</w:t>
      </w:r>
    </w:p>
    <w:p w14:paraId="3D1FAEF2" w14:textId="1B268B7A" w:rsidR="00900380" w:rsidRDefault="00900380" w:rsidP="003D4858">
      <w:pPr>
        <w:pStyle w:val="LV2"/>
      </w:pPr>
      <w:r>
        <w:t>taking a combined oral contraceptive pill</w:t>
      </w:r>
      <w:r w:rsidR="003D4858">
        <w:t xml:space="preserve"> </w:t>
      </w:r>
      <w:r w:rsidR="003D4858" w:rsidRPr="003D4858">
        <w:t>for a continuous period of at least one year before the clinical worsening of inflammatory bowel disease</w:t>
      </w:r>
      <w:r w:rsidR="003D4858">
        <w:t xml:space="preserve"> and </w:t>
      </w:r>
      <w:r w:rsidR="003D4858" w:rsidRPr="003D4858">
        <w:t xml:space="preserve">where taking the </w:t>
      </w:r>
      <w:r w:rsidR="008E1CFC">
        <w:t xml:space="preserve">combined </w:t>
      </w:r>
      <w:r w:rsidR="003D4858" w:rsidRPr="003D4858">
        <w:t>oral contraceptive pill has ceased, the clinical worsening of inflammatory bowel disease has occurred within one year of cessation</w:t>
      </w:r>
      <w:r w:rsidR="003D4858">
        <w:t>;</w:t>
      </w:r>
    </w:p>
    <w:p w14:paraId="48F332BF" w14:textId="2005A6B4" w:rsidR="00BA2199" w:rsidRDefault="00BA2199" w:rsidP="003D4858">
      <w:pPr>
        <w:pStyle w:val="LV2"/>
        <w:keepNext/>
      </w:pPr>
      <w:r w:rsidRPr="00D21450">
        <w:t>undergoing organ or tissue transplantation, excluding corneal transplant, before the clinical worsening of inflammatory bowel disease;</w:t>
      </w:r>
    </w:p>
    <w:p w14:paraId="34EEAA45" w14:textId="2F2FA8CC" w:rsidR="00BA2199" w:rsidRDefault="00BA2199" w:rsidP="00BA2199">
      <w:pPr>
        <w:pStyle w:val="Note2"/>
      </w:pPr>
      <w:r w:rsidRPr="00D21450">
        <w:t xml:space="preserve">Note: </w:t>
      </w:r>
      <w:r w:rsidRPr="00D21450">
        <w:rPr>
          <w:b/>
          <w:i/>
        </w:rPr>
        <w:t>organ or tissue transplantation</w:t>
      </w:r>
      <w:r w:rsidR="003D4858">
        <w:t xml:space="preserve"> is defined in the Schedule 1 -</w:t>
      </w:r>
      <w:r w:rsidRPr="00D21450">
        <w:t xml:space="preserve"> Dictionary.</w:t>
      </w:r>
    </w:p>
    <w:p w14:paraId="4306ED96" w14:textId="77777777" w:rsidR="00E15230" w:rsidRDefault="00E15230" w:rsidP="00900380">
      <w:pPr>
        <w:pStyle w:val="LV2"/>
      </w:pPr>
      <w:r w:rsidRPr="00D21450">
        <w:t>experiencing a category 1A stressor within the three months before the clinical worsening of inflammatory bowel disease;</w:t>
      </w:r>
    </w:p>
    <w:p w14:paraId="7BD56922" w14:textId="77777777" w:rsidR="00E15230" w:rsidRDefault="00E15230" w:rsidP="00E15230">
      <w:pPr>
        <w:pStyle w:val="Note2"/>
      </w:pPr>
      <w:r>
        <w:t xml:space="preserve">Note: </w:t>
      </w:r>
      <w:r w:rsidRPr="00D21450">
        <w:rPr>
          <w:b/>
          <w:i/>
        </w:rPr>
        <w:t>category 1A stressor</w:t>
      </w:r>
      <w:r w:rsidRPr="00D21450">
        <w:t xml:space="preserve"> </w:t>
      </w:r>
      <w:r>
        <w:t xml:space="preserve">is defined </w:t>
      </w:r>
      <w:r w:rsidRPr="00D21450">
        <w:t>in the Schedule 1 - Dictionary.</w:t>
      </w:r>
    </w:p>
    <w:p w14:paraId="452F2ECB" w14:textId="77777777" w:rsidR="001F589B" w:rsidRDefault="001F589B" w:rsidP="00900380">
      <w:pPr>
        <w:pStyle w:val="LV2"/>
      </w:pPr>
      <w:r>
        <w:lastRenderedPageBreak/>
        <w:tab/>
        <w:t>experiencing a category 1B stressor within the three months before the clinical worsening of inflammatory bowel disease;</w:t>
      </w:r>
    </w:p>
    <w:p w14:paraId="3E22FBE3" w14:textId="77777777" w:rsidR="001F589B" w:rsidRDefault="001F589B" w:rsidP="001F589B">
      <w:pPr>
        <w:pStyle w:val="Note2"/>
      </w:pPr>
      <w:r>
        <w:t xml:space="preserve">Note: </w:t>
      </w:r>
      <w:r w:rsidRPr="001F589B">
        <w:rPr>
          <w:b/>
          <w:i/>
        </w:rPr>
        <w:t>category 1B stressor</w:t>
      </w:r>
      <w:r>
        <w:t xml:space="preserve"> is defined in the Schedule 1 - Dictionary.</w:t>
      </w:r>
    </w:p>
    <w:p w14:paraId="5F25FAA5" w14:textId="77777777" w:rsidR="004B5020" w:rsidRDefault="004B5020" w:rsidP="00900380">
      <w:pPr>
        <w:pStyle w:val="LV2"/>
      </w:pPr>
      <w:r w:rsidRPr="00183039">
        <w:t>experiencing a category 2 stressor within the 30 days before the clinical worsening of inflammatory bowel disease;</w:t>
      </w:r>
    </w:p>
    <w:p w14:paraId="4F0D7B36" w14:textId="77777777" w:rsidR="004B5020" w:rsidRDefault="004B5020" w:rsidP="004B5020">
      <w:pPr>
        <w:pStyle w:val="Note2"/>
        <w:ind w:left="1985" w:hanging="567"/>
      </w:pPr>
      <w:r>
        <w:t>Note 1: A category 2 stressor can arise in a variety of circumstances connected with service. Such circumstances can arise during the course of service, as a result of separation from service and the conditions associated with that separation, and in the transition to civilian life in the years following separation.</w:t>
      </w:r>
    </w:p>
    <w:p w14:paraId="533C9657" w14:textId="77777777" w:rsidR="001F589B" w:rsidRDefault="004B5020" w:rsidP="004B5020">
      <w:pPr>
        <w:pStyle w:val="Note2"/>
      </w:pPr>
      <w:r>
        <w:t xml:space="preserve">Note 2: </w:t>
      </w:r>
      <w:r w:rsidRPr="002B3877">
        <w:rPr>
          <w:b/>
          <w:i/>
        </w:rPr>
        <w:t>category 2 stressor</w:t>
      </w:r>
      <w:r>
        <w:t xml:space="preserve"> is defined in the Schedule 1 - Dictionary.</w:t>
      </w:r>
    </w:p>
    <w:p w14:paraId="56606BA2" w14:textId="76B3C494" w:rsidR="0025634D" w:rsidRDefault="0025634D" w:rsidP="00900380">
      <w:pPr>
        <w:pStyle w:val="LV2"/>
      </w:pPr>
      <w:r>
        <w:t>f</w:t>
      </w:r>
      <w:r w:rsidR="007B14D2">
        <w:t>or Crohn disease only, having smoked at least two</w:t>
      </w:r>
      <w:r w:rsidR="00926932">
        <w:t xml:space="preserve"> pack-years of tobacco products </w:t>
      </w:r>
      <w:r w:rsidR="00926932" w:rsidRPr="00926932">
        <w:t xml:space="preserve">before the clinical worsening of </w:t>
      </w:r>
      <w:r w:rsidR="00951E79">
        <w:t>Crohn</w:t>
      </w:r>
      <w:r w:rsidR="00926932" w:rsidRPr="00926932">
        <w:t xml:space="preserve"> disease</w:t>
      </w:r>
      <w:r w:rsidR="00FC3031">
        <w:t>,</w:t>
      </w:r>
      <w:r w:rsidR="00926932">
        <w:t xml:space="preserve"> and </w:t>
      </w:r>
      <w:r w:rsidR="00926932" w:rsidRPr="00926932">
        <w:t xml:space="preserve">where smoking has permanently ceased, the clinical worsening of </w:t>
      </w:r>
      <w:r w:rsidR="00951E79">
        <w:t>Crohn</w:t>
      </w:r>
      <w:r w:rsidR="00926932" w:rsidRPr="00926932">
        <w:t xml:space="preserve"> disease has occurred within four years of cessation</w:t>
      </w:r>
      <w:r w:rsidR="00926932">
        <w:t>;</w:t>
      </w:r>
    </w:p>
    <w:p w14:paraId="3BB0CE67" w14:textId="77777777" w:rsidR="00811E63" w:rsidRDefault="00811E63" w:rsidP="00926932">
      <w:pPr>
        <w:pStyle w:val="Note2"/>
      </w:pPr>
      <w:r w:rsidRPr="00811E63">
        <w:t xml:space="preserve">Note: </w:t>
      </w:r>
      <w:r w:rsidRPr="00811E63">
        <w:rPr>
          <w:b/>
          <w:i/>
        </w:rPr>
        <w:t>pack-year of tobacco products</w:t>
      </w:r>
      <w:r w:rsidRPr="00811E63">
        <w:t xml:space="preserve"> is defined in the Schedule 1 - Dictionary.</w:t>
      </w:r>
    </w:p>
    <w:p w14:paraId="08EB24F5" w14:textId="4B915881" w:rsidR="007C7DEE" w:rsidRPr="008D1B8B" w:rsidRDefault="007C7DEE" w:rsidP="00900380">
      <w:pPr>
        <w:pStyle w:val="LV2"/>
      </w:pPr>
      <w:proofErr w:type="gramStart"/>
      <w:r w:rsidRPr="008D1B8B">
        <w:t>inability</w:t>
      </w:r>
      <w:proofErr w:type="gramEnd"/>
      <w:r w:rsidRPr="008D1B8B">
        <w:t xml:space="preserve"> to obtain appropriate clinical management for</w:t>
      </w:r>
      <w:bookmarkEnd w:id="27"/>
      <w:r w:rsidR="007A3989">
        <w:t xml:space="preserve"> </w:t>
      </w:r>
      <w:r w:rsidR="00E64F56" w:rsidRPr="00E64F56">
        <w:t>inflammatory bowel disease</w:t>
      </w:r>
      <w:r w:rsidR="00D5620B" w:rsidRPr="008D1B8B">
        <w:t>.</w:t>
      </w:r>
      <w:bookmarkEnd w:id="28"/>
    </w:p>
    <w:p w14:paraId="3FF56ED2" w14:textId="77777777" w:rsidR="000C21A3" w:rsidRPr="00684C0E" w:rsidRDefault="00D32F71">
      <w:pPr>
        <w:pStyle w:val="LV1"/>
      </w:pPr>
      <w:bookmarkStart w:id="29" w:name="_Toc53668286"/>
      <w:bookmarkStart w:id="30" w:name="_Ref402530057"/>
      <w:r>
        <w:t>Relationship to s</w:t>
      </w:r>
      <w:r w:rsidR="000C21A3" w:rsidRPr="00684C0E">
        <w:t>ervice</w:t>
      </w:r>
      <w:bookmarkEnd w:id="29"/>
    </w:p>
    <w:p w14:paraId="45A94162" w14:textId="77777777" w:rsidR="00F03C06" w:rsidRPr="00187DE1" w:rsidRDefault="00F03C06" w:rsidP="00900380">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14:paraId="093E374E" w14:textId="27154AD8" w:rsidR="00CF2367" w:rsidRPr="00187DE1" w:rsidRDefault="00F03C06" w:rsidP="00900380">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7127CD">
        <w:t>8</w:t>
      </w:r>
      <w:r w:rsidR="00FF1D47">
        <w:t>)</w:t>
      </w:r>
      <w:r w:rsidR="007127CD">
        <w:t xml:space="preserve"> to </w:t>
      </w:r>
      <w:r w:rsidR="00856A90">
        <w:t>9</w:t>
      </w:r>
      <w:r w:rsidR="00926932">
        <w:t>(16</w:t>
      </w:r>
      <w:r w:rsidR="007127CD">
        <w:t>)</w:t>
      </w:r>
      <w:r w:rsidR="00181048">
        <w:t xml:space="preserve"> </w:t>
      </w:r>
      <w:r w:rsidRPr="00187DE1">
        <w:t>appl</w:t>
      </w:r>
      <w:r w:rsidR="00FF1D47">
        <w:t>y</w:t>
      </w:r>
      <w:r w:rsidRPr="00187DE1">
        <w:t xml:space="preserve"> only to material contribution to, or aggravation of, </w:t>
      </w:r>
      <w:r w:rsidR="00E64F56" w:rsidRPr="00E64F56">
        <w:t>inflammatory bowel disease</w:t>
      </w:r>
      <w:r w:rsidR="007A3989">
        <w:t xml:space="preserve"> </w:t>
      </w:r>
      <w:r w:rsidRPr="00187DE1">
        <w:t>where the person</w:t>
      </w:r>
      <w:r w:rsidR="008721B5">
        <w:t>'</w:t>
      </w:r>
      <w:r w:rsidRPr="00187DE1">
        <w:t xml:space="preserve">s </w:t>
      </w:r>
      <w:r w:rsidR="00E64F56" w:rsidRPr="00E64F56">
        <w:t>inflammatory bowel disease</w:t>
      </w:r>
      <w:r w:rsidR="007A3989">
        <w:t xml:space="preserve"> </w:t>
      </w:r>
      <w:r w:rsidRPr="00187DE1">
        <w:t>was suffered or contracted before or during (but did not arise out of) the person</w:t>
      </w:r>
      <w:r w:rsidR="008721B5">
        <w:t>'</w:t>
      </w:r>
      <w:r w:rsidRPr="00187DE1">
        <w:t xml:space="preserve">s relevant service. </w:t>
      </w:r>
    </w:p>
    <w:p w14:paraId="32DC51A0" w14:textId="1E4F43A8" w:rsidR="00774897" w:rsidRPr="00301C54" w:rsidRDefault="00774897" w:rsidP="00A07743">
      <w:pPr>
        <w:pStyle w:val="LV1"/>
        <w:keepNext/>
        <w:keepLines/>
      </w:pPr>
      <w:bookmarkStart w:id="31" w:name="_Toc53668287"/>
      <w:r w:rsidRPr="00301C54">
        <w:t>Factors referring to an injury or disea</w:t>
      </w:r>
      <w:r w:rsidR="008B2204">
        <w:t>se covered by another Statement</w:t>
      </w:r>
      <w:r w:rsidRPr="00301C54">
        <w:t xml:space="preserve"> of Principles</w:t>
      </w:r>
      <w:bookmarkEnd w:id="31"/>
    </w:p>
    <w:p w14:paraId="493439FF" w14:textId="77777777" w:rsidR="00F03C06" w:rsidRPr="00E64EE4" w:rsidRDefault="00F03C06" w:rsidP="00A07743">
      <w:pPr>
        <w:pStyle w:val="PlainIndent"/>
        <w:keepNext/>
        <w:keepLines/>
      </w:pPr>
      <w:r w:rsidRPr="00E64EE4">
        <w:t>In this Statement of Principles:</w:t>
      </w:r>
    </w:p>
    <w:p w14:paraId="73A1C16D" w14:textId="77777777" w:rsidR="00F03C06" w:rsidRPr="00E64EE4" w:rsidRDefault="00F03C06" w:rsidP="00900380">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1F8671FA" w14:textId="77777777" w:rsidR="00733269" w:rsidRPr="00E64EE4" w:rsidRDefault="00F03C06" w:rsidP="00900380">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03CF5592" w14:textId="77777777"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14:paraId="44127C09" w14:textId="77777777" w:rsidR="00782F4E" w:rsidRPr="00E64EE4" w:rsidRDefault="00782F4E" w:rsidP="00DF65CF">
      <w:pPr>
        <w:pStyle w:val="PlainIndent"/>
      </w:pPr>
    </w:p>
    <w:p w14:paraId="142D2F60" w14:textId="77777777" w:rsidR="00081B7C" w:rsidRPr="00FA33FB" w:rsidRDefault="00081B7C" w:rsidP="00DF65CF">
      <w:pPr>
        <w:pStyle w:val="PlainIndent"/>
        <w:sectPr w:rsidR="00081B7C" w:rsidRPr="00FA33FB" w:rsidSect="006F2D64">
          <w:footerReference w:type="default" r:id="rId10"/>
          <w:headerReference w:type="first" r:id="rId11"/>
          <w:footerReference w:type="first" r:id="rId12"/>
          <w:pgSz w:w="11907" w:h="16839" w:code="9"/>
          <w:pgMar w:top="1843" w:right="1797" w:bottom="1440" w:left="1797" w:header="720" w:footer="709" w:gutter="0"/>
          <w:pgNumType w:start="1"/>
          <w:cols w:space="708"/>
          <w:titlePg/>
          <w:docGrid w:linePitch="360"/>
        </w:sectPr>
      </w:pPr>
    </w:p>
    <w:p w14:paraId="247F4201" w14:textId="77777777" w:rsidR="00F03C06" w:rsidRDefault="00F03C06" w:rsidP="00DF65CF">
      <w:pPr>
        <w:pStyle w:val="PlainIndent"/>
      </w:pPr>
    </w:p>
    <w:p w14:paraId="4113E8D2" w14:textId="77777777" w:rsidR="00CF2367" w:rsidRPr="00FA33FB" w:rsidRDefault="00CF2367" w:rsidP="002A3436">
      <w:pPr>
        <w:pStyle w:val="SHHeader"/>
      </w:pPr>
      <w:bookmarkStart w:id="32" w:name="opcAmSched"/>
      <w:bookmarkStart w:id="33" w:name="opcCurrentFind"/>
      <w:bookmarkStart w:id="34" w:name="_Toc5366828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33D78C91"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6F386D11" w14:textId="77777777" w:rsidR="00BD3334" w:rsidRDefault="00702C42" w:rsidP="00516768">
      <w:pPr>
        <w:pStyle w:val="SH1"/>
      </w:pPr>
      <w:bookmarkStart w:id="35" w:name="_Toc405472918"/>
      <w:bookmarkStart w:id="36" w:name="_Toc53668289"/>
      <w:r w:rsidRPr="00D97BB3">
        <w:t>Definitions</w:t>
      </w:r>
      <w:bookmarkEnd w:id="35"/>
      <w:bookmarkEnd w:id="36"/>
    </w:p>
    <w:p w14:paraId="62BD0F92" w14:textId="77777777" w:rsidR="0077032D" w:rsidRDefault="00702C42" w:rsidP="0077032D">
      <w:pPr>
        <w:pStyle w:val="SH2"/>
      </w:pPr>
      <w:r w:rsidRPr="00516768">
        <w:t>In this instrument:</w:t>
      </w:r>
      <w:bookmarkStart w:id="37" w:name="_Ref402530810"/>
    </w:p>
    <w:p w14:paraId="0A0B518C" w14:textId="77777777" w:rsidR="00E15230" w:rsidRDefault="00E15230" w:rsidP="00E15230">
      <w:pPr>
        <w:pStyle w:val="SH3"/>
        <w:ind w:left="851"/>
      </w:pPr>
      <w:r w:rsidRPr="00D21450">
        <w:rPr>
          <w:b/>
          <w:i/>
        </w:rPr>
        <w:t>category 1A stressor</w:t>
      </w:r>
      <w:r>
        <w:t xml:space="preserve"> means one of the following severe traumatic events:</w:t>
      </w:r>
    </w:p>
    <w:p w14:paraId="6F4424D9" w14:textId="77777777" w:rsidR="00E15230" w:rsidRDefault="00E15230">
      <w:pPr>
        <w:pStyle w:val="SH4"/>
      </w:pPr>
      <w:r w:rsidRPr="008D1205">
        <w:t>being subject to a serious physical attack or assault including rape and sexual molestation;</w:t>
      </w:r>
    </w:p>
    <w:p w14:paraId="2446937E" w14:textId="77777777" w:rsidR="00E15230" w:rsidRDefault="00E15230">
      <w:pPr>
        <w:pStyle w:val="SH4"/>
      </w:pPr>
      <w:r w:rsidRPr="008D1205">
        <w:t>being threatened with a weapon, being held captive, being kidnapped or being tortured</w:t>
      </w:r>
      <w:r>
        <w:t>; or</w:t>
      </w:r>
    </w:p>
    <w:p w14:paraId="42950996" w14:textId="77777777" w:rsidR="00E15230" w:rsidRDefault="00E15230">
      <w:pPr>
        <w:pStyle w:val="SH4"/>
      </w:pPr>
      <w:proofErr w:type="gramStart"/>
      <w:r>
        <w:t>experiencing</w:t>
      </w:r>
      <w:proofErr w:type="gramEnd"/>
      <w:r>
        <w:t xml:space="preserve"> a life-threatening event.</w:t>
      </w:r>
    </w:p>
    <w:p w14:paraId="6A9D9DE6" w14:textId="77777777" w:rsidR="00AA013A" w:rsidRDefault="00AA013A" w:rsidP="00AA013A">
      <w:pPr>
        <w:pStyle w:val="SH3"/>
        <w:ind w:left="851"/>
      </w:pPr>
      <w:r w:rsidRPr="00EA315A">
        <w:rPr>
          <w:b/>
          <w:i/>
        </w:rPr>
        <w:t>category 1B stressor</w:t>
      </w:r>
      <w:r>
        <w:t xml:space="preserve"> means one of the following severe traumatic events:</w:t>
      </w:r>
    </w:p>
    <w:p w14:paraId="3BBF7BAA" w14:textId="77777777" w:rsidR="00AA013A" w:rsidRDefault="00AA013A">
      <w:pPr>
        <w:pStyle w:val="SH4"/>
      </w:pPr>
      <w:r w:rsidRPr="008D1205">
        <w:t>being an eyewitness to a person being killed or critically injured;</w:t>
      </w:r>
    </w:p>
    <w:p w14:paraId="3BF7ECF1" w14:textId="77777777" w:rsidR="00AA013A" w:rsidRDefault="00AA013A">
      <w:pPr>
        <w:pStyle w:val="SH4"/>
      </w:pPr>
      <w:r w:rsidRPr="008D1205">
        <w:t>being an eyewitness to atrocities inflicted on another person;</w:t>
      </w:r>
    </w:p>
    <w:p w14:paraId="3149BEA1" w14:textId="77777777" w:rsidR="00AA013A" w:rsidRDefault="00AA013A">
      <w:pPr>
        <w:pStyle w:val="SH4"/>
      </w:pPr>
      <w:r>
        <w:t xml:space="preserve">killing or maiming a person; </w:t>
      </w:r>
    </w:p>
    <w:p w14:paraId="75230199" w14:textId="77777777" w:rsidR="00AA013A" w:rsidRDefault="00AA013A">
      <w:pPr>
        <w:pStyle w:val="SH4"/>
      </w:pPr>
      <w:r>
        <w:t>participating in the clearance of a corpse or a critically injured casualty; or</w:t>
      </w:r>
    </w:p>
    <w:p w14:paraId="5B0145FD" w14:textId="77777777" w:rsidR="00AA013A" w:rsidRDefault="00AA013A">
      <w:pPr>
        <w:pStyle w:val="SH4"/>
      </w:pPr>
      <w:proofErr w:type="gramStart"/>
      <w:r>
        <w:t>viewing</w:t>
      </w:r>
      <w:proofErr w:type="gramEnd"/>
      <w:r>
        <w:t xml:space="preserve"> a corpse or a critically injured casualty as an eyewitness.</w:t>
      </w:r>
    </w:p>
    <w:p w14:paraId="5AE6DB0B" w14:textId="77777777" w:rsidR="00AA013A" w:rsidRDefault="00AA013A" w:rsidP="00AA013A">
      <w:pPr>
        <w:pStyle w:val="ScheduleNote"/>
      </w:pPr>
      <w:r w:rsidRPr="00AC38D9">
        <w:t xml:space="preserve">Note: </w:t>
      </w:r>
      <w:r w:rsidRPr="00AC38D9">
        <w:rPr>
          <w:b/>
          <w:i/>
        </w:rPr>
        <w:t>corpse</w:t>
      </w:r>
      <w:r w:rsidRPr="00AC38D9">
        <w:t xml:space="preserve"> and </w:t>
      </w:r>
      <w:r w:rsidRPr="00AC38D9">
        <w:rPr>
          <w:b/>
          <w:i/>
        </w:rPr>
        <w:t>eyewitness</w:t>
      </w:r>
      <w:r w:rsidRPr="00AC38D9">
        <w:t xml:space="preserve"> are also defined in the Schedule 1 - Dictionary.</w:t>
      </w:r>
    </w:p>
    <w:p w14:paraId="656E108E" w14:textId="77777777" w:rsidR="00AA013A" w:rsidRDefault="00AA013A" w:rsidP="00AA013A">
      <w:pPr>
        <w:pStyle w:val="SH3"/>
        <w:ind w:left="851"/>
      </w:pPr>
      <w:r w:rsidRPr="006913E7">
        <w:rPr>
          <w:b/>
          <w:i/>
        </w:rPr>
        <w:t>category 2 stressor</w:t>
      </w:r>
      <w:r>
        <w:t xml:space="preserve"> means one of the following negative life events, the effects of which are chronic in nature and cause the person to feel ongoing distress, concern or worry:</w:t>
      </w:r>
    </w:p>
    <w:p w14:paraId="4A7E1670" w14:textId="77777777" w:rsidR="00AA013A" w:rsidRDefault="00AA013A">
      <w:pPr>
        <w:pStyle w:val="SH4"/>
      </w:pPr>
      <w:r w:rsidRPr="008D1205">
        <w:t>being a full-time caregiver to a family member or significant other with a severe physical, men</w:t>
      </w:r>
      <w:r>
        <w:t>tal or developmental disability;</w:t>
      </w:r>
    </w:p>
    <w:p w14:paraId="622FB461" w14:textId="77777777" w:rsidR="00AA013A" w:rsidRDefault="00AA013A">
      <w:pPr>
        <w:pStyle w:val="SH4"/>
      </w:pPr>
      <w:r>
        <w:t>being socially isolated and unable to maintain friendships or family relationships, due to physical location, language barriers, disability, or medical or psychiatric illness;</w:t>
      </w:r>
    </w:p>
    <w:p w14:paraId="5B27EA71" w14:textId="77777777" w:rsidR="00AA013A" w:rsidRDefault="00AA013A">
      <w:pPr>
        <w:pStyle w:val="SH4"/>
      </w:pPr>
      <w:r>
        <w:t>experiencing a problem with a long-term relationship including the break-up of a close personal relationship, the need for marital or relationship counselling, marital separation or divorce;</w:t>
      </w:r>
    </w:p>
    <w:p w14:paraId="2559DEE6" w14:textId="77777777" w:rsidR="00AA013A" w:rsidRDefault="00AA013A">
      <w:pPr>
        <w:pStyle w:val="SH4"/>
      </w:pPr>
      <w:r w:rsidRPr="008D1205">
        <w:t>experiencing serious legal issues including being detained or held in custody, ongoing involvement with the police concerning violations of the law, or court appearances associated with personal legal problems;</w:t>
      </w:r>
    </w:p>
    <w:p w14:paraId="03C8DBF9" w14:textId="77777777" w:rsidR="00AA013A" w:rsidRDefault="00AA013A">
      <w:pPr>
        <w:pStyle w:val="SH4"/>
      </w:pPr>
      <w:r w:rsidRPr="008D1205">
        <w:t>having a family member or significant other experience a major deterioration in their health</w:t>
      </w:r>
      <w:r>
        <w:t>;</w:t>
      </w:r>
    </w:p>
    <w:p w14:paraId="4BAB9EB2" w14:textId="77777777" w:rsidR="00AA013A" w:rsidRDefault="00AA013A">
      <w:pPr>
        <w:pStyle w:val="SH4"/>
      </w:pPr>
      <w:r>
        <w:t>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 or</w:t>
      </w:r>
    </w:p>
    <w:p w14:paraId="11F3F832" w14:textId="77777777" w:rsidR="00AA013A" w:rsidRDefault="00AA013A">
      <w:pPr>
        <w:pStyle w:val="SH4"/>
      </w:pPr>
      <w:proofErr w:type="gramStart"/>
      <w:r>
        <w:t>having</w:t>
      </w:r>
      <w:proofErr w:type="gramEnd"/>
      <w:r>
        <w:t xml:space="preserve"> severe financial hardship including loss of employment, long periods of unemployment, foreclosure on a property or bankruptcy.</w:t>
      </w:r>
    </w:p>
    <w:p w14:paraId="57854E5C" w14:textId="0D7E71CC" w:rsidR="00AA013A" w:rsidRDefault="00AA013A" w:rsidP="00AA013A">
      <w:pPr>
        <w:pStyle w:val="ScheduleNote"/>
      </w:pPr>
      <w:r>
        <w:t xml:space="preserve">Note: </w:t>
      </w:r>
      <w:r w:rsidRPr="00230300">
        <w:rPr>
          <w:b/>
          <w:i/>
        </w:rPr>
        <w:t>significant other</w:t>
      </w:r>
      <w:r w:rsidRPr="00230300">
        <w:t xml:space="preserve"> is also defined in the Schedule 1 </w:t>
      </w:r>
      <w:r w:rsidR="00463101">
        <w:t>-</w:t>
      </w:r>
      <w:r w:rsidRPr="00230300">
        <w:t xml:space="preserve"> Dictionary</w:t>
      </w:r>
      <w:r>
        <w:t>.</w:t>
      </w:r>
    </w:p>
    <w:p w14:paraId="301C021B" w14:textId="77777777" w:rsidR="00AA013A" w:rsidRDefault="00AA013A" w:rsidP="00AA013A">
      <w:pPr>
        <w:pStyle w:val="SH3"/>
        <w:ind w:left="851"/>
      </w:pPr>
      <w:proofErr w:type="gramStart"/>
      <w:r w:rsidRPr="00AC38D9">
        <w:rPr>
          <w:b/>
          <w:i/>
        </w:rPr>
        <w:lastRenderedPageBreak/>
        <w:t>corpse</w:t>
      </w:r>
      <w:proofErr w:type="gramEnd"/>
      <w:r w:rsidRPr="00AC38D9">
        <w:t xml:space="preserve"> means the human remains or body parts of one or more persons who have met a violent or horrific death.</w:t>
      </w:r>
    </w:p>
    <w:p w14:paraId="3D8981C0" w14:textId="77777777" w:rsidR="00AA013A" w:rsidRDefault="00AA013A" w:rsidP="00AA013A">
      <w:pPr>
        <w:pStyle w:val="ScheduleNote"/>
        <w:ind w:left="1276" w:hanging="425"/>
      </w:pPr>
      <w:r>
        <w:t xml:space="preserve">Note: </w:t>
      </w:r>
      <w:r w:rsidRPr="00AC38D9">
        <w:t>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14:paraId="5F438893" w14:textId="3426E3C6" w:rsidR="003778F5" w:rsidRPr="000B5081" w:rsidRDefault="003778F5" w:rsidP="003778F5">
      <w:pPr>
        <w:pStyle w:val="SH3"/>
        <w:ind w:left="851"/>
      </w:pPr>
      <w:r w:rsidRPr="00271626">
        <w:rPr>
          <w:b/>
          <w:i/>
        </w:rPr>
        <w:t>Crohn disease</w:t>
      </w:r>
      <w:r w:rsidRPr="00271626">
        <w:t xml:space="preserve"> means a form of inflammatory bowel disease characterised by transmural inflammation and discontinuous areas of involvement along the </w:t>
      </w:r>
      <w:r w:rsidRPr="000B5081">
        <w:t>bowel.  The inflammation may lead to</w:t>
      </w:r>
      <w:r w:rsidR="00053D4E" w:rsidRPr="000B5081">
        <w:t xml:space="preserve"> any of the following</w:t>
      </w:r>
      <w:r w:rsidRPr="000B5081">
        <w:t xml:space="preserve">: </w:t>
      </w:r>
    </w:p>
    <w:p w14:paraId="3CDB69D6" w14:textId="77777777" w:rsidR="003778F5" w:rsidRDefault="003778F5">
      <w:pPr>
        <w:pStyle w:val="SH4"/>
      </w:pPr>
      <w:r>
        <w:t>fibrosis;</w:t>
      </w:r>
    </w:p>
    <w:p w14:paraId="487808F0" w14:textId="77777777" w:rsidR="003778F5" w:rsidRDefault="003778F5">
      <w:pPr>
        <w:pStyle w:val="SH4"/>
      </w:pPr>
      <w:r w:rsidRPr="00271626">
        <w:t>fistulas</w:t>
      </w:r>
      <w:r>
        <w:t>;</w:t>
      </w:r>
    </w:p>
    <w:p w14:paraId="3FFBC2FE" w14:textId="77777777" w:rsidR="003778F5" w:rsidRDefault="003778F5">
      <w:pPr>
        <w:pStyle w:val="SH4"/>
      </w:pPr>
      <w:r w:rsidRPr="00271626">
        <w:t>obstructive clinical presentations</w:t>
      </w:r>
      <w:r>
        <w:t>;</w:t>
      </w:r>
    </w:p>
    <w:p w14:paraId="38746204" w14:textId="3C30BC13" w:rsidR="003778F5" w:rsidRDefault="003778F5">
      <w:pPr>
        <w:pStyle w:val="SH4"/>
      </w:pPr>
      <w:r>
        <w:t>sinus tracts;</w:t>
      </w:r>
      <w:r w:rsidRPr="00271626">
        <w:t xml:space="preserve"> </w:t>
      </w:r>
      <w:r w:rsidR="00053D4E">
        <w:t>or</w:t>
      </w:r>
    </w:p>
    <w:p w14:paraId="63E101D4" w14:textId="77777777" w:rsidR="003778F5" w:rsidRDefault="003778F5">
      <w:pPr>
        <w:pStyle w:val="SH4"/>
      </w:pPr>
      <w:proofErr w:type="gramStart"/>
      <w:r>
        <w:t>strictures</w:t>
      </w:r>
      <w:proofErr w:type="gramEnd"/>
      <w:r w:rsidRPr="00271626">
        <w:t>.</w:t>
      </w:r>
    </w:p>
    <w:p w14:paraId="4A0FFBB4" w14:textId="77777777" w:rsidR="003778F5" w:rsidRPr="00E15230" w:rsidRDefault="003778F5" w:rsidP="003778F5">
      <w:pPr>
        <w:pStyle w:val="SH3"/>
      </w:pPr>
      <w:proofErr w:type="gramStart"/>
      <w:r w:rsidRPr="004E61BA">
        <w:rPr>
          <w:b/>
          <w:i/>
        </w:rPr>
        <w:t>eyewitness</w:t>
      </w:r>
      <w:proofErr w:type="gramEnd"/>
      <w:r w:rsidRPr="004E61BA">
        <w:t xml:space="preserve"> means a person who experiences an incident first-hand and can give direct evidence of it.  This excludes persons exposed only to public broadcasting or mass media coverage of the incident.</w:t>
      </w:r>
    </w:p>
    <w:p w14:paraId="6238127D" w14:textId="7D0875C4" w:rsidR="0077032D" w:rsidRPr="00513D05" w:rsidRDefault="00E64F56" w:rsidP="0077032D">
      <w:pPr>
        <w:pStyle w:val="SH3"/>
        <w:ind w:left="851"/>
      </w:pPr>
      <w:proofErr w:type="gramStart"/>
      <w:r w:rsidRPr="00E64F56">
        <w:rPr>
          <w:b/>
          <w:i/>
        </w:rPr>
        <w:t>inflammatory</w:t>
      </w:r>
      <w:proofErr w:type="gramEnd"/>
      <w:r w:rsidRPr="00E64F56">
        <w:rPr>
          <w:b/>
          <w:i/>
        </w:rPr>
        <w:t xml:space="preserve"> bowel disease</w:t>
      </w:r>
      <w:r w:rsidR="0077032D" w:rsidRPr="00513D05">
        <w:t>—see subsection</w:t>
      </w:r>
      <w:r w:rsidR="0077032D">
        <w:t xml:space="preserve"> 7(2).</w:t>
      </w:r>
    </w:p>
    <w:p w14:paraId="1C2A270B" w14:textId="77777777"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14:paraId="18289E7A" w14:textId="0E58E0EB" w:rsidR="00E51134" w:rsidRDefault="00E51134" w:rsidP="00E51134">
      <w:pPr>
        <w:pStyle w:val="SH3"/>
        <w:ind w:left="851"/>
      </w:pPr>
      <w:r w:rsidRPr="004F7A94">
        <w:rPr>
          <w:b/>
          <w:i/>
        </w:rPr>
        <w:t>organ or tissue transplantation</w:t>
      </w:r>
      <w:r>
        <w:t xml:space="preserve"> means</w:t>
      </w:r>
      <w:r w:rsidR="00D55ED5">
        <w:t xml:space="preserve"> the transplantation of</w:t>
      </w:r>
      <w:r>
        <w:t xml:space="preserve">: </w:t>
      </w:r>
    </w:p>
    <w:p w14:paraId="69545AC0" w14:textId="5B00B66D" w:rsidR="00E51134" w:rsidRDefault="00E51134">
      <w:pPr>
        <w:pStyle w:val="SH4"/>
      </w:pPr>
      <w:r>
        <w:t>all or part of an organ or tissue; or</w:t>
      </w:r>
    </w:p>
    <w:p w14:paraId="642A6CF0" w14:textId="0E124526" w:rsidR="00E51134" w:rsidRPr="00E51134" w:rsidRDefault="00E51134">
      <w:pPr>
        <w:pStyle w:val="SH4"/>
      </w:pPr>
      <w:proofErr w:type="gramStart"/>
      <w:r>
        <w:t>a</w:t>
      </w:r>
      <w:proofErr w:type="gramEnd"/>
      <w:r>
        <w:t xml:space="preserve"> substance obtained from an organ or tissue.</w:t>
      </w:r>
    </w:p>
    <w:p w14:paraId="4AA21053" w14:textId="77777777" w:rsidR="0077032D" w:rsidRDefault="0077032D" w:rsidP="0077032D">
      <w:pPr>
        <w:pStyle w:val="SH3"/>
        <w:ind w:left="851"/>
      </w:pPr>
      <w:r w:rsidRPr="004F514E">
        <w:rPr>
          <w:b/>
          <w:i/>
        </w:rPr>
        <w:t>pack-year of tobacco products</w:t>
      </w:r>
      <w:r>
        <w:t xml:space="preserve"> means:</w:t>
      </w:r>
    </w:p>
    <w:p w14:paraId="46591186" w14:textId="77777777" w:rsidR="0077032D" w:rsidRDefault="0077032D">
      <w:pPr>
        <w:pStyle w:val="SH4"/>
      </w:pPr>
      <w:r>
        <w:tab/>
        <w:t>20 cigarettes per day for a period of one calendar year; or</w:t>
      </w:r>
    </w:p>
    <w:p w14:paraId="6202258F" w14:textId="77777777" w:rsidR="0077032D" w:rsidRDefault="0077032D">
      <w:pPr>
        <w:pStyle w:val="SH4"/>
      </w:pPr>
      <w:r>
        <w:t>7,300 cigarettes in a period of one calendar year; or</w:t>
      </w:r>
    </w:p>
    <w:p w14:paraId="0767BDAA" w14:textId="77777777" w:rsidR="0077032D" w:rsidRPr="0077032D" w:rsidRDefault="0077032D">
      <w:pPr>
        <w:pStyle w:val="SH4"/>
      </w:pPr>
      <w:r>
        <w:tab/>
        <w:t>7,300 grams of smoking tobacco by weight, either in cigarettes, pipe tobacco or cigars, or a combination of same, in a period of one calendar year.</w:t>
      </w:r>
    </w:p>
    <w:p w14:paraId="31E3C6A6" w14:textId="77777777" w:rsidR="0077032D" w:rsidRDefault="0077032D" w:rsidP="0077032D">
      <w:pPr>
        <w:pStyle w:val="SH3"/>
        <w:ind w:left="851"/>
      </w:pPr>
      <w:proofErr w:type="gramStart"/>
      <w:r w:rsidRPr="00026778">
        <w:rPr>
          <w:b/>
          <w:i/>
        </w:rPr>
        <w:t>regular</w:t>
      </w:r>
      <w:proofErr w:type="gramEnd"/>
      <w:r w:rsidRPr="00026778">
        <w:rPr>
          <w:b/>
          <w:i/>
        </w:rPr>
        <w:t xml:space="preserve"> smoking habit as specified</w:t>
      </w:r>
      <w:r w:rsidRPr="00026778">
        <w:t xml:space="preserve"> means having smoked at least five pack-years of tobacco products, within a continuous five year period.</w:t>
      </w:r>
    </w:p>
    <w:p w14:paraId="0A48A85F" w14:textId="77777777" w:rsidR="0077032D" w:rsidRPr="0077032D" w:rsidRDefault="0077032D" w:rsidP="0077032D">
      <w:pPr>
        <w:pStyle w:val="ScheduleNote"/>
      </w:pPr>
      <w:r w:rsidRPr="004F514E">
        <w:t>Note:</w:t>
      </w:r>
      <w:r>
        <w:rPr>
          <w:b/>
          <w:i/>
        </w:rPr>
        <w:t xml:space="preserve"> pack-year</w:t>
      </w:r>
      <w:r w:rsidRPr="004F514E">
        <w:rPr>
          <w:b/>
          <w:i/>
        </w:rPr>
        <w:t xml:space="preserve"> of tobacco products</w:t>
      </w:r>
      <w:r w:rsidRPr="004F514E">
        <w:t xml:space="preserve"> is also defined in the Schedule 1</w:t>
      </w:r>
      <w:r>
        <w:t xml:space="preserve"> </w:t>
      </w:r>
      <w:r w:rsidRPr="004F514E">
        <w:t>- Dictionary.</w:t>
      </w:r>
    </w:p>
    <w:p w14:paraId="207004BA"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0472209A" w14:textId="77777777" w:rsidR="00885EAB" w:rsidRPr="00365E25" w:rsidRDefault="00C77046">
      <w:pPr>
        <w:pStyle w:val="SH4"/>
      </w:pPr>
      <w:bookmarkStart w:id="38" w:name="_Ref402529607"/>
      <w:r>
        <w:t xml:space="preserve">eligible war service (other than operational </w:t>
      </w:r>
      <w:r w:rsidR="00885EAB" w:rsidRPr="00365E25">
        <w:t>service</w:t>
      </w:r>
      <w:r>
        <w:t>) under the VEA;</w:t>
      </w:r>
    </w:p>
    <w:p w14:paraId="29595CEF" w14:textId="77777777" w:rsidR="00885EAB" w:rsidRPr="00513D05" w:rsidRDefault="00C77046">
      <w:pPr>
        <w:pStyle w:val="SH4"/>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644EFE03" w14:textId="77777777" w:rsidR="00885EAB" w:rsidRPr="00513D05" w:rsidRDefault="00C77046">
      <w:pPr>
        <w:pStyle w:val="SH4"/>
      </w:pPr>
      <w:proofErr w:type="gramStart"/>
      <w:r>
        <w:t>peacetime</w:t>
      </w:r>
      <w:proofErr w:type="gramEnd"/>
      <w:r>
        <w:t xml:space="preserve"> service under the MRCA.</w:t>
      </w:r>
    </w:p>
    <w:p w14:paraId="457393FA"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7E00C452" w14:textId="77777777" w:rsidR="00A00D6A" w:rsidRPr="00A00D6A" w:rsidRDefault="00A00D6A" w:rsidP="002721D8">
      <w:pPr>
        <w:pStyle w:val="SH3"/>
      </w:pPr>
      <w:proofErr w:type="gramStart"/>
      <w:r w:rsidRPr="00230300">
        <w:rPr>
          <w:b/>
          <w:i/>
        </w:rPr>
        <w:t>significant</w:t>
      </w:r>
      <w:proofErr w:type="gramEnd"/>
      <w:r w:rsidRPr="00230300">
        <w:rPr>
          <w:b/>
          <w:i/>
        </w:rPr>
        <w:t xml:space="preserve"> other</w:t>
      </w:r>
      <w:r w:rsidRPr="00230300">
        <w:t xml:space="preserve"> means a person who has a close family bond or a close personal relationship and is important or influential in one's life.</w:t>
      </w:r>
    </w:p>
    <w:p w14:paraId="7E786A35" w14:textId="77777777" w:rsidR="002721D8" w:rsidRDefault="002721D8" w:rsidP="002721D8">
      <w:pPr>
        <w:pStyle w:val="SH3"/>
      </w:pPr>
      <w:r w:rsidRPr="002721D8">
        <w:rPr>
          <w:b/>
          <w:i/>
        </w:rPr>
        <w:t>specified list of drugs</w:t>
      </w:r>
      <w:r>
        <w:t xml:space="preserve"> means: </w:t>
      </w:r>
    </w:p>
    <w:p w14:paraId="6C8F6D29" w14:textId="77777777" w:rsidR="002721D8" w:rsidRDefault="002721D8">
      <w:pPr>
        <w:pStyle w:val="SH4"/>
      </w:pPr>
      <w:r>
        <w:t xml:space="preserve">interferons; </w:t>
      </w:r>
    </w:p>
    <w:p w14:paraId="555BAC1D" w14:textId="0E67FDF3" w:rsidR="002721D8" w:rsidRDefault="002721D8">
      <w:pPr>
        <w:pStyle w:val="SH4"/>
      </w:pPr>
      <w:r>
        <w:t>nonster</w:t>
      </w:r>
      <w:r w:rsidR="00926932">
        <w:t xml:space="preserve">oidal anti-inflammatory drugs; </w:t>
      </w:r>
      <w:r>
        <w:t xml:space="preserve">or </w:t>
      </w:r>
    </w:p>
    <w:p w14:paraId="38E6B5DE" w14:textId="77777777" w:rsidR="002721D8" w:rsidRPr="002721D8" w:rsidRDefault="002721D8">
      <w:pPr>
        <w:pStyle w:val="SH4"/>
      </w:pPr>
      <w:proofErr w:type="gramStart"/>
      <w:r>
        <w:t>tumour</w:t>
      </w:r>
      <w:proofErr w:type="gramEnd"/>
      <w:r>
        <w:t xml:space="preserve"> necrosis factor antagonists.</w:t>
      </w:r>
    </w:p>
    <w:p w14:paraId="05DBDD9E" w14:textId="2DC17AE9" w:rsidR="00885EAB" w:rsidRPr="009C404D" w:rsidRDefault="00054930" w:rsidP="00984EE9">
      <w:pPr>
        <w:pStyle w:val="SH3"/>
        <w:ind w:left="851" w:hanging="851"/>
      </w:pPr>
      <w:r>
        <w:rPr>
          <w:b/>
          <w:i/>
        </w:rPr>
        <w:lastRenderedPageBreak/>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14:paraId="5ED1B350" w14:textId="77777777" w:rsidR="00885EAB" w:rsidRPr="00513D05" w:rsidRDefault="00513D05">
      <w:pPr>
        <w:pStyle w:val="SH4"/>
      </w:pPr>
      <w:r>
        <w:tab/>
      </w:r>
      <w:r w:rsidR="00885EAB" w:rsidRPr="00513D05">
        <w:t>pneumonia;</w:t>
      </w:r>
    </w:p>
    <w:p w14:paraId="2DD8F7C1" w14:textId="77777777" w:rsidR="00885EAB" w:rsidRPr="00513D05" w:rsidRDefault="00885EAB">
      <w:pPr>
        <w:pStyle w:val="SH4"/>
      </w:pPr>
      <w:r w:rsidRPr="00513D05">
        <w:tab/>
        <w:t>respiratory failure;</w:t>
      </w:r>
    </w:p>
    <w:p w14:paraId="77A56BF8" w14:textId="77777777" w:rsidR="00885EAB" w:rsidRPr="00513D05" w:rsidRDefault="00885EAB">
      <w:pPr>
        <w:pStyle w:val="SH4"/>
      </w:pPr>
      <w:r w:rsidRPr="00513D05">
        <w:tab/>
        <w:t>cardiac arrest;</w:t>
      </w:r>
    </w:p>
    <w:p w14:paraId="202C0687" w14:textId="77777777" w:rsidR="00885EAB" w:rsidRPr="00513D05" w:rsidRDefault="00885EAB">
      <w:pPr>
        <w:pStyle w:val="SH4"/>
      </w:pPr>
      <w:r w:rsidRPr="00513D05">
        <w:tab/>
        <w:t>circulatory failure;</w:t>
      </w:r>
      <w:r w:rsidR="002376A0">
        <w:t xml:space="preserve"> or</w:t>
      </w:r>
    </w:p>
    <w:p w14:paraId="54031F37" w14:textId="77777777" w:rsidR="00BD3334" w:rsidRDefault="00885EAB">
      <w:pPr>
        <w:pStyle w:val="SH4"/>
      </w:pPr>
      <w:r w:rsidRPr="00513D05">
        <w:tab/>
      </w:r>
      <w:proofErr w:type="gramStart"/>
      <w:r w:rsidRPr="00513D05">
        <w:t>cessation</w:t>
      </w:r>
      <w:proofErr w:type="gramEnd"/>
      <w:r w:rsidRPr="00513D05">
        <w:t xml:space="preserve"> of brain function.</w:t>
      </w:r>
    </w:p>
    <w:p w14:paraId="16D16756" w14:textId="77777777" w:rsidR="003778F5" w:rsidRPr="00BD3334" w:rsidRDefault="003778F5" w:rsidP="003778F5">
      <w:pPr>
        <w:pStyle w:val="SH3"/>
      </w:pPr>
      <w:proofErr w:type="gramStart"/>
      <w:r w:rsidRPr="00CC7B34">
        <w:rPr>
          <w:b/>
          <w:i/>
        </w:rPr>
        <w:t>ulcerative</w:t>
      </w:r>
      <w:proofErr w:type="gramEnd"/>
      <w:r w:rsidRPr="00CC7B34">
        <w:rPr>
          <w:b/>
          <w:i/>
        </w:rPr>
        <w:t xml:space="preserve"> colitis</w:t>
      </w:r>
      <w:r w:rsidRPr="00CC7B34">
        <w:t xml:space="preserve"> means a form of inflammatory bowel disease characterised by relapsing and remitting episodes of inflammation limited to the mucosal layer of the colon.  It almost invariably involves the rectum, and often involves more proximal portions of the colon in a continuous fashion.</w:t>
      </w:r>
    </w:p>
    <w:p w14:paraId="7A76065C"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1CDEF980" w14:textId="77777777" w:rsidR="00CF2367" w:rsidRPr="00FA33FB" w:rsidRDefault="00CF2367" w:rsidP="00CF2367"/>
    <w:p w14:paraId="31166391" w14:textId="77777777" w:rsidR="00CF2367" w:rsidRPr="00FA33FB" w:rsidRDefault="00CF2367" w:rsidP="00CF2367">
      <w:pPr>
        <w:sectPr w:rsidR="00CF2367" w:rsidRPr="00FA33FB" w:rsidSect="00FA33FB">
          <w:headerReference w:type="even" r:id="rId13"/>
          <w:headerReference w:type="default" r:id="rId14"/>
          <w:headerReference w:type="first" r:id="rId15"/>
          <w:footerReference w:type="first" r:id="rId16"/>
          <w:pgSz w:w="11907" w:h="16839" w:code="9"/>
          <w:pgMar w:top="1440" w:right="1797" w:bottom="1440" w:left="1797" w:header="720" w:footer="709" w:gutter="0"/>
          <w:cols w:space="720"/>
          <w:docGrid w:linePitch="299"/>
        </w:sectPr>
      </w:pPr>
    </w:p>
    <w:p w14:paraId="42F670C4" w14:textId="77777777" w:rsidR="00CF2367" w:rsidRDefault="00CF2367" w:rsidP="003F4535">
      <w:pPr>
        <w:rPr>
          <w:b/>
          <w:i/>
        </w:rPr>
      </w:pPr>
    </w:p>
    <w:sectPr w:rsidR="00CF2367"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DB933" w14:textId="77777777" w:rsidR="008C7465" w:rsidRDefault="008C7465" w:rsidP="00715914">
      <w:pPr>
        <w:spacing w:line="240" w:lineRule="auto"/>
      </w:pPr>
      <w:r>
        <w:separator/>
      </w:r>
    </w:p>
  </w:endnote>
  <w:endnote w:type="continuationSeparator" w:id="0">
    <w:p w14:paraId="5785ECDD"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F3D8" w14:textId="77777777" w:rsidR="00681215" w:rsidRPr="00E33C1C" w:rsidRDefault="00681215" w:rsidP="00681215">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681215" w:rsidRPr="00C01863" w14:paraId="0F9FEB68" w14:textId="77777777" w:rsidTr="00A07743">
      <w:tc>
        <w:tcPr>
          <w:tcW w:w="709" w:type="dxa"/>
          <w:tcBorders>
            <w:top w:val="nil"/>
            <w:left w:val="nil"/>
            <w:bottom w:val="nil"/>
            <w:right w:val="nil"/>
          </w:tcBorders>
          <w:shd w:val="clear" w:color="auto" w:fill="auto"/>
        </w:tcPr>
        <w:p w14:paraId="03949EA2"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77965562" w14:textId="77777777" w:rsidR="00681215" w:rsidRDefault="00681215" w:rsidP="00681215">
          <w:pPr>
            <w:spacing w:line="0" w:lineRule="atLeast"/>
            <w:jc w:val="center"/>
            <w:rPr>
              <w:i/>
              <w:sz w:val="18"/>
            </w:rPr>
          </w:pPr>
          <w:r w:rsidRPr="007C5CE0">
            <w:rPr>
              <w:i/>
              <w:sz w:val="18"/>
            </w:rPr>
            <w:t>Statement of Principles concerning</w:t>
          </w:r>
        </w:p>
        <w:p w14:paraId="5D569B11" w14:textId="6ED54F53" w:rsidR="00681215" w:rsidRDefault="00E64F56" w:rsidP="00681215">
          <w:pPr>
            <w:spacing w:line="0" w:lineRule="atLeast"/>
            <w:jc w:val="center"/>
            <w:rPr>
              <w:i/>
              <w:sz w:val="18"/>
              <w:szCs w:val="18"/>
            </w:rPr>
          </w:pPr>
          <w:r w:rsidRPr="00E64F56">
            <w:rPr>
              <w:bCs/>
              <w:i/>
              <w:sz w:val="18"/>
              <w:szCs w:val="18"/>
              <w:lang w:val="en-US"/>
            </w:rPr>
            <w:t>Inflammatory Bowel</w:t>
          </w:r>
          <w:r w:rsidRPr="00E64F56">
            <w:rPr>
              <w:i/>
              <w:sz w:val="18"/>
              <w:szCs w:val="18"/>
            </w:rPr>
            <w:t xml:space="preserve"> Disease</w:t>
          </w:r>
          <w:r w:rsidR="00681215">
            <w:rPr>
              <w:i/>
              <w:sz w:val="18"/>
              <w:szCs w:val="18"/>
            </w:rPr>
            <w:t xml:space="preserve"> (Balance of Probabilities) </w:t>
          </w:r>
          <w:r w:rsidR="00681215" w:rsidRPr="007C5CE0">
            <w:rPr>
              <w:i/>
              <w:sz w:val="18"/>
            </w:rPr>
            <w:t xml:space="preserve">(No. </w:t>
          </w:r>
          <w:r w:rsidRPr="00E64F56">
            <w:rPr>
              <w:i/>
              <w:sz w:val="18"/>
              <w:szCs w:val="18"/>
            </w:rPr>
            <w:t>91</w:t>
          </w:r>
          <w:r w:rsidR="00681215" w:rsidRPr="007C5CE0">
            <w:rPr>
              <w:i/>
              <w:sz w:val="18"/>
              <w:szCs w:val="18"/>
            </w:rPr>
            <w:t xml:space="preserve"> of </w:t>
          </w:r>
          <w:r w:rsidRPr="00E64F56">
            <w:rPr>
              <w:i/>
              <w:sz w:val="18"/>
              <w:szCs w:val="18"/>
            </w:rPr>
            <w:t>2020</w:t>
          </w:r>
          <w:r w:rsidR="00681215" w:rsidRPr="007C5CE0">
            <w:rPr>
              <w:i/>
              <w:sz w:val="18"/>
              <w:szCs w:val="18"/>
            </w:rPr>
            <w:t>)</w:t>
          </w:r>
        </w:p>
        <w:p w14:paraId="5E87CECA"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1B14FFA4" w14:textId="48A68826"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14A08">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14A08">
            <w:rPr>
              <w:i/>
              <w:noProof/>
              <w:sz w:val="18"/>
            </w:rPr>
            <w:t>9</w:t>
          </w:r>
          <w:r>
            <w:rPr>
              <w:i/>
              <w:sz w:val="18"/>
            </w:rPr>
            <w:fldChar w:fldCharType="end"/>
          </w:r>
        </w:p>
      </w:tc>
    </w:tr>
  </w:tbl>
  <w:p w14:paraId="0516AA6F"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EA047" w14:textId="77777777" w:rsidR="00681215" w:rsidRPr="00E33C1C" w:rsidRDefault="00681215" w:rsidP="00681215">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681215" w:rsidRPr="00C01863" w14:paraId="0149C067" w14:textId="77777777" w:rsidTr="00A07743">
      <w:tc>
        <w:tcPr>
          <w:tcW w:w="709" w:type="dxa"/>
          <w:tcBorders>
            <w:top w:val="nil"/>
            <w:left w:val="nil"/>
            <w:bottom w:val="nil"/>
            <w:right w:val="nil"/>
          </w:tcBorders>
          <w:shd w:val="clear" w:color="auto" w:fill="auto"/>
        </w:tcPr>
        <w:p w14:paraId="0957C666"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0762DB40" w14:textId="77777777" w:rsidR="00681215" w:rsidRDefault="00681215" w:rsidP="00681215">
          <w:pPr>
            <w:spacing w:line="0" w:lineRule="atLeast"/>
            <w:jc w:val="center"/>
            <w:rPr>
              <w:i/>
              <w:sz w:val="18"/>
            </w:rPr>
          </w:pPr>
          <w:r w:rsidRPr="007C5CE0">
            <w:rPr>
              <w:i/>
              <w:sz w:val="18"/>
            </w:rPr>
            <w:t>Statement of Principles concerning</w:t>
          </w:r>
        </w:p>
        <w:p w14:paraId="7681CF75" w14:textId="19C55B00" w:rsidR="00681215" w:rsidRDefault="00E64F56" w:rsidP="00681215">
          <w:pPr>
            <w:spacing w:line="0" w:lineRule="atLeast"/>
            <w:jc w:val="center"/>
            <w:rPr>
              <w:i/>
              <w:sz w:val="18"/>
              <w:szCs w:val="18"/>
            </w:rPr>
          </w:pPr>
          <w:r w:rsidRPr="00E64F56">
            <w:rPr>
              <w:bCs/>
              <w:i/>
              <w:sz w:val="18"/>
              <w:szCs w:val="18"/>
              <w:lang w:val="en-US"/>
            </w:rPr>
            <w:t>Inflammatory Bowel</w:t>
          </w:r>
          <w:r w:rsidRPr="00E64F56">
            <w:rPr>
              <w:i/>
              <w:sz w:val="18"/>
              <w:szCs w:val="18"/>
            </w:rPr>
            <w:t xml:space="preserve"> Disease</w:t>
          </w:r>
          <w:r w:rsidR="00681215">
            <w:rPr>
              <w:i/>
              <w:sz w:val="18"/>
              <w:szCs w:val="18"/>
            </w:rPr>
            <w:t xml:space="preserve"> (Balance of Probabilities) </w:t>
          </w:r>
          <w:r w:rsidR="00681215" w:rsidRPr="007C5CE0">
            <w:rPr>
              <w:i/>
              <w:sz w:val="18"/>
            </w:rPr>
            <w:t xml:space="preserve">(No. </w:t>
          </w:r>
          <w:r w:rsidRPr="00E64F56">
            <w:rPr>
              <w:i/>
              <w:sz w:val="18"/>
              <w:szCs w:val="18"/>
            </w:rPr>
            <w:t>91</w:t>
          </w:r>
          <w:r w:rsidR="00681215" w:rsidRPr="007C5CE0">
            <w:rPr>
              <w:i/>
              <w:sz w:val="18"/>
              <w:szCs w:val="18"/>
            </w:rPr>
            <w:t xml:space="preserve"> of </w:t>
          </w:r>
          <w:r w:rsidRPr="00E64F56">
            <w:rPr>
              <w:i/>
              <w:sz w:val="18"/>
              <w:szCs w:val="18"/>
            </w:rPr>
            <w:t>2020</w:t>
          </w:r>
          <w:r w:rsidR="00681215" w:rsidRPr="007C5CE0">
            <w:rPr>
              <w:i/>
              <w:sz w:val="18"/>
              <w:szCs w:val="18"/>
            </w:rPr>
            <w:t>)</w:t>
          </w:r>
        </w:p>
        <w:p w14:paraId="6D00B7F5"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4F9E26F7" w14:textId="54DD914B"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14A08">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14A08">
            <w:rPr>
              <w:i/>
              <w:noProof/>
              <w:sz w:val="18"/>
            </w:rPr>
            <w:t>9</w:t>
          </w:r>
          <w:r>
            <w:rPr>
              <w:i/>
              <w:sz w:val="18"/>
            </w:rPr>
            <w:fldChar w:fldCharType="end"/>
          </w:r>
        </w:p>
      </w:tc>
    </w:tr>
  </w:tbl>
  <w:p w14:paraId="0566EDC3"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64719"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8254C"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7FADB"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59B8D"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8C849" w14:textId="77777777" w:rsidR="008C7465" w:rsidRDefault="008C7465" w:rsidP="00715914">
      <w:pPr>
        <w:spacing w:line="240" w:lineRule="auto"/>
      </w:pPr>
      <w:r>
        <w:separator/>
      </w:r>
    </w:p>
  </w:footnote>
  <w:footnote w:type="continuationSeparator" w:id="0">
    <w:p w14:paraId="451AEF5E"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F6186" w14:textId="70B697D1"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CC951" w14:textId="77777777"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CA8B9" w14:textId="77777777" w:rsidR="00681215" w:rsidRDefault="00681215" w:rsidP="00681215">
    <w:pPr>
      <w:rPr>
        <w:sz w:val="20"/>
      </w:rPr>
    </w:pPr>
    <w:r>
      <w:rPr>
        <w:b/>
        <w:noProof/>
        <w:sz w:val="20"/>
      </w:rPr>
      <w:t>Schedule 1</w:t>
    </w:r>
    <w:r>
      <w:rPr>
        <w:sz w:val="20"/>
      </w:rPr>
      <w:t xml:space="preserve"> - </w:t>
    </w:r>
    <w:r>
      <w:rPr>
        <w:noProof/>
        <w:sz w:val="20"/>
      </w:rPr>
      <w:t>Dictionary</w:t>
    </w:r>
  </w:p>
  <w:p w14:paraId="3F5167CC" w14:textId="77777777"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03816"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82EB"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23D0A" w14:textId="77777777"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5C724"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023C21C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8A73CF0"/>
    <w:multiLevelType w:val="hybridMultilevel"/>
    <w:tmpl w:val="A14206E2"/>
    <w:lvl w:ilvl="0" w:tplc="6966CF76">
      <w:start w:val="1"/>
      <w:numFmt w:val="lowerLetter"/>
      <w:lvlText w:val="(%1)"/>
      <w:lvlJc w:val="left"/>
      <w:pPr>
        <w:ind w:left="2335" w:hanging="360"/>
      </w:pPr>
      <w:rPr>
        <w:rFonts w:hint="default"/>
      </w:rPr>
    </w:lvl>
    <w:lvl w:ilvl="1" w:tplc="0C090019" w:tentative="1">
      <w:start w:val="1"/>
      <w:numFmt w:val="lowerLetter"/>
      <w:lvlText w:val="%2."/>
      <w:lvlJc w:val="left"/>
      <w:pPr>
        <w:ind w:left="3055" w:hanging="360"/>
      </w:pPr>
    </w:lvl>
    <w:lvl w:ilvl="2" w:tplc="0C09001B" w:tentative="1">
      <w:start w:val="1"/>
      <w:numFmt w:val="lowerRoman"/>
      <w:lvlText w:val="%3."/>
      <w:lvlJc w:val="right"/>
      <w:pPr>
        <w:ind w:left="3775" w:hanging="180"/>
      </w:pPr>
    </w:lvl>
    <w:lvl w:ilvl="3" w:tplc="0C09000F" w:tentative="1">
      <w:start w:val="1"/>
      <w:numFmt w:val="decimal"/>
      <w:lvlText w:val="%4."/>
      <w:lvlJc w:val="left"/>
      <w:pPr>
        <w:ind w:left="4495" w:hanging="360"/>
      </w:pPr>
    </w:lvl>
    <w:lvl w:ilvl="4" w:tplc="0C090019" w:tentative="1">
      <w:start w:val="1"/>
      <w:numFmt w:val="lowerLetter"/>
      <w:lvlText w:val="%5."/>
      <w:lvlJc w:val="left"/>
      <w:pPr>
        <w:ind w:left="5215" w:hanging="360"/>
      </w:pPr>
    </w:lvl>
    <w:lvl w:ilvl="5" w:tplc="0C09001B" w:tentative="1">
      <w:start w:val="1"/>
      <w:numFmt w:val="lowerRoman"/>
      <w:lvlText w:val="%6."/>
      <w:lvlJc w:val="right"/>
      <w:pPr>
        <w:ind w:left="5935" w:hanging="180"/>
      </w:pPr>
    </w:lvl>
    <w:lvl w:ilvl="6" w:tplc="0C09000F" w:tentative="1">
      <w:start w:val="1"/>
      <w:numFmt w:val="decimal"/>
      <w:lvlText w:val="%7."/>
      <w:lvlJc w:val="left"/>
      <w:pPr>
        <w:ind w:left="6655" w:hanging="360"/>
      </w:pPr>
    </w:lvl>
    <w:lvl w:ilvl="7" w:tplc="0C090019" w:tentative="1">
      <w:start w:val="1"/>
      <w:numFmt w:val="lowerLetter"/>
      <w:lvlText w:val="%8."/>
      <w:lvlJc w:val="left"/>
      <w:pPr>
        <w:ind w:left="7375" w:hanging="360"/>
      </w:pPr>
    </w:lvl>
    <w:lvl w:ilvl="8" w:tplc="0C09001B" w:tentative="1">
      <w:start w:val="1"/>
      <w:numFmt w:val="lowerRoman"/>
      <w:lvlText w:val="%9."/>
      <w:lvlJc w:val="right"/>
      <w:pPr>
        <w:ind w:left="8095"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C654F8A4"/>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95F2A2F"/>
    <w:multiLevelType w:val="hybridMultilevel"/>
    <w:tmpl w:val="231E95C4"/>
    <w:lvl w:ilvl="0" w:tplc="B4F825A8">
      <w:start w:val="1"/>
      <w:numFmt w:val="lowerLetter"/>
      <w:lvlText w:val="(%1)"/>
      <w:lvlJc w:val="left"/>
      <w:pPr>
        <w:ind w:left="1779" w:hanging="360"/>
      </w:pPr>
      <w:rPr>
        <w:rFonts w:hint="default"/>
      </w:rPr>
    </w:lvl>
    <w:lvl w:ilvl="1" w:tplc="0C090019" w:tentative="1">
      <w:start w:val="1"/>
      <w:numFmt w:val="lowerLetter"/>
      <w:lvlText w:val="%2."/>
      <w:lvlJc w:val="left"/>
      <w:pPr>
        <w:ind w:left="2499" w:hanging="360"/>
      </w:pPr>
    </w:lvl>
    <w:lvl w:ilvl="2" w:tplc="0C09001B" w:tentative="1">
      <w:start w:val="1"/>
      <w:numFmt w:val="lowerRoman"/>
      <w:lvlText w:val="%3."/>
      <w:lvlJc w:val="right"/>
      <w:pPr>
        <w:ind w:left="3219" w:hanging="180"/>
      </w:pPr>
    </w:lvl>
    <w:lvl w:ilvl="3" w:tplc="0C09000F" w:tentative="1">
      <w:start w:val="1"/>
      <w:numFmt w:val="decimal"/>
      <w:lvlText w:val="%4."/>
      <w:lvlJc w:val="left"/>
      <w:pPr>
        <w:ind w:left="3939" w:hanging="360"/>
      </w:pPr>
    </w:lvl>
    <w:lvl w:ilvl="4" w:tplc="0C090019" w:tentative="1">
      <w:start w:val="1"/>
      <w:numFmt w:val="lowerLetter"/>
      <w:lvlText w:val="%5."/>
      <w:lvlJc w:val="left"/>
      <w:pPr>
        <w:ind w:left="4659" w:hanging="360"/>
      </w:pPr>
    </w:lvl>
    <w:lvl w:ilvl="5" w:tplc="0C09001B" w:tentative="1">
      <w:start w:val="1"/>
      <w:numFmt w:val="lowerRoman"/>
      <w:lvlText w:val="%6."/>
      <w:lvlJc w:val="right"/>
      <w:pPr>
        <w:ind w:left="5379" w:hanging="180"/>
      </w:pPr>
    </w:lvl>
    <w:lvl w:ilvl="6" w:tplc="0C09000F" w:tentative="1">
      <w:start w:val="1"/>
      <w:numFmt w:val="decimal"/>
      <w:lvlText w:val="%7."/>
      <w:lvlJc w:val="left"/>
      <w:pPr>
        <w:ind w:left="6099" w:hanging="360"/>
      </w:pPr>
    </w:lvl>
    <w:lvl w:ilvl="7" w:tplc="0C090019" w:tentative="1">
      <w:start w:val="1"/>
      <w:numFmt w:val="lowerLetter"/>
      <w:lvlText w:val="%8."/>
      <w:lvlJc w:val="left"/>
      <w:pPr>
        <w:ind w:left="6819" w:hanging="360"/>
      </w:pPr>
    </w:lvl>
    <w:lvl w:ilvl="8" w:tplc="0C09001B" w:tentative="1">
      <w:start w:val="1"/>
      <w:numFmt w:val="lowerRoman"/>
      <w:lvlText w:val="%9."/>
      <w:lvlJc w:val="right"/>
      <w:pPr>
        <w:ind w:left="7539" w:hanging="180"/>
      </w:pPr>
    </w:lvl>
  </w:abstractNum>
  <w:abstractNum w:abstractNumId="17"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4"/>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2"/>
  </w:num>
  <w:num w:numId="23">
    <w:abstractNumId w:val="18"/>
  </w:num>
  <w:num w:numId="24">
    <w:abstractNumId w:val="13"/>
  </w:num>
  <w:num w:numId="2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3D4E"/>
    <w:rsid w:val="00054930"/>
    <w:rsid w:val="000614BF"/>
    <w:rsid w:val="00061E3E"/>
    <w:rsid w:val="00080915"/>
    <w:rsid w:val="00081B7C"/>
    <w:rsid w:val="00085567"/>
    <w:rsid w:val="0008674F"/>
    <w:rsid w:val="00097FDF"/>
    <w:rsid w:val="000B1350"/>
    <w:rsid w:val="000B28AC"/>
    <w:rsid w:val="000B5081"/>
    <w:rsid w:val="000B58FA"/>
    <w:rsid w:val="000C21A3"/>
    <w:rsid w:val="000C664A"/>
    <w:rsid w:val="000C6D96"/>
    <w:rsid w:val="000D05EF"/>
    <w:rsid w:val="000D4972"/>
    <w:rsid w:val="000D4D03"/>
    <w:rsid w:val="000E2261"/>
    <w:rsid w:val="000E4183"/>
    <w:rsid w:val="000E6CAB"/>
    <w:rsid w:val="000F21C1"/>
    <w:rsid w:val="000F76FA"/>
    <w:rsid w:val="000F7717"/>
    <w:rsid w:val="00101F89"/>
    <w:rsid w:val="001058EA"/>
    <w:rsid w:val="0010745C"/>
    <w:rsid w:val="00130420"/>
    <w:rsid w:val="00132CEB"/>
    <w:rsid w:val="00137FE9"/>
    <w:rsid w:val="00140C54"/>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967F3"/>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89B"/>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43933"/>
    <w:rsid w:val="0025634D"/>
    <w:rsid w:val="002564A4"/>
    <w:rsid w:val="002650E6"/>
    <w:rsid w:val="0026736C"/>
    <w:rsid w:val="002716E4"/>
    <w:rsid w:val="002717B2"/>
    <w:rsid w:val="002721D8"/>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1FE6"/>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322F"/>
    <w:rsid w:val="00365E25"/>
    <w:rsid w:val="003734C6"/>
    <w:rsid w:val="003778F5"/>
    <w:rsid w:val="003802D6"/>
    <w:rsid w:val="00385187"/>
    <w:rsid w:val="003A189F"/>
    <w:rsid w:val="003A2FFE"/>
    <w:rsid w:val="003A5C26"/>
    <w:rsid w:val="003B349A"/>
    <w:rsid w:val="003B3E42"/>
    <w:rsid w:val="003C4C02"/>
    <w:rsid w:val="003C6231"/>
    <w:rsid w:val="003D0BFE"/>
    <w:rsid w:val="003D4858"/>
    <w:rsid w:val="003D5700"/>
    <w:rsid w:val="003E341B"/>
    <w:rsid w:val="003F39C0"/>
    <w:rsid w:val="003F4535"/>
    <w:rsid w:val="004116CD"/>
    <w:rsid w:val="0041386E"/>
    <w:rsid w:val="004144EC"/>
    <w:rsid w:val="00417EB9"/>
    <w:rsid w:val="00420A33"/>
    <w:rsid w:val="0042300E"/>
    <w:rsid w:val="00424CA9"/>
    <w:rsid w:val="0042670C"/>
    <w:rsid w:val="00431E9B"/>
    <w:rsid w:val="00436129"/>
    <w:rsid w:val="004379E3"/>
    <w:rsid w:val="0044015E"/>
    <w:rsid w:val="0044291A"/>
    <w:rsid w:val="00444ABD"/>
    <w:rsid w:val="00456CE5"/>
    <w:rsid w:val="00463101"/>
    <w:rsid w:val="0046351C"/>
    <w:rsid w:val="00467661"/>
    <w:rsid w:val="004705B7"/>
    <w:rsid w:val="00472DBE"/>
    <w:rsid w:val="00474A19"/>
    <w:rsid w:val="004834A1"/>
    <w:rsid w:val="004840A6"/>
    <w:rsid w:val="004916B9"/>
    <w:rsid w:val="00496F97"/>
    <w:rsid w:val="004A4764"/>
    <w:rsid w:val="004A5E4B"/>
    <w:rsid w:val="004B5020"/>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47F4E"/>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27CD"/>
    <w:rsid w:val="00713084"/>
    <w:rsid w:val="007142FB"/>
    <w:rsid w:val="00714F20"/>
    <w:rsid w:val="0071590F"/>
    <w:rsid w:val="00715914"/>
    <w:rsid w:val="0072336E"/>
    <w:rsid w:val="00731E00"/>
    <w:rsid w:val="00733269"/>
    <w:rsid w:val="00734D50"/>
    <w:rsid w:val="00741718"/>
    <w:rsid w:val="007440B7"/>
    <w:rsid w:val="007500C8"/>
    <w:rsid w:val="007527C1"/>
    <w:rsid w:val="007534B2"/>
    <w:rsid w:val="00756272"/>
    <w:rsid w:val="00757544"/>
    <w:rsid w:val="007615E2"/>
    <w:rsid w:val="00763D94"/>
    <w:rsid w:val="00764D43"/>
    <w:rsid w:val="0076681A"/>
    <w:rsid w:val="0077032D"/>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B14D2"/>
    <w:rsid w:val="007C2253"/>
    <w:rsid w:val="007C5CE0"/>
    <w:rsid w:val="007C7DEE"/>
    <w:rsid w:val="007D3BA2"/>
    <w:rsid w:val="007E163D"/>
    <w:rsid w:val="007E43F0"/>
    <w:rsid w:val="007E667A"/>
    <w:rsid w:val="007F1FA6"/>
    <w:rsid w:val="007F2378"/>
    <w:rsid w:val="007F28C9"/>
    <w:rsid w:val="00803587"/>
    <w:rsid w:val="00805DB4"/>
    <w:rsid w:val="00806368"/>
    <w:rsid w:val="008117E9"/>
    <w:rsid w:val="00811E63"/>
    <w:rsid w:val="008128BF"/>
    <w:rsid w:val="00824498"/>
    <w:rsid w:val="00825BFB"/>
    <w:rsid w:val="008300C7"/>
    <w:rsid w:val="008321ED"/>
    <w:rsid w:val="00832C32"/>
    <w:rsid w:val="0083517B"/>
    <w:rsid w:val="00836587"/>
    <w:rsid w:val="00842EA3"/>
    <w:rsid w:val="00850A63"/>
    <w:rsid w:val="0085384C"/>
    <w:rsid w:val="00856A31"/>
    <w:rsid w:val="00856A90"/>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E1CFC"/>
    <w:rsid w:val="008E6067"/>
    <w:rsid w:val="008E76DC"/>
    <w:rsid w:val="008F48EC"/>
    <w:rsid w:val="008F54E7"/>
    <w:rsid w:val="008F572A"/>
    <w:rsid w:val="00900380"/>
    <w:rsid w:val="00903422"/>
    <w:rsid w:val="00904761"/>
    <w:rsid w:val="009056AF"/>
    <w:rsid w:val="00912B55"/>
    <w:rsid w:val="00914A08"/>
    <w:rsid w:val="00915DF9"/>
    <w:rsid w:val="009235C1"/>
    <w:rsid w:val="009254C3"/>
    <w:rsid w:val="00925CA9"/>
    <w:rsid w:val="00926932"/>
    <w:rsid w:val="00926C44"/>
    <w:rsid w:val="00932377"/>
    <w:rsid w:val="0093687A"/>
    <w:rsid w:val="00941893"/>
    <w:rsid w:val="00947D5A"/>
    <w:rsid w:val="00951E79"/>
    <w:rsid w:val="009532A5"/>
    <w:rsid w:val="00956922"/>
    <w:rsid w:val="009612CF"/>
    <w:rsid w:val="009724F4"/>
    <w:rsid w:val="00973808"/>
    <w:rsid w:val="00982242"/>
    <w:rsid w:val="00984EE9"/>
    <w:rsid w:val="00985EC2"/>
    <w:rsid w:val="009868E9"/>
    <w:rsid w:val="009877AB"/>
    <w:rsid w:val="00997416"/>
    <w:rsid w:val="009A03D1"/>
    <w:rsid w:val="009B5A4E"/>
    <w:rsid w:val="009C2B65"/>
    <w:rsid w:val="009C404D"/>
    <w:rsid w:val="009D6BB0"/>
    <w:rsid w:val="009E5CFC"/>
    <w:rsid w:val="00A00D6A"/>
    <w:rsid w:val="00A02B28"/>
    <w:rsid w:val="00A06E7A"/>
    <w:rsid w:val="00A07743"/>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013A"/>
    <w:rsid w:val="00AA64D6"/>
    <w:rsid w:val="00AA6D8B"/>
    <w:rsid w:val="00AB58E2"/>
    <w:rsid w:val="00AD23CD"/>
    <w:rsid w:val="00AD2DC7"/>
    <w:rsid w:val="00AD5641"/>
    <w:rsid w:val="00AD7889"/>
    <w:rsid w:val="00AD7AC2"/>
    <w:rsid w:val="00AD7DCC"/>
    <w:rsid w:val="00AE31A2"/>
    <w:rsid w:val="00AF021B"/>
    <w:rsid w:val="00AF06CF"/>
    <w:rsid w:val="00B05CF4"/>
    <w:rsid w:val="00B07CDB"/>
    <w:rsid w:val="00B1411C"/>
    <w:rsid w:val="00B166C8"/>
    <w:rsid w:val="00B16A31"/>
    <w:rsid w:val="00B177FE"/>
    <w:rsid w:val="00B17DFD"/>
    <w:rsid w:val="00B22346"/>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199"/>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BF596E"/>
    <w:rsid w:val="00C01863"/>
    <w:rsid w:val="00C11D03"/>
    <w:rsid w:val="00C25E7F"/>
    <w:rsid w:val="00C2746F"/>
    <w:rsid w:val="00C324A0"/>
    <w:rsid w:val="00C3300F"/>
    <w:rsid w:val="00C349C5"/>
    <w:rsid w:val="00C4200E"/>
    <w:rsid w:val="00C42BF8"/>
    <w:rsid w:val="00C50043"/>
    <w:rsid w:val="00C5731E"/>
    <w:rsid w:val="00C70149"/>
    <w:rsid w:val="00C738B9"/>
    <w:rsid w:val="00C7573B"/>
    <w:rsid w:val="00C77046"/>
    <w:rsid w:val="00C93C03"/>
    <w:rsid w:val="00C96667"/>
    <w:rsid w:val="00C9794D"/>
    <w:rsid w:val="00CA61BB"/>
    <w:rsid w:val="00CA7414"/>
    <w:rsid w:val="00CB1DCB"/>
    <w:rsid w:val="00CB2C8E"/>
    <w:rsid w:val="00CB602E"/>
    <w:rsid w:val="00CB7412"/>
    <w:rsid w:val="00CC63A4"/>
    <w:rsid w:val="00CC7039"/>
    <w:rsid w:val="00CD7B88"/>
    <w:rsid w:val="00CE051D"/>
    <w:rsid w:val="00CE1335"/>
    <w:rsid w:val="00CE493D"/>
    <w:rsid w:val="00CF07FA"/>
    <w:rsid w:val="00CF0BB2"/>
    <w:rsid w:val="00CF2367"/>
    <w:rsid w:val="00CF3EE8"/>
    <w:rsid w:val="00CF5A16"/>
    <w:rsid w:val="00D050E6"/>
    <w:rsid w:val="00D13441"/>
    <w:rsid w:val="00D150E7"/>
    <w:rsid w:val="00D32F65"/>
    <w:rsid w:val="00D32F71"/>
    <w:rsid w:val="00D377E3"/>
    <w:rsid w:val="00D41C1B"/>
    <w:rsid w:val="00D50484"/>
    <w:rsid w:val="00D527C9"/>
    <w:rsid w:val="00D52DC2"/>
    <w:rsid w:val="00D53BCC"/>
    <w:rsid w:val="00D5599D"/>
    <w:rsid w:val="00D55ED5"/>
    <w:rsid w:val="00D5620B"/>
    <w:rsid w:val="00D60FC8"/>
    <w:rsid w:val="00D70DFB"/>
    <w:rsid w:val="00D71633"/>
    <w:rsid w:val="00D766DF"/>
    <w:rsid w:val="00D93DA9"/>
    <w:rsid w:val="00D94523"/>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2D3D"/>
    <w:rsid w:val="00DD31AB"/>
    <w:rsid w:val="00DE59B7"/>
    <w:rsid w:val="00DF24DC"/>
    <w:rsid w:val="00DF5291"/>
    <w:rsid w:val="00DF65CF"/>
    <w:rsid w:val="00DF6D11"/>
    <w:rsid w:val="00E05704"/>
    <w:rsid w:val="00E11E44"/>
    <w:rsid w:val="00E15230"/>
    <w:rsid w:val="00E202DB"/>
    <w:rsid w:val="00E3270E"/>
    <w:rsid w:val="00E338EF"/>
    <w:rsid w:val="00E35C4E"/>
    <w:rsid w:val="00E51134"/>
    <w:rsid w:val="00E544BB"/>
    <w:rsid w:val="00E55F66"/>
    <w:rsid w:val="00E64EE4"/>
    <w:rsid w:val="00E64F56"/>
    <w:rsid w:val="00E662CB"/>
    <w:rsid w:val="00E74DC7"/>
    <w:rsid w:val="00E8075A"/>
    <w:rsid w:val="00E90315"/>
    <w:rsid w:val="00E92D94"/>
    <w:rsid w:val="00E9347E"/>
    <w:rsid w:val="00E93E6F"/>
    <w:rsid w:val="00E94D5E"/>
    <w:rsid w:val="00EA66C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C3031"/>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46E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8300C7"/>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900380"/>
    <w:pPr>
      <w:numPr>
        <w:ilvl w:val="1"/>
        <w:numId w:val="19"/>
      </w:numPr>
      <w:ind w:left="1418"/>
    </w:pPr>
  </w:style>
  <w:style w:type="paragraph" w:customStyle="1" w:styleId="LV3">
    <w:name w:val="LV 3"/>
    <w:basedOn w:val="PlainIndent"/>
    <w:autoRedefine/>
    <w:qFormat/>
    <w:rsid w:val="00900380"/>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734D50"/>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D41C1B"/>
    <w:pPr>
      <w:tabs>
        <w:tab w:val="left" w:pos="567"/>
      </w:tabs>
      <w:jc w:val="center"/>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 w:type="character" w:styleId="CommentReference">
    <w:name w:val="annotation reference"/>
    <w:basedOn w:val="DefaultParagraphFont"/>
    <w:uiPriority w:val="99"/>
    <w:semiHidden/>
    <w:unhideWhenUsed/>
    <w:rsid w:val="008300C7"/>
    <w:rPr>
      <w:sz w:val="16"/>
      <w:szCs w:val="16"/>
    </w:rPr>
  </w:style>
  <w:style w:type="paragraph" w:styleId="CommentText">
    <w:name w:val="annotation text"/>
    <w:basedOn w:val="Normal"/>
    <w:link w:val="CommentTextChar"/>
    <w:uiPriority w:val="99"/>
    <w:semiHidden/>
    <w:unhideWhenUsed/>
    <w:rsid w:val="008300C7"/>
    <w:pPr>
      <w:spacing w:line="240" w:lineRule="auto"/>
    </w:pPr>
    <w:rPr>
      <w:sz w:val="20"/>
    </w:rPr>
  </w:style>
  <w:style w:type="character" w:customStyle="1" w:styleId="CommentTextChar">
    <w:name w:val="Comment Text Char"/>
    <w:basedOn w:val="DefaultParagraphFont"/>
    <w:link w:val="CommentText"/>
    <w:uiPriority w:val="99"/>
    <w:semiHidden/>
    <w:rsid w:val="008300C7"/>
    <w:rPr>
      <w:lang w:eastAsia="en-US"/>
    </w:rPr>
  </w:style>
  <w:style w:type="paragraph" w:styleId="CommentSubject">
    <w:name w:val="annotation subject"/>
    <w:basedOn w:val="CommentText"/>
    <w:next w:val="CommentText"/>
    <w:link w:val="CommentSubjectChar"/>
    <w:uiPriority w:val="99"/>
    <w:semiHidden/>
    <w:unhideWhenUsed/>
    <w:rsid w:val="008300C7"/>
    <w:rPr>
      <w:b/>
      <w:bCs/>
    </w:rPr>
  </w:style>
  <w:style w:type="character" w:customStyle="1" w:styleId="CommentSubjectChar">
    <w:name w:val="Comment Subject Char"/>
    <w:basedOn w:val="CommentTextChar"/>
    <w:link w:val="CommentSubject"/>
    <w:uiPriority w:val="99"/>
    <w:semiHidden/>
    <w:rsid w:val="008300C7"/>
    <w:rPr>
      <w:b/>
      <w:bCs/>
      <w:lang w:eastAsia="en-US"/>
    </w:rPr>
  </w:style>
  <w:style w:type="paragraph" w:styleId="Revision">
    <w:name w:val="Revision"/>
    <w:hidden/>
    <w:uiPriority w:val="99"/>
    <w:semiHidden/>
    <w:rsid w:val="00A0774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1D1D0-F477-4E79-A72E-D352B418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2184</Words>
  <Characters>12449</Characters>
  <Application>Microsoft Office Word</Application>
  <DocSecurity>0</DocSecurity>
  <PresentationFormat/>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2016-12-07T04:46:00Z</dcterms:created>
  <dcterms:modified xsi:type="dcterms:W3CDTF">2020-10-28T01:35:00Z</dcterms:modified>
  <cp:category/>
  <cp:contentStatus/>
  <dc:language/>
  <cp:version/>
</cp:coreProperties>
</file>