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68544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710EECAA" wp14:editId="649A2E9E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36787" w14:textId="77777777" w:rsidR="00715914" w:rsidRPr="00FA33FB" w:rsidRDefault="00715914" w:rsidP="00715914">
      <w:pPr>
        <w:rPr>
          <w:sz w:val="19"/>
        </w:rPr>
      </w:pPr>
    </w:p>
    <w:p w14:paraId="4557A07A" w14:textId="77777777"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14:paraId="4DB43AAA" w14:textId="77777777"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14:paraId="163B7D80" w14:textId="77777777" w:rsidR="00054930" w:rsidRDefault="00AB0EAB" w:rsidP="006647B7">
      <w:pPr>
        <w:pStyle w:val="Plainheader"/>
      </w:pPr>
      <w:r>
        <w:t xml:space="preserve">TEMPOROMANDIBULAR </w:t>
      </w:r>
      <w:proofErr w:type="gramStart"/>
      <w:r>
        <w:t>DISORDER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034A6701" w14:textId="1F162DE9"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FF07AC">
        <w:t>42</w:t>
      </w:r>
      <w:bookmarkEnd w:id="0"/>
      <w:r w:rsidRPr="00024911">
        <w:t xml:space="preserve"> of</w:t>
      </w:r>
      <w:r w:rsidR="00085567">
        <w:t xml:space="preserve"> </w:t>
      </w:r>
      <w:r w:rsidR="00AB0EAB">
        <w:t>2020</w:t>
      </w:r>
      <w:r w:rsidRPr="00024911">
        <w:t>)</w:t>
      </w:r>
    </w:p>
    <w:p w14:paraId="585E3A20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31E8B046" w14:textId="77777777" w:rsidR="00F97A62" w:rsidRPr="00F97A62" w:rsidRDefault="00F97A62" w:rsidP="00F97A62">
      <w:pPr>
        <w:rPr>
          <w:lang w:eastAsia="en-AU"/>
        </w:rPr>
      </w:pPr>
    </w:p>
    <w:p w14:paraId="46BF4552" w14:textId="41E72B90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FF07AC">
        <w:t>24 April 2020</w:t>
      </w:r>
    </w:p>
    <w:p w14:paraId="32D3371A" w14:textId="77777777" w:rsidR="00D93DA9" w:rsidRDefault="00D93DA9" w:rsidP="00764D43">
      <w:pPr>
        <w:pStyle w:val="Plain"/>
      </w:pPr>
    </w:p>
    <w:p w14:paraId="6BF5B1E4" w14:textId="77777777" w:rsidR="00D93DA9" w:rsidRDefault="00D93DA9" w:rsidP="00764D43">
      <w:pPr>
        <w:pStyle w:val="Plain"/>
      </w:pPr>
    </w:p>
    <w:p w14:paraId="4BB662AD" w14:textId="77777777" w:rsidR="00D93DA9" w:rsidRDefault="00D93DA9" w:rsidP="00764D43">
      <w:pPr>
        <w:pStyle w:val="Plain"/>
      </w:pPr>
    </w:p>
    <w:p w14:paraId="2EF46196" w14:textId="77777777" w:rsidR="00D93DA9" w:rsidRDefault="00D93DA9" w:rsidP="00764D43">
      <w:pPr>
        <w:pStyle w:val="Plain"/>
      </w:pPr>
    </w:p>
    <w:p w14:paraId="7050900E" w14:textId="77777777"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14:paraId="064B06B0" w14:textId="77777777" w:rsidTr="0034373D">
        <w:tc>
          <w:tcPr>
            <w:tcW w:w="4116" w:type="dxa"/>
          </w:tcPr>
          <w:p w14:paraId="5DB35DBF" w14:textId="77777777"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14:paraId="4520618C" w14:textId="77777777" w:rsidR="00FB5A69" w:rsidRDefault="00FB5A69" w:rsidP="0034373D">
            <w:pPr>
              <w:pStyle w:val="Plain"/>
            </w:pPr>
          </w:p>
        </w:tc>
      </w:tr>
      <w:tr w:rsidR="00FB5A69" w14:paraId="709DDC05" w14:textId="77777777" w:rsidTr="0034373D">
        <w:tc>
          <w:tcPr>
            <w:tcW w:w="4116" w:type="dxa"/>
          </w:tcPr>
          <w:p w14:paraId="074C44B7" w14:textId="54992FEB" w:rsidR="00FB5A69" w:rsidRDefault="00F441EB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13D01CCC" wp14:editId="31ED6A18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14:paraId="13F4CB7E" w14:textId="77777777" w:rsidR="00FB5A69" w:rsidRDefault="00FB5A69" w:rsidP="0034373D">
            <w:pPr>
              <w:pStyle w:val="Plain"/>
            </w:pPr>
          </w:p>
          <w:p w14:paraId="312F5E4A" w14:textId="77777777" w:rsidR="00FB5A69" w:rsidRPr="007527C1" w:rsidRDefault="00FB5A69" w:rsidP="0034373D">
            <w:pPr>
              <w:pStyle w:val="Plain"/>
            </w:pPr>
            <w:r w:rsidRPr="007527C1">
              <w:t>Professor Nicholas Saunders AO</w:t>
            </w:r>
          </w:p>
          <w:p w14:paraId="01411B99" w14:textId="77777777" w:rsidR="00FB5A69" w:rsidRDefault="00FB5A69" w:rsidP="0034373D">
            <w:pPr>
              <w:pStyle w:val="Plain"/>
            </w:pPr>
            <w:r w:rsidRPr="007527C1">
              <w:t>Chairperson</w:t>
            </w:r>
          </w:p>
          <w:p w14:paraId="39CC6079" w14:textId="77777777" w:rsidR="00FB5A69" w:rsidRDefault="00FB5A69" w:rsidP="0034373D"/>
        </w:tc>
      </w:tr>
    </w:tbl>
    <w:p w14:paraId="730E9DDB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12CAC615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14:paraId="081DE049" w14:textId="77777777"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ED630F">
        <w:rPr>
          <w:noProof/>
        </w:rPr>
        <w:t>3</w:t>
      </w:r>
      <w:r w:rsidR="00ED630F">
        <w:rPr>
          <w:noProof/>
        </w:rPr>
        <w:fldChar w:fldCharType="end"/>
      </w:r>
    </w:p>
    <w:p w14:paraId="7D31FD06" w14:textId="77777777"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1C4CB57" w14:textId="77777777"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5B97B54" w14:textId="77777777"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7BD4498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62FD6E88" w14:textId="77777777" w:rsidR="003A2FFE" w:rsidRDefault="003A2FFE" w:rsidP="003A2FFE">
      <w:pPr>
        <w:tabs>
          <w:tab w:val="left" w:pos="3631"/>
        </w:tabs>
      </w:pPr>
    </w:p>
    <w:p w14:paraId="2F864627" w14:textId="77777777"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4D3E0B7A" w14:textId="77777777" w:rsidR="00877AE3" w:rsidRDefault="00877AE3" w:rsidP="0069220C">
      <w:pPr>
        <w:pStyle w:val="LV1"/>
        <w:numPr>
          <w:ilvl w:val="0"/>
          <w:numId w:val="19"/>
        </w:numPr>
      </w:pPr>
      <w:bookmarkStart w:id="3" w:name="_Toc517781227"/>
      <w:r>
        <w:lastRenderedPageBreak/>
        <w:t>Name</w:t>
      </w:r>
      <w:bookmarkEnd w:id="3"/>
    </w:p>
    <w:p w14:paraId="604B21D5" w14:textId="21FFB020" w:rsidR="00237471" w:rsidRPr="00F97A62" w:rsidRDefault="00715914" w:rsidP="002F48C6">
      <w:pPr>
        <w:pStyle w:val="PlainIndent"/>
        <w:spacing w:before="180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AB0EAB">
        <w:rPr>
          <w:i/>
        </w:rPr>
        <w:t>temporomandibular disorder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FF07AC">
        <w:t>42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B0EAB">
        <w:t>2020</w:t>
      </w:r>
      <w:r w:rsidR="00E55F66" w:rsidRPr="00F97A62">
        <w:t>)</w:t>
      </w:r>
      <w:r w:rsidRPr="00F97A62">
        <w:t>.</w:t>
      </w:r>
    </w:p>
    <w:p w14:paraId="3D5DD267" w14:textId="77777777" w:rsidR="00F67B67" w:rsidRPr="00684C0E" w:rsidRDefault="00F67B67" w:rsidP="0069220C">
      <w:pPr>
        <w:pStyle w:val="LV1"/>
      </w:pPr>
      <w:bookmarkStart w:id="5" w:name="_Toc517781228"/>
      <w:r w:rsidRPr="00684C0E">
        <w:t>Commencement</w:t>
      </w:r>
      <w:bookmarkEnd w:id="5"/>
    </w:p>
    <w:p w14:paraId="535D9415" w14:textId="4D5E6725" w:rsidR="00F67B67" w:rsidRPr="007527C1" w:rsidRDefault="007527C1" w:rsidP="002F48C6">
      <w:pPr>
        <w:pStyle w:val="PlainIndent"/>
        <w:spacing w:before="180"/>
      </w:pPr>
      <w:r w:rsidRPr="007527C1">
        <w:tab/>
      </w:r>
      <w:r w:rsidR="00F67B67" w:rsidRPr="007527C1">
        <w:t xml:space="preserve">This instrument commences on </w:t>
      </w:r>
      <w:r w:rsidR="00FF07AC">
        <w:t>25 May 2020</w:t>
      </w:r>
      <w:r w:rsidR="00F67B67" w:rsidRPr="007527C1">
        <w:t>.</w:t>
      </w:r>
    </w:p>
    <w:p w14:paraId="4806BB3A" w14:textId="77777777" w:rsidR="00F67B67" w:rsidRPr="00684C0E" w:rsidRDefault="00F67B67" w:rsidP="0069220C">
      <w:pPr>
        <w:pStyle w:val="LV1"/>
      </w:pPr>
      <w:bookmarkStart w:id="6" w:name="_Toc517781229"/>
      <w:r w:rsidRPr="00684C0E">
        <w:t>Authority</w:t>
      </w:r>
      <w:bookmarkEnd w:id="6"/>
    </w:p>
    <w:p w14:paraId="4549727E" w14:textId="77777777" w:rsidR="00F67B67" w:rsidRDefault="00F67B67" w:rsidP="002F48C6">
      <w:pPr>
        <w:pStyle w:val="PlainIndent"/>
        <w:spacing w:before="180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2DBA1E1F" w14:textId="77777777" w:rsidR="00420AD3" w:rsidRDefault="00420AD3" w:rsidP="00420AD3">
      <w:pPr>
        <w:pStyle w:val="LV1"/>
      </w:pPr>
      <w:bookmarkStart w:id="7" w:name="_Toc417979035"/>
      <w:bookmarkStart w:id="8" w:name="_Toc517781230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14:paraId="582256A3" w14:textId="77777777" w:rsidR="00420AD3" w:rsidRDefault="00420AD3" w:rsidP="00580CD0">
      <w:pPr>
        <w:pStyle w:val="PlainIndent"/>
        <w:spacing w:before="180" w:after="200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7A72EF">
        <w:t xml:space="preserve">Statement of Principles concerning </w:t>
      </w:r>
      <w:bookmarkStart w:id="13" w:name="SoP_Name"/>
      <w:r w:rsidR="00AB0EAB">
        <w:rPr>
          <w:i/>
        </w:rPr>
        <w:t xml:space="preserve">temporomandibular disorder </w:t>
      </w:r>
      <w:bookmarkEnd w:id="13"/>
      <w:r w:rsidR="007A72EF">
        <w:rPr>
          <w:i/>
        </w:rPr>
        <w:t xml:space="preserve">(Reasonable Hypothesis) </w:t>
      </w:r>
      <w:r w:rsidR="007A72EF">
        <w:t xml:space="preserve">(No. </w:t>
      </w:r>
      <w:r w:rsidR="00AB0EAB">
        <w:t>47</w:t>
      </w:r>
      <w:r w:rsidR="007A72EF">
        <w:t xml:space="preserve"> of </w:t>
      </w:r>
      <w:r w:rsidR="00AB0EAB">
        <w:t>2018</w:t>
      </w:r>
      <w:r w:rsidR="007A72EF">
        <w:t xml:space="preserve">) </w:t>
      </w:r>
      <w:r w:rsidR="00B25E8D">
        <w:t xml:space="preserve">(Federal Register of </w:t>
      </w:r>
      <w:r w:rsidR="00B25E8D" w:rsidRPr="00AB0EAB">
        <w:t xml:space="preserve">Legislation No. </w:t>
      </w:r>
      <w:r w:rsidR="00AB0EAB" w:rsidRPr="00AB0EAB">
        <w:t>F2018L00539</w:t>
      </w:r>
      <w:r w:rsidR="00B25E8D" w:rsidRPr="00AB0EAB">
        <w:t>)</w:t>
      </w:r>
      <w:r w:rsidRPr="00AB0EAB">
        <w:t xml:space="preserve"> </w:t>
      </w:r>
      <w:proofErr w:type="gramStart"/>
      <w:r w:rsidRPr="00AB0EAB">
        <w:t>is</w:t>
      </w:r>
      <w:r>
        <w:t xml:space="preserve"> amended</w:t>
      </w:r>
      <w:proofErr w:type="gramEnd"/>
      <w:r>
        <w:t xml:space="preserve"> in the following manner: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14:paraId="0C13F0B6" w14:textId="77777777" w:rsidTr="005F0132">
        <w:tc>
          <w:tcPr>
            <w:tcW w:w="1559" w:type="dxa"/>
          </w:tcPr>
          <w:p w14:paraId="3ACA4B64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14:paraId="7DBB0DF8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420AD3" w14:paraId="3147C4C4" w14:textId="77777777" w:rsidTr="005F0132">
        <w:tc>
          <w:tcPr>
            <w:tcW w:w="1559" w:type="dxa"/>
          </w:tcPr>
          <w:p w14:paraId="74063547" w14:textId="77777777" w:rsidR="00420AD3" w:rsidRPr="000C1872" w:rsidRDefault="00B33F5C" w:rsidP="00736C55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14:paraId="04FBAC56" w14:textId="77777777" w:rsidR="00580CD0" w:rsidRDefault="00580CD0" w:rsidP="00580CD0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i/>
              </w:rPr>
              <w:t>Replace the existing definition of "acute trauma" with the following</w:t>
            </w:r>
            <w:r w:rsidRPr="001D3EA4">
              <w:t>:</w:t>
            </w:r>
          </w:p>
          <w:p w14:paraId="460F0E99" w14:textId="77777777" w:rsidR="00580CD0" w:rsidRDefault="00580CD0" w:rsidP="00580CD0">
            <w:pPr>
              <w:pStyle w:val="SH3"/>
              <w:numPr>
                <w:ilvl w:val="0"/>
                <w:numId w:val="0"/>
              </w:numPr>
            </w:pPr>
            <w:r w:rsidRPr="004D526C">
              <w:rPr>
                <w:b/>
                <w:i/>
              </w:rPr>
              <w:t xml:space="preserve">acute trauma </w:t>
            </w:r>
            <w:r>
              <w:t xml:space="preserve">means a discrete event involving the application of significant physical force to or through the affected </w:t>
            </w:r>
            <w:r w:rsidRPr="002A52F3">
              <w:t>structures</w:t>
            </w:r>
            <w:r>
              <w:t>, that causes:</w:t>
            </w:r>
          </w:p>
          <w:p w14:paraId="4AAFD5A1" w14:textId="77777777" w:rsidR="00580CD0" w:rsidRDefault="00580CD0" w:rsidP="00580CD0">
            <w:pPr>
              <w:pStyle w:val="SH4"/>
              <w:ind w:left="607" w:hanging="607"/>
              <w:contextualSpacing w:val="0"/>
            </w:pPr>
            <w:r>
              <w:t>damage to the joint, m</w:t>
            </w:r>
            <w:r w:rsidRPr="002A52F3">
              <w:t>asticatory muscles and associated structures of the masticatory system</w:t>
            </w:r>
            <w:r>
              <w:t xml:space="preserve">; and </w:t>
            </w:r>
          </w:p>
          <w:p w14:paraId="56A3575B" w14:textId="77777777" w:rsidR="00580CD0" w:rsidRDefault="00580CD0" w:rsidP="00580CD0">
            <w:pPr>
              <w:pStyle w:val="SH4"/>
              <w:ind w:left="601" w:hanging="601"/>
            </w:pPr>
            <w:r w:rsidRPr="00246E42">
              <w:tab/>
            </w:r>
            <w:proofErr w:type="gramStart"/>
            <w:r>
              <w:t>the</w:t>
            </w:r>
            <w:proofErr w:type="gramEnd"/>
            <w:r>
              <w:t xml:space="preserve"> development, within 24 hours of the event occurring, of symptoms and signs of pain, tenderness or altered range of movement of the joint </w:t>
            </w:r>
            <w:r w:rsidRPr="002A52F3">
              <w:t>and associated structures</w:t>
            </w:r>
            <w:r>
              <w:t>.  In the case of sustained unconsciousness or the masking of pain by analgesic medication, these symptoms and signs must appear on return to consciousness or the withdrawal of the analgesic medication; or</w:t>
            </w:r>
          </w:p>
          <w:p w14:paraId="535B1E0A" w14:textId="77777777" w:rsidR="00580CD0" w:rsidRPr="002D00EF" w:rsidRDefault="00580CD0" w:rsidP="00580CD0">
            <w:pPr>
              <w:pStyle w:val="SH4"/>
              <w:ind w:left="607" w:hanging="607"/>
              <w:rPr>
                <w:rFonts w:eastAsia="TimesNewRomanPSMT"/>
              </w:rPr>
            </w:pPr>
            <w:r w:rsidRPr="002D00EF">
              <w:rPr>
                <w:rFonts w:eastAsia="TimesNewRomanPSMT"/>
              </w:rPr>
              <w:t>distortion of the temporomandibular joint; or</w:t>
            </w:r>
          </w:p>
          <w:p w14:paraId="699C599F" w14:textId="77777777" w:rsidR="00580CD0" w:rsidRPr="008266D8" w:rsidRDefault="00580CD0" w:rsidP="00580CD0">
            <w:pPr>
              <w:pStyle w:val="SH4"/>
              <w:ind w:left="607" w:hanging="607"/>
              <w:rPr>
                <w:rFonts w:eastAsia="TimesNewRomanPSMT"/>
              </w:rPr>
            </w:pPr>
            <w:proofErr w:type="gramStart"/>
            <w:r w:rsidRPr="002D00EF">
              <w:rPr>
                <w:rFonts w:eastAsia="TimesNewRomanPSMT"/>
              </w:rPr>
              <w:t>fracture</w:t>
            </w:r>
            <w:proofErr w:type="gramEnd"/>
            <w:r w:rsidRPr="002D00EF">
              <w:rPr>
                <w:rFonts w:eastAsia="TimesNewRomanPSMT"/>
              </w:rPr>
              <w:t xml:space="preserve"> of the temporal bone or mandible.</w:t>
            </w:r>
          </w:p>
          <w:p w14:paraId="2E27097F" w14:textId="77777777" w:rsidR="00580CD0" w:rsidRDefault="00580CD0" w:rsidP="00580CD0">
            <w:pPr>
              <w:pStyle w:val="ScheduleNote"/>
              <w:ind w:left="607" w:hanging="607"/>
            </w:pPr>
            <w:r w:rsidRPr="00117E4A">
              <w:t>Note</w:t>
            </w:r>
            <w:r>
              <w:t xml:space="preserve"> 1</w:t>
            </w:r>
            <w:r w:rsidRPr="00117E4A">
              <w:t>:</w:t>
            </w:r>
            <w:r>
              <w:t xml:space="preserve"> Acute trauma</w:t>
            </w:r>
            <w:r w:rsidRPr="002E22AE">
              <w:t xml:space="preserve"> includes craniotomy, osteotomy </w:t>
            </w:r>
            <w:r>
              <w:t>and</w:t>
            </w:r>
            <w:r w:rsidRPr="002E22AE">
              <w:t xml:space="preserve"> reconstructive surgery involving the temporal bone or mandible, but excludes regular dental and orthodontic treatment.</w:t>
            </w:r>
          </w:p>
          <w:p w14:paraId="416AD7E8" w14:textId="739557BA" w:rsidR="00C917F7" w:rsidRPr="002E22AE" w:rsidRDefault="00580CD0" w:rsidP="00580CD0">
            <w:pPr>
              <w:pStyle w:val="ScheduleNote"/>
              <w:ind w:left="607" w:hanging="607"/>
            </w:pPr>
            <w:r>
              <w:t xml:space="preserve">Note 2: </w:t>
            </w:r>
            <w:r w:rsidRPr="004633E9">
              <w:rPr>
                <w:b/>
                <w:i/>
              </w:rPr>
              <w:t>masticatory muscles and associated structures of the masticatory system</w:t>
            </w:r>
            <w:r>
              <w:t xml:space="preserve"> </w:t>
            </w:r>
            <w:proofErr w:type="gramStart"/>
            <w:r>
              <w:t>is also defined</w:t>
            </w:r>
            <w:proofErr w:type="gramEnd"/>
            <w:r>
              <w:t xml:space="preserve"> in the Schedule 1 – Dictionary.</w:t>
            </w:r>
          </w:p>
          <w:p w14:paraId="3AE9AABC" w14:textId="77777777" w:rsidR="002664A2" w:rsidRPr="002664A2" w:rsidRDefault="002664A2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</w:tbl>
    <w:p w14:paraId="29545E35" w14:textId="77777777" w:rsidR="00782F4E" w:rsidRPr="00E64EE4" w:rsidRDefault="00782F4E" w:rsidP="00FF1E13">
      <w:pPr>
        <w:pStyle w:val="PlainIndent"/>
      </w:pPr>
    </w:p>
    <w:p w14:paraId="24AEEA47" w14:textId="77777777" w:rsidR="00081B7C" w:rsidRPr="00FA33FB" w:rsidRDefault="00081B7C" w:rsidP="00FF1E13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655E6328" w14:textId="77777777" w:rsidR="00F03C06" w:rsidRDefault="00F03C06" w:rsidP="00FF1E13">
      <w:pPr>
        <w:pStyle w:val="PlainIndent"/>
      </w:pPr>
    </w:p>
    <w:sectPr w:rsidR="00F03C06" w:rsidSect="00FA33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C2E6D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2DDA561C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2196" w14:textId="77777777"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14:paraId="00DE319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C66BDB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248DC5" w14:textId="77777777"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14:paraId="265F96E9" w14:textId="02F359A7" w:rsidR="00935988" w:rsidRDefault="00D1336C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T</w:t>
          </w:r>
          <w:r w:rsidRPr="00463EC9">
            <w:rPr>
              <w:i/>
              <w:sz w:val="18"/>
              <w:szCs w:val="18"/>
            </w:rPr>
            <w:t xml:space="preserve">emporomandibular </w:t>
          </w:r>
          <w:r>
            <w:rPr>
              <w:i/>
              <w:sz w:val="18"/>
              <w:szCs w:val="18"/>
            </w:rPr>
            <w:t>D</w:t>
          </w:r>
          <w:r w:rsidRPr="00463EC9">
            <w:rPr>
              <w:i/>
              <w:sz w:val="18"/>
              <w:szCs w:val="18"/>
            </w:rPr>
            <w:t>isorder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FF07AC">
            <w:rPr>
              <w:i/>
              <w:sz w:val="18"/>
            </w:rPr>
            <w:t>42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2020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14:paraId="3C2D220A" w14:textId="77777777"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A7FB8B8" w14:textId="130FAE44"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441EB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441EB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6720C039" w14:textId="77777777"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72E3" w14:textId="77777777"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14:paraId="53A94580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BE48C1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F9F79F" w14:textId="77777777"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14:paraId="259D4AA2" w14:textId="1123CCB7" w:rsidR="00935988" w:rsidRDefault="00D1336C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T</w:t>
          </w:r>
          <w:r w:rsidRPr="00463EC9">
            <w:rPr>
              <w:i/>
              <w:sz w:val="18"/>
              <w:szCs w:val="18"/>
            </w:rPr>
            <w:t xml:space="preserve">emporomandibular </w:t>
          </w:r>
          <w:r>
            <w:rPr>
              <w:i/>
              <w:sz w:val="18"/>
              <w:szCs w:val="18"/>
            </w:rPr>
            <w:t>D</w:t>
          </w:r>
          <w:r w:rsidRPr="00463EC9">
            <w:rPr>
              <w:i/>
              <w:sz w:val="18"/>
              <w:szCs w:val="18"/>
            </w:rPr>
            <w:t>isorder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FF07AC">
            <w:rPr>
              <w:i/>
              <w:sz w:val="18"/>
            </w:rPr>
            <w:t>42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2020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14:paraId="1E44E15A" w14:textId="77777777"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85EB86" w14:textId="21AFF352"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441E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441EB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1FDC26D4" w14:textId="77777777"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24D8C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AFC0" w14:textId="77777777"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DB2ED" w14:textId="77777777"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2A0C9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B2C9946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72C8" w14:textId="0621676E" w:rsidR="005B0EC9" w:rsidRPr="00FB5A69" w:rsidRDefault="005B0EC9" w:rsidP="00FB5A69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2180" w14:textId="77777777"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E6E25" w14:textId="77777777" w:rsidR="00885EAB" w:rsidRPr="00935988" w:rsidRDefault="00885EAB" w:rsidP="009359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9D9A1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6618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0EF"/>
    <w:rsid w:val="002D043A"/>
    <w:rsid w:val="002D2AA2"/>
    <w:rsid w:val="002D6224"/>
    <w:rsid w:val="002E35CD"/>
    <w:rsid w:val="002E3F4B"/>
    <w:rsid w:val="002E7921"/>
    <w:rsid w:val="002F48C6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47D20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37BA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0CD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D50DA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576B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56F6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B0EA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17F7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36C"/>
    <w:rsid w:val="00D13441"/>
    <w:rsid w:val="00D150E7"/>
    <w:rsid w:val="00D32F65"/>
    <w:rsid w:val="00D32F71"/>
    <w:rsid w:val="00D3454C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14B0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8F5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F2E3A"/>
    <w:rsid w:val="00F03C06"/>
    <w:rsid w:val="00F072A7"/>
    <w:rsid w:val="00F078DC"/>
    <w:rsid w:val="00F32BA8"/>
    <w:rsid w:val="00F349F1"/>
    <w:rsid w:val="00F4350D"/>
    <w:rsid w:val="00F441EB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4292"/>
    <w:rsid w:val="00FD775E"/>
    <w:rsid w:val="00FE4688"/>
    <w:rsid w:val="00FF07AC"/>
    <w:rsid w:val="00FF1D47"/>
    <w:rsid w:val="00FF1E13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39BE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FF1E13"/>
    <w:pPr>
      <w:spacing w:before="6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F48C6"/>
    <w:pPr>
      <w:spacing w:before="180"/>
      <w:ind w:left="1474"/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  <w:style w:type="paragraph" w:customStyle="1" w:styleId="ScheduleNote">
    <w:name w:val="Schedule Note"/>
    <w:basedOn w:val="NOTE"/>
    <w:link w:val="ScheduleNoteChar"/>
    <w:uiPriority w:val="2"/>
    <w:qFormat/>
    <w:rsid w:val="00C917F7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C917F7"/>
    <w:rPr>
      <w:rFonts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0E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0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0E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2070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2020-03-04T03:56:00Z</dcterms:created>
  <dcterms:modified xsi:type="dcterms:W3CDTF">2020-04-20T23:02:00Z</dcterms:modified>
  <cp:category/>
  <cp:contentStatus/>
  <dc:language/>
  <cp:version/>
</cp:coreProperties>
</file>