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DD5C4" w14:textId="77777777" w:rsidR="00715914" w:rsidRPr="00FA33FB" w:rsidRDefault="00997416" w:rsidP="00C467B6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0B7908AA" wp14:editId="3D4E2365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7481" w14:textId="77777777" w:rsidR="00715914" w:rsidRPr="00FA33FB" w:rsidRDefault="00715914" w:rsidP="00715914">
      <w:pPr>
        <w:rPr>
          <w:sz w:val="19"/>
        </w:rPr>
      </w:pPr>
    </w:p>
    <w:p w14:paraId="5A884A75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399D634A" w14:textId="77777777"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14:paraId="65F6E03A" w14:textId="77777777" w:rsidR="00054930" w:rsidRDefault="00542892" w:rsidP="000D4972">
      <w:pPr>
        <w:pStyle w:val="Plainheader"/>
      </w:pPr>
      <w:bookmarkStart w:id="0" w:name="SoP_Name_Title"/>
      <w:r>
        <w:t>PURE RED CELL APLASIA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4B0502D0" w14:textId="04179D23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267699">
        <w:t>61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42892">
        <w:t>2020</w:t>
      </w:r>
      <w:bookmarkEnd w:id="2"/>
      <w:r w:rsidRPr="00024911">
        <w:t>)</w:t>
      </w:r>
    </w:p>
    <w:p w14:paraId="1A49B510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18B3F5F1" w14:textId="77777777" w:rsidR="00F97A62" w:rsidRPr="00F97A62" w:rsidRDefault="00F97A62" w:rsidP="00F97A62">
      <w:pPr>
        <w:rPr>
          <w:lang w:eastAsia="en-AU"/>
        </w:rPr>
      </w:pPr>
    </w:p>
    <w:p w14:paraId="4AEECAD5" w14:textId="50377658" w:rsidR="00F67B67" w:rsidRDefault="00F67B67" w:rsidP="00C467B6">
      <w:pPr>
        <w:pStyle w:val="Plain"/>
      </w:pPr>
      <w:r w:rsidRPr="007527C1">
        <w:t>Dated</w:t>
      </w:r>
      <w:r w:rsidR="00267699">
        <w:t xml:space="preserve">  </w:t>
      </w:r>
      <w:r w:rsidR="00C57BC5">
        <w:t xml:space="preserve"> </w:t>
      </w:r>
      <w:r w:rsidR="007615E2">
        <w:tab/>
      </w:r>
      <w:r w:rsidR="00267699">
        <w:t>28 August 2020</w:t>
      </w:r>
      <w:r w:rsidR="004F58B0">
        <w:t xml:space="preserve"> </w:t>
      </w:r>
    </w:p>
    <w:p w14:paraId="45E834A1" w14:textId="77777777" w:rsidR="00D93DA9" w:rsidRDefault="00D93DA9" w:rsidP="00C467B6">
      <w:pPr>
        <w:pStyle w:val="Plain"/>
      </w:pPr>
    </w:p>
    <w:p w14:paraId="7837E9DD" w14:textId="77777777" w:rsidR="00D93DA9" w:rsidRDefault="00D93DA9" w:rsidP="00C467B6">
      <w:pPr>
        <w:pStyle w:val="Plain"/>
      </w:pPr>
    </w:p>
    <w:p w14:paraId="1413BA46" w14:textId="77777777" w:rsidR="00D93DA9" w:rsidRDefault="00D93DA9" w:rsidP="00C467B6">
      <w:pPr>
        <w:pStyle w:val="Plain"/>
      </w:pPr>
    </w:p>
    <w:p w14:paraId="53DDD3FD" w14:textId="77777777" w:rsidR="00D93DA9" w:rsidRDefault="00D93DA9" w:rsidP="00C467B6">
      <w:pPr>
        <w:pStyle w:val="Plain"/>
      </w:pPr>
    </w:p>
    <w:p w14:paraId="001A7279" w14:textId="77777777" w:rsidR="00D93DA9" w:rsidRPr="007527C1" w:rsidRDefault="00D93DA9" w:rsidP="00C467B6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14:paraId="4A0BA49A" w14:textId="77777777" w:rsidTr="0034373D">
        <w:tc>
          <w:tcPr>
            <w:tcW w:w="4116" w:type="dxa"/>
          </w:tcPr>
          <w:p w14:paraId="11A62C1B" w14:textId="77777777" w:rsidR="00B70FA0" w:rsidRDefault="00B70FA0" w:rsidP="00C467B6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14:paraId="2EF6B85D" w14:textId="77777777" w:rsidR="00B70FA0" w:rsidRDefault="00B70FA0" w:rsidP="00C467B6">
            <w:pPr>
              <w:pStyle w:val="Plain"/>
            </w:pPr>
          </w:p>
        </w:tc>
      </w:tr>
      <w:tr w:rsidR="00B70FA0" w14:paraId="40FA37BD" w14:textId="77777777" w:rsidTr="0034373D">
        <w:tc>
          <w:tcPr>
            <w:tcW w:w="4116" w:type="dxa"/>
          </w:tcPr>
          <w:p w14:paraId="3BB68BAD" w14:textId="7B2F5DF3" w:rsidR="00B70FA0" w:rsidRDefault="007138EF" w:rsidP="00C467B6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6334393F" wp14:editId="65851D65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93C9E" w14:textId="77777777" w:rsidR="00B70FA0" w:rsidRDefault="00B70FA0" w:rsidP="00C467B6">
            <w:pPr>
              <w:pStyle w:val="Plain"/>
            </w:pPr>
          </w:p>
          <w:p w14:paraId="14377243" w14:textId="77777777" w:rsidR="00B70FA0" w:rsidRPr="007527C1" w:rsidRDefault="00B70FA0" w:rsidP="00C467B6">
            <w:pPr>
              <w:pStyle w:val="Plain"/>
            </w:pPr>
            <w:r w:rsidRPr="007527C1">
              <w:t>Professor Nicholas Saunders AO</w:t>
            </w:r>
          </w:p>
          <w:p w14:paraId="2E27274B" w14:textId="77777777" w:rsidR="00B70FA0" w:rsidRDefault="00B70FA0" w:rsidP="00C467B6">
            <w:pPr>
              <w:pStyle w:val="Plain"/>
            </w:pPr>
            <w:r w:rsidRPr="007527C1">
              <w:t>Chairperson</w:t>
            </w:r>
          </w:p>
          <w:p w14:paraId="2F1B2F81" w14:textId="77777777" w:rsidR="00B70FA0" w:rsidRDefault="00B70FA0" w:rsidP="0034373D"/>
        </w:tc>
      </w:tr>
    </w:tbl>
    <w:p w14:paraId="5A391943" w14:textId="77777777" w:rsidR="00F67B67" w:rsidRPr="00FA33FB" w:rsidRDefault="00F67B67" w:rsidP="00F67B67"/>
    <w:p w14:paraId="5B8B03BE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7F1B7925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491F9DD4" w14:textId="68E499F4" w:rsidR="00C8339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4" w:name="_GoBack"/>
      <w:bookmarkEnd w:id="4"/>
      <w:r w:rsidR="00C83399">
        <w:rPr>
          <w:noProof/>
        </w:rPr>
        <w:t>1</w:t>
      </w:r>
      <w:r w:rsidR="00C8339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83399">
        <w:rPr>
          <w:noProof/>
        </w:rPr>
        <w:t>Name</w:t>
      </w:r>
      <w:r w:rsidR="00C83399">
        <w:rPr>
          <w:noProof/>
        </w:rPr>
        <w:tab/>
      </w:r>
      <w:r w:rsidR="00C83399">
        <w:rPr>
          <w:noProof/>
        </w:rPr>
        <w:fldChar w:fldCharType="begin"/>
      </w:r>
      <w:r w:rsidR="00C83399">
        <w:rPr>
          <w:noProof/>
        </w:rPr>
        <w:instrText xml:space="preserve"> PAGEREF _Toc49413144 \h </w:instrText>
      </w:r>
      <w:r w:rsidR="00C83399">
        <w:rPr>
          <w:noProof/>
        </w:rPr>
      </w:r>
      <w:r w:rsidR="00C83399">
        <w:rPr>
          <w:noProof/>
        </w:rPr>
        <w:fldChar w:fldCharType="separate"/>
      </w:r>
      <w:r w:rsidR="00C83399">
        <w:rPr>
          <w:noProof/>
        </w:rPr>
        <w:t>3</w:t>
      </w:r>
      <w:r w:rsidR="00C83399">
        <w:rPr>
          <w:noProof/>
        </w:rPr>
        <w:fldChar w:fldCharType="end"/>
      </w:r>
    </w:p>
    <w:p w14:paraId="5CF6B62A" w14:textId="199ED618" w:rsidR="00C83399" w:rsidRDefault="00C8339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FB75587" w14:textId="682CA420" w:rsidR="00C83399" w:rsidRDefault="00C8339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75907F1" w14:textId="2E9BB412" w:rsidR="00C83399" w:rsidRDefault="00C8339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D92719A" w14:textId="161DD161" w:rsidR="00C83399" w:rsidRDefault="00C8339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1D24F9" w14:textId="50BC0B5B" w:rsidR="00C83399" w:rsidRDefault="00C8339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7201A08" w14:textId="5041A97C" w:rsidR="00C83399" w:rsidRDefault="00C8339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59379E0" w14:textId="32C50E35" w:rsidR="00C83399" w:rsidRDefault="00C8339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5B75F76" w14:textId="52C57345" w:rsidR="00C83399" w:rsidRDefault="00C8339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6D630F3" w14:textId="769E4EF0" w:rsidR="00C83399" w:rsidRDefault="00C8339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2209027" w14:textId="72EF9867" w:rsidR="00C83399" w:rsidRDefault="00C8339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646F2A6" w14:textId="33C84D46" w:rsidR="00C83399" w:rsidRDefault="00C833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AD792EA" w14:textId="6548BC5B" w:rsidR="00C83399" w:rsidRDefault="00C8339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B2BCEDD" w14:textId="64D7EF45" w:rsidR="00C83399" w:rsidRDefault="00C833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 2 - Drugs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AAB9C13" w14:textId="4EE49F81" w:rsidR="00C83399" w:rsidRDefault="00C8339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Specified Drugs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_Toc49413158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431DD21" w14:textId="48AA522F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27FD0B9D" w14:textId="77777777" w:rsidR="003A2FFE" w:rsidRDefault="003A2FFE" w:rsidP="003A2FFE">
      <w:pPr>
        <w:tabs>
          <w:tab w:val="left" w:pos="3631"/>
        </w:tabs>
      </w:pPr>
    </w:p>
    <w:p w14:paraId="31B34A99" w14:textId="77777777" w:rsidR="003734C6" w:rsidRDefault="003734C6" w:rsidP="00715914">
      <w:r w:rsidRPr="003A2FFE">
        <w:br w:type="page"/>
      </w:r>
    </w:p>
    <w:p w14:paraId="46418AC6" w14:textId="77777777" w:rsidR="00877AE3" w:rsidRDefault="00877AE3">
      <w:pPr>
        <w:pStyle w:val="LV1"/>
      </w:pPr>
      <w:bookmarkStart w:id="5" w:name="_Toc49413144"/>
      <w:r>
        <w:lastRenderedPageBreak/>
        <w:t>Name</w:t>
      </w:r>
      <w:bookmarkEnd w:id="5"/>
    </w:p>
    <w:p w14:paraId="5B75BACD" w14:textId="49E476DF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542892">
        <w:rPr>
          <w:i/>
        </w:rPr>
        <w:t>pure red cell aplasia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267699">
        <w:t>61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42892">
        <w:t>2020</w:t>
      </w:r>
      <w:r w:rsidR="00E55F66" w:rsidRPr="00F97A62">
        <w:t>)</w:t>
      </w:r>
      <w:r w:rsidRPr="00F97A62">
        <w:t>.</w:t>
      </w:r>
    </w:p>
    <w:p w14:paraId="4E8C2164" w14:textId="77777777" w:rsidR="00F67B67" w:rsidRPr="00684C0E" w:rsidRDefault="00F67B67">
      <w:pPr>
        <w:pStyle w:val="LV1"/>
      </w:pPr>
      <w:bookmarkStart w:id="8" w:name="_Toc49413145"/>
      <w:r w:rsidRPr="00684C0E">
        <w:t>Commencement</w:t>
      </w:r>
      <w:bookmarkEnd w:id="8"/>
    </w:p>
    <w:p w14:paraId="70E9C7C6" w14:textId="58EFDEE8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67699">
        <w:t>28 September 2020</w:t>
      </w:r>
      <w:r w:rsidR="00F67B67" w:rsidRPr="007527C1">
        <w:t>.</w:t>
      </w:r>
    </w:p>
    <w:p w14:paraId="53A1FDF3" w14:textId="77777777" w:rsidR="00F67B67" w:rsidRPr="00684C0E" w:rsidRDefault="00F67B67">
      <w:pPr>
        <w:pStyle w:val="LV1"/>
      </w:pPr>
      <w:bookmarkStart w:id="9" w:name="_Toc49413146"/>
      <w:r w:rsidRPr="00684C0E">
        <w:t>Authority</w:t>
      </w:r>
      <w:bookmarkEnd w:id="9"/>
    </w:p>
    <w:p w14:paraId="08983969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52DF145C" w14:textId="77777777" w:rsidR="007959B9" w:rsidRPr="00684C0E" w:rsidRDefault="007959B9" w:rsidP="00D62F9C">
      <w:pPr>
        <w:pStyle w:val="LV1"/>
      </w:pPr>
      <w:bookmarkStart w:id="10" w:name="_Toc49413147"/>
      <w:r>
        <w:t>Re</w:t>
      </w:r>
      <w:r w:rsidR="00CB7412">
        <w:t>peal</w:t>
      </w:r>
      <w:bookmarkEnd w:id="10"/>
    </w:p>
    <w:p w14:paraId="531CF57F" w14:textId="77777777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542892" w:rsidRPr="002B35AA">
        <w:t>aplastic anaemia</w:t>
      </w:r>
      <w:r w:rsidR="00542892" w:rsidRPr="00DA3996">
        <w:t xml:space="preserve"> No. </w:t>
      </w:r>
      <w:r w:rsidR="00542892">
        <w:t>51</w:t>
      </w:r>
      <w:r w:rsidR="00542892" w:rsidRPr="00DA3996">
        <w:t xml:space="preserve"> of </w:t>
      </w:r>
      <w:r w:rsidR="00542892">
        <w:t xml:space="preserve">2012 </w:t>
      </w:r>
      <w:r w:rsidR="00542892" w:rsidRPr="00786DAE">
        <w:t xml:space="preserve">(Federal Register of </w:t>
      </w:r>
      <w:r w:rsidR="00542892" w:rsidRPr="002B35AA">
        <w:t xml:space="preserve">Legislation No. F2012L01793) </w:t>
      </w:r>
      <w:r w:rsidRPr="00DA3996">
        <w:t xml:space="preserve">made under subsections </w:t>
      </w:r>
      <w:proofErr w:type="gramStart"/>
      <w:r w:rsidRPr="00DA3996">
        <w:t>196B(</w:t>
      </w:r>
      <w:proofErr w:type="gramEnd"/>
      <w:r>
        <w:t>3</w:t>
      </w:r>
      <w:r w:rsidRPr="00DA3996">
        <w:t>) and (8)</w:t>
      </w:r>
      <w:r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repealed.</w:t>
      </w:r>
    </w:p>
    <w:p w14:paraId="1902EE71" w14:textId="77777777" w:rsidR="007C7DEE" w:rsidRPr="00684C0E" w:rsidRDefault="007C7DEE">
      <w:pPr>
        <w:pStyle w:val="LV1"/>
      </w:pPr>
      <w:bookmarkStart w:id="11" w:name="_Toc49413148"/>
      <w:r w:rsidRPr="00684C0E">
        <w:t>Application</w:t>
      </w:r>
      <w:bookmarkEnd w:id="11"/>
    </w:p>
    <w:p w14:paraId="20822EB5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3D469E6F" w14:textId="77777777" w:rsidR="007C7DEE" w:rsidRPr="00684C0E" w:rsidRDefault="0005152B">
      <w:pPr>
        <w:pStyle w:val="LV1"/>
      </w:pPr>
      <w:bookmarkStart w:id="12" w:name="_Toc49413149"/>
      <w:r>
        <w:t>Schedules</w:t>
      </w:r>
      <w:bookmarkEnd w:id="12"/>
    </w:p>
    <w:p w14:paraId="5938E981" w14:textId="77777777" w:rsidR="00237471" w:rsidRPr="00D5620B" w:rsidRDefault="0005152B" w:rsidP="00DF65CF">
      <w:pPr>
        <w:pStyle w:val="PlainIndent"/>
      </w:pPr>
      <w:r w:rsidRPr="0005152B">
        <w:t>Any item in a Schedule to this Instrument has effect according to its terms.</w:t>
      </w:r>
    </w:p>
    <w:p w14:paraId="7762EA41" w14:textId="77777777" w:rsidR="007C7DEE" w:rsidRPr="00684C0E" w:rsidRDefault="007C7DEE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941315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28C1AB23" w14:textId="77777777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542892" w:rsidRPr="00542892">
        <w:t>pure red cell aplasia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542892" w:rsidRPr="00542892">
        <w:t>pure red cell aplasia</w:t>
      </w:r>
      <w:r w:rsidRPr="00D5620B">
        <w:t>.</w:t>
      </w:r>
      <w:bookmarkEnd w:id="17"/>
    </w:p>
    <w:p w14:paraId="28CF2A5E" w14:textId="77777777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542892" w:rsidRPr="00542892">
        <w:rPr>
          <w:b/>
        </w:rPr>
        <w:t>pure red cell aplasia</w:t>
      </w:r>
    </w:p>
    <w:p w14:paraId="2E992B05" w14:textId="77777777"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542892" w:rsidRPr="00542892">
        <w:t>pure red cell aplasia</w:t>
      </w:r>
      <w:r w:rsidRPr="00237BAF">
        <w:t>:</w:t>
      </w:r>
      <w:bookmarkEnd w:id="18"/>
    </w:p>
    <w:bookmarkEnd w:id="19"/>
    <w:p w14:paraId="4514349C" w14:textId="77777777" w:rsidR="00542892" w:rsidRDefault="00542892" w:rsidP="00542892">
      <w:pPr>
        <w:pStyle w:val="LV3"/>
      </w:pPr>
      <w:r>
        <w:t xml:space="preserve">means complete or nearly complete cessation of red cell production in the bone marrow without effects on other haematopoietic cells and characterised by anaemia, </w:t>
      </w:r>
      <w:proofErr w:type="spellStart"/>
      <w:r>
        <w:t>reticulocytopaenia</w:t>
      </w:r>
      <w:proofErr w:type="spellEnd"/>
      <w:r>
        <w:t xml:space="preserve"> and absent or rare erythroid precursor cells in the bone marrow; and </w:t>
      </w:r>
    </w:p>
    <w:p w14:paraId="33331DB0" w14:textId="77777777" w:rsidR="00542892" w:rsidRDefault="00542892" w:rsidP="00542892">
      <w:pPr>
        <w:pStyle w:val="LV3"/>
      </w:pPr>
      <w:r>
        <w:t>excludes:</w:t>
      </w:r>
    </w:p>
    <w:p w14:paraId="4B06BAAF" w14:textId="77777777" w:rsidR="00542892" w:rsidRDefault="00542892" w:rsidP="00542892">
      <w:pPr>
        <w:pStyle w:val="LV4"/>
      </w:pPr>
      <w:r>
        <w:t>congenital Diamond-</w:t>
      </w:r>
      <w:proofErr w:type="spellStart"/>
      <w:r>
        <w:t>Blackfan</w:t>
      </w:r>
      <w:proofErr w:type="spellEnd"/>
      <w:r>
        <w:t xml:space="preserve"> anaemia;</w:t>
      </w:r>
    </w:p>
    <w:p w14:paraId="5C34ABEE" w14:textId="77777777" w:rsidR="00542892" w:rsidRDefault="00542892" w:rsidP="00542892">
      <w:pPr>
        <w:pStyle w:val="LV4"/>
      </w:pPr>
      <w:r>
        <w:t xml:space="preserve">myelodysplastic syndrome; and </w:t>
      </w:r>
    </w:p>
    <w:p w14:paraId="6BB4B9ED" w14:textId="77777777" w:rsidR="000D4972" w:rsidRDefault="00542892" w:rsidP="00542892">
      <w:pPr>
        <w:pStyle w:val="LV4"/>
      </w:pPr>
      <w:proofErr w:type="gramStart"/>
      <w:r>
        <w:t>paroxysmal</w:t>
      </w:r>
      <w:proofErr w:type="gramEnd"/>
      <w:r>
        <w:t xml:space="preserve"> nocturnal haemoglobinuria.</w:t>
      </w:r>
    </w:p>
    <w:p w14:paraId="0F4DAB97" w14:textId="77777777" w:rsidR="008F572A" w:rsidRPr="00237BAF" w:rsidRDefault="000D4972" w:rsidP="00542892">
      <w:pPr>
        <w:pStyle w:val="LV2"/>
      </w:pPr>
      <w:r w:rsidRPr="00237BAF">
        <w:lastRenderedPageBreak/>
        <w:t xml:space="preserve">While </w:t>
      </w:r>
      <w:r w:rsidR="00542892" w:rsidRPr="00542892">
        <w:t>pure red cell aplasia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542892" w:rsidRPr="00542892">
        <w:t>D60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542892" w:rsidRPr="00542892">
        <w:t>pure red cell aplasia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14:paraId="31BC8850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28C63157" w14:textId="77777777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542892" w:rsidRPr="00542892">
        <w:rPr>
          <w:b/>
        </w:rPr>
        <w:t>pure red cell aplasia</w:t>
      </w:r>
    </w:p>
    <w:p w14:paraId="565FACFF" w14:textId="77777777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542892" w:rsidRPr="00542892">
        <w:t>pure red cell aplasia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542892" w:rsidRPr="00542892">
        <w:t>pure red cell aplasia</w:t>
      </w:r>
      <w:r w:rsidRPr="00D5620B">
        <w:t>.</w:t>
      </w:r>
    </w:p>
    <w:p w14:paraId="2F7C9D09" w14:textId="6E36214F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23708F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5AA13969" w14:textId="77777777" w:rsidR="007C7DEE" w:rsidRPr="00A20CA1" w:rsidRDefault="007C7DEE" w:rsidP="00D62F9C">
      <w:pPr>
        <w:pStyle w:val="LV1"/>
      </w:pPr>
      <w:bookmarkStart w:id="20" w:name="_Toc49413151"/>
      <w:r w:rsidRPr="00A20CA1">
        <w:t>Basis for determining the factors</w:t>
      </w:r>
      <w:bookmarkEnd w:id="20"/>
    </w:p>
    <w:p w14:paraId="7624547F" w14:textId="77777777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542892" w:rsidRPr="00542892">
        <w:t>pure red cell aplasia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542892" w:rsidRPr="00542892">
        <w:t>pure red cell aplasia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6ACA86CB" w14:textId="15972802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23708F">
        <w:t xml:space="preserve">- </w:t>
      </w:r>
      <w:r w:rsidRPr="00046E67">
        <w:t>Dictionary</w:t>
      </w:r>
      <w:r>
        <w:t>.</w:t>
      </w:r>
    </w:p>
    <w:p w14:paraId="76A200EB" w14:textId="77777777" w:rsidR="007C7DEE" w:rsidRPr="00301C54" w:rsidRDefault="007C7DEE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941315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400A3C38" w14:textId="77777777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542892" w:rsidRPr="00542892">
        <w:t>pure red cell aplasia</w:t>
      </w:r>
      <w:r w:rsidR="007A3989">
        <w:t xml:space="preserve"> </w:t>
      </w:r>
      <w:r w:rsidR="007C7DEE" w:rsidRPr="00AA6D8B">
        <w:t xml:space="preserve">or death from </w:t>
      </w:r>
      <w:r w:rsidR="00542892" w:rsidRPr="00542892">
        <w:t>pure red cell aplasia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63B50C21" w14:textId="77777777" w:rsidR="00B75690" w:rsidRDefault="00B75690" w:rsidP="00B75690">
      <w:pPr>
        <w:pStyle w:val="LV2"/>
      </w:pPr>
      <w:bookmarkStart w:id="26" w:name="_Ref402530260"/>
      <w:bookmarkStart w:id="27" w:name="_Ref409598844"/>
      <w:r w:rsidRPr="00B75690">
        <w:t>being pregnant at the time of the clinical onset of pure red cell aplasia;</w:t>
      </w:r>
    </w:p>
    <w:p w14:paraId="339F3B62" w14:textId="77777777" w:rsidR="000D4972" w:rsidRPr="00D541B7" w:rsidRDefault="00B75690" w:rsidP="0005152B">
      <w:pPr>
        <w:pStyle w:val="LV2"/>
      </w:pPr>
      <w:r w:rsidRPr="00D541B7">
        <w:t xml:space="preserve">being treated with a drug </w:t>
      </w:r>
      <w:r w:rsidR="0005152B" w:rsidRPr="0005152B">
        <w:t>specified in the Schedule</w:t>
      </w:r>
      <w:r w:rsidR="0005152B">
        <w:t> </w:t>
      </w:r>
      <w:r w:rsidR="0005152B" w:rsidRPr="0005152B">
        <w:t>2</w:t>
      </w:r>
      <w:r w:rsidR="0005152B">
        <w:t> </w:t>
      </w:r>
      <w:r w:rsidR="0005152B" w:rsidRPr="0005152B">
        <w:t>-</w:t>
      </w:r>
      <w:r w:rsidR="0005152B">
        <w:t> </w:t>
      </w:r>
      <w:r w:rsidR="0005152B" w:rsidRPr="0005152B">
        <w:t xml:space="preserve">Drugs of this </w:t>
      </w:r>
      <w:r w:rsidR="00864874">
        <w:t>I</w:t>
      </w:r>
      <w:r w:rsidR="0005152B" w:rsidRPr="0005152B">
        <w:t>nstrument</w:t>
      </w:r>
      <w:r w:rsidRPr="00D541B7">
        <w:t xml:space="preserve"> within the six months before the clinical onset of pure red cell aplasia;</w:t>
      </w:r>
    </w:p>
    <w:p w14:paraId="7EB5FFEE" w14:textId="77777777" w:rsidR="000D4972" w:rsidRPr="008E76DC" w:rsidRDefault="00B75690" w:rsidP="00B75690">
      <w:pPr>
        <w:pStyle w:val="LV2"/>
      </w:pPr>
      <w:r w:rsidRPr="00B75690">
        <w:t>being treated with a drug which is associated in the individual with:</w:t>
      </w:r>
    </w:p>
    <w:p w14:paraId="27284BCB" w14:textId="77777777" w:rsidR="00B75690" w:rsidRDefault="00B75690" w:rsidP="00B75690">
      <w:pPr>
        <w:pStyle w:val="LV3"/>
      </w:pPr>
      <w:r>
        <w:t xml:space="preserve">the development of pure red cell aplasia within six months of drug therapy; and </w:t>
      </w:r>
    </w:p>
    <w:p w14:paraId="4FF067D0" w14:textId="77777777" w:rsidR="000D4972" w:rsidRPr="008E76DC" w:rsidRDefault="00B75690" w:rsidP="00B75690">
      <w:pPr>
        <w:pStyle w:val="LV3"/>
      </w:pPr>
      <w:r>
        <w:t>the improvement of pure red cell aplasia within six months of discontinuing or tapering drug therapy;</w:t>
      </w:r>
    </w:p>
    <w:p w14:paraId="54CB71D3" w14:textId="77777777" w:rsidR="00240571" w:rsidRDefault="00240571" w:rsidP="00240571">
      <w:pPr>
        <w:pStyle w:val="LV2"/>
      </w:pPr>
      <w:r w:rsidRPr="00B75690">
        <w:t>being exposed to benzene as specified on at least 45 days within the six months before the clinical onset of pure red cell aplasia;</w:t>
      </w:r>
    </w:p>
    <w:p w14:paraId="1BDA8EA3" w14:textId="77777777" w:rsidR="00240571" w:rsidRDefault="00240571" w:rsidP="00240571">
      <w:pPr>
        <w:pStyle w:val="Note2"/>
      </w:pPr>
      <w:r w:rsidRPr="00B75690">
        <w:t xml:space="preserve">Note: </w:t>
      </w:r>
      <w:r w:rsidRPr="00B75690">
        <w:rPr>
          <w:b/>
          <w:i/>
        </w:rPr>
        <w:t>being exposed to benzene as specified</w:t>
      </w:r>
      <w:r w:rsidRPr="00B75690">
        <w:t xml:space="preserve"> is defined in the Schedule 1 - Dictionary.</w:t>
      </w:r>
      <w:r w:rsidRPr="00B75690">
        <w:tab/>
      </w:r>
    </w:p>
    <w:p w14:paraId="2A9EB4AB" w14:textId="77777777" w:rsidR="00B75690" w:rsidRDefault="00B75690" w:rsidP="00B75690">
      <w:pPr>
        <w:pStyle w:val="LV2"/>
      </w:pPr>
      <w:r w:rsidRPr="00B75690">
        <w:lastRenderedPageBreak/>
        <w:t>having acute hepatitis within the one year before the clinical onset of pure red cell aplasia;</w:t>
      </w:r>
    </w:p>
    <w:p w14:paraId="2585D977" w14:textId="77777777" w:rsidR="00B75690" w:rsidRDefault="00B75690" w:rsidP="00B75690">
      <w:pPr>
        <w:pStyle w:val="LV2"/>
      </w:pPr>
      <w:r w:rsidRPr="00B75690">
        <w:t>having a liver transplant within the three months before the clinical onset of pure red cell aplasia;</w:t>
      </w:r>
    </w:p>
    <w:p w14:paraId="1AF47FCD" w14:textId="4342EAB3" w:rsidR="00600905" w:rsidRDefault="00600905" w:rsidP="00600905">
      <w:pPr>
        <w:pStyle w:val="LV2"/>
      </w:pPr>
      <w:r w:rsidRPr="00600905">
        <w:t xml:space="preserve">having an autoimmune </w:t>
      </w:r>
      <w:r w:rsidR="000C49FC">
        <w:t>di</w:t>
      </w:r>
      <w:r w:rsidR="0023708F">
        <w:t>sease</w:t>
      </w:r>
      <w:r w:rsidRPr="00600905">
        <w:t xml:space="preserve"> from the specified list of autoimmune </w:t>
      </w:r>
      <w:r w:rsidR="000C49FC">
        <w:t>dis</w:t>
      </w:r>
      <w:r w:rsidR="0023708F">
        <w:t>ease</w:t>
      </w:r>
      <w:r w:rsidR="000C49FC">
        <w:t>s</w:t>
      </w:r>
      <w:r w:rsidRPr="00600905">
        <w:t xml:space="preserve"> within the two years before the clinical onset of pure red cell aplasia;</w:t>
      </w:r>
    </w:p>
    <w:p w14:paraId="30D79F95" w14:textId="79329BD5" w:rsidR="00600905" w:rsidRDefault="00600905" w:rsidP="00600905">
      <w:pPr>
        <w:pStyle w:val="Note2"/>
      </w:pPr>
      <w:r w:rsidRPr="00600905">
        <w:t xml:space="preserve">Note: </w:t>
      </w:r>
      <w:r w:rsidRPr="00600905">
        <w:rPr>
          <w:b/>
          <w:i/>
        </w:rPr>
        <w:t xml:space="preserve">specified list of autoimmune </w:t>
      </w:r>
      <w:r w:rsidR="000C49FC">
        <w:rPr>
          <w:b/>
          <w:i/>
        </w:rPr>
        <w:t>di</w:t>
      </w:r>
      <w:r w:rsidR="004766DB">
        <w:rPr>
          <w:b/>
          <w:i/>
        </w:rPr>
        <w:t>sease</w:t>
      </w:r>
      <w:r w:rsidR="000C49FC">
        <w:rPr>
          <w:b/>
          <w:i/>
        </w:rPr>
        <w:t>s</w:t>
      </w:r>
      <w:r w:rsidRPr="00600905">
        <w:t xml:space="preserve"> is defined in the Schedule 1 - Dictionary.</w:t>
      </w:r>
    </w:p>
    <w:p w14:paraId="5B11F53D" w14:textId="77777777" w:rsidR="00600905" w:rsidRDefault="00600905" w:rsidP="00600905">
      <w:pPr>
        <w:pStyle w:val="LV2"/>
      </w:pPr>
      <w:r w:rsidRPr="00600905">
        <w:tab/>
        <w:t xml:space="preserve">having </w:t>
      </w:r>
      <w:r w:rsidRPr="00600905">
        <w:tab/>
        <w:t>chronic lymphocytic leukaemia/small lymphocytic lymphoma or T-cell large granular lymphocytic leukaemia within the six months before the clinical onset of pure red cell aplasia;</w:t>
      </w:r>
      <w:r>
        <w:t xml:space="preserve"> </w:t>
      </w:r>
    </w:p>
    <w:p w14:paraId="5AFA0465" w14:textId="77777777" w:rsidR="00600905" w:rsidRDefault="00600905" w:rsidP="00600905">
      <w:pPr>
        <w:pStyle w:val="LV2"/>
      </w:pPr>
      <w:r w:rsidRPr="00600905">
        <w:t xml:space="preserve">having a </w:t>
      </w:r>
      <w:proofErr w:type="spellStart"/>
      <w:r w:rsidRPr="00600905">
        <w:t>thymoma</w:t>
      </w:r>
      <w:proofErr w:type="spellEnd"/>
      <w:r w:rsidRPr="00600905">
        <w:t xml:space="preserve"> or thymic carcinoma before the clinical onset of pure red cell aplasia;</w:t>
      </w:r>
    </w:p>
    <w:p w14:paraId="44876B5C" w14:textId="77777777" w:rsidR="00600905" w:rsidRDefault="00600905" w:rsidP="00600905">
      <w:pPr>
        <w:pStyle w:val="LV2"/>
      </w:pPr>
      <w:r w:rsidRPr="00600905">
        <w:t>having an infection with parvovirus B19 within the six months before the clinical onset of pure red cell aplasia;</w:t>
      </w:r>
      <w:r>
        <w:t xml:space="preserve"> </w:t>
      </w:r>
    </w:p>
    <w:p w14:paraId="1A2E8C01" w14:textId="77777777" w:rsidR="00600905" w:rsidRDefault="00600905" w:rsidP="000D4972">
      <w:pPr>
        <w:pStyle w:val="LV2"/>
      </w:pPr>
      <w:r w:rsidRPr="00B75690">
        <w:t>being pregnant at the time of the clinical worsening of pure red cell aplasia;</w:t>
      </w:r>
    </w:p>
    <w:p w14:paraId="06BDC534" w14:textId="77777777"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542892" w:rsidRPr="00542892">
        <w:t>pure red cell aplasia</w:t>
      </w:r>
      <w:r w:rsidR="00D5620B" w:rsidRPr="008D1B8B">
        <w:t>.</w:t>
      </w:r>
      <w:bookmarkEnd w:id="27"/>
    </w:p>
    <w:p w14:paraId="39431044" w14:textId="77777777" w:rsidR="000C21A3" w:rsidRPr="00684C0E" w:rsidRDefault="00D32F71">
      <w:pPr>
        <w:pStyle w:val="LV1"/>
      </w:pPr>
      <w:bookmarkStart w:id="28" w:name="_Ref402530057"/>
      <w:bookmarkStart w:id="29" w:name="_Toc49413153"/>
      <w:r>
        <w:t>Relationship to s</w:t>
      </w:r>
      <w:r w:rsidR="000C21A3" w:rsidRPr="00684C0E">
        <w:t>ervice</w:t>
      </w:r>
      <w:bookmarkEnd w:id="29"/>
    </w:p>
    <w:p w14:paraId="5CD3D944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8"/>
    <w:p w14:paraId="4642FA5E" w14:textId="77777777"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6122AF">
        <w:t>1</w:t>
      </w:r>
      <w:r w:rsidR="00C12902">
        <w:t>1</w:t>
      </w:r>
      <w:r w:rsidR="00FF1D47">
        <w:t>)</w:t>
      </w:r>
      <w:r w:rsidR="00C12902">
        <w:t xml:space="preserve"> and 9(1</w:t>
      </w:r>
      <w:r w:rsidR="006122AF">
        <w:t>2</w:t>
      </w:r>
      <w:r w:rsidR="00C12902">
        <w:t>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542892" w:rsidRPr="00542892">
        <w:t>pure red cell aplasia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542892" w:rsidRPr="00542892">
        <w:t>pure red cell aplasia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128BBADF" w14:textId="77777777" w:rsidR="00774897" w:rsidRPr="00301C54" w:rsidRDefault="00774897">
      <w:pPr>
        <w:pStyle w:val="LV1"/>
      </w:pPr>
      <w:bookmarkStart w:id="30" w:name="_Toc4941315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158CC4DF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546959E8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68AAEA47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7FEA8D31" w14:textId="77777777"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14:paraId="6437841D" w14:textId="77777777" w:rsidR="00782F4E" w:rsidRPr="00E64EE4" w:rsidRDefault="00782F4E" w:rsidP="00DF65CF">
      <w:pPr>
        <w:pStyle w:val="PlainIndent"/>
      </w:pPr>
    </w:p>
    <w:p w14:paraId="40D43B5B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8F5DE56" w14:textId="77777777" w:rsidR="00F03C06" w:rsidRDefault="00F03C06" w:rsidP="00DF65CF">
      <w:pPr>
        <w:pStyle w:val="PlainIndent"/>
      </w:pPr>
    </w:p>
    <w:p w14:paraId="7B5F5FA2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941315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4E4B441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24E3D265" w14:textId="77777777" w:rsidR="00BD3334" w:rsidRDefault="00702C42" w:rsidP="00516768">
      <w:pPr>
        <w:pStyle w:val="SH1"/>
      </w:pPr>
      <w:bookmarkStart w:id="34" w:name="_Toc405472918"/>
      <w:bookmarkStart w:id="35" w:name="_Toc49413156"/>
      <w:r w:rsidRPr="00D97BB3">
        <w:t>Definitions</w:t>
      </w:r>
      <w:bookmarkEnd w:id="34"/>
      <w:bookmarkEnd w:id="35"/>
    </w:p>
    <w:p w14:paraId="530B29AF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1E704CAE" w14:textId="77777777" w:rsidR="0023708F" w:rsidRPr="00B75690" w:rsidRDefault="0023708F" w:rsidP="0023708F">
      <w:pPr>
        <w:pStyle w:val="SH3"/>
        <w:ind w:left="851" w:hanging="851"/>
      </w:pPr>
      <w:bookmarkStart w:id="36" w:name="_Ref402530810"/>
      <w:r w:rsidRPr="00B75690">
        <w:rPr>
          <w:b/>
          <w:i/>
        </w:rPr>
        <w:t xml:space="preserve">8-hour time-weighted average (TWA) </w:t>
      </w:r>
      <w:r>
        <w:t>means the averaging of different exposure levels to benzene during an average exposure period equivalent to eight hours.</w:t>
      </w:r>
    </w:p>
    <w:p w14:paraId="6E4AF2DE" w14:textId="4403A7BC" w:rsidR="00B75690" w:rsidRDefault="00B75690" w:rsidP="00B75690">
      <w:pPr>
        <w:pStyle w:val="SH3"/>
        <w:ind w:left="851" w:hanging="851"/>
      </w:pPr>
      <w:r w:rsidRPr="00B75690">
        <w:rPr>
          <w:b/>
          <w:i/>
        </w:rPr>
        <w:t>being exposed to benzene as specified</w:t>
      </w:r>
      <w:r>
        <w:t xml:space="preserve"> means: </w:t>
      </w:r>
    </w:p>
    <w:p w14:paraId="4C5415C0" w14:textId="77777777" w:rsidR="00B75690" w:rsidRDefault="00B75690" w:rsidP="00B75690">
      <w:pPr>
        <w:pStyle w:val="SH4"/>
        <w:ind w:left="1418"/>
      </w:pPr>
      <w:r>
        <w:t xml:space="preserve">having cutaneous contact with liquids containing benzene greater than 1% by volume; or </w:t>
      </w:r>
    </w:p>
    <w:p w14:paraId="50D33E31" w14:textId="77777777" w:rsidR="00B75690" w:rsidRDefault="00B75690" w:rsidP="00B75690">
      <w:pPr>
        <w:pStyle w:val="SH4"/>
        <w:ind w:left="1418"/>
      </w:pPr>
      <w:r>
        <w:t xml:space="preserve">ingesting liquids containing benzene greater than 1% by volume; or </w:t>
      </w:r>
    </w:p>
    <w:p w14:paraId="5305B6AA" w14:textId="77777777" w:rsidR="00B75690" w:rsidRDefault="00B75690" w:rsidP="00B75690">
      <w:pPr>
        <w:pStyle w:val="SH4"/>
        <w:ind w:left="1418"/>
      </w:pPr>
      <w:proofErr w:type="gramStart"/>
      <w:r>
        <w:t>inhaling</w:t>
      </w:r>
      <w:proofErr w:type="gramEnd"/>
      <w:r>
        <w:t xml:space="preserve"> benzene vapour where such exposure occurs at an ambient 8</w:t>
      </w:r>
      <w:r w:rsidR="00915D3A">
        <w:noBreakHyphen/>
      </w:r>
      <w:r>
        <w:t xml:space="preserve">hour time-weighted average (TWA) benzene concentration exceeding five parts per million. </w:t>
      </w:r>
    </w:p>
    <w:p w14:paraId="1D3D81EF" w14:textId="77777777" w:rsidR="00B75690" w:rsidRDefault="00B75690" w:rsidP="00B75690">
      <w:pPr>
        <w:pStyle w:val="ScheduleNote"/>
      </w:pPr>
      <w:r>
        <w:t xml:space="preserve">Note: </w:t>
      </w:r>
      <w:r w:rsidRPr="00B75690">
        <w:rPr>
          <w:b/>
          <w:i/>
        </w:rPr>
        <w:t>8-hour time-weighted average (TWA)</w:t>
      </w:r>
      <w:r>
        <w:t xml:space="preserve"> is defined in the Schedule 1 - Dictionary.</w:t>
      </w:r>
      <w:r>
        <w:tab/>
        <w:t xml:space="preserve"> </w:t>
      </w:r>
    </w:p>
    <w:p w14:paraId="4E0DDF2B" w14:textId="77777777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053747CC" w14:textId="77777777" w:rsidR="00600905" w:rsidRPr="00513D05" w:rsidRDefault="00600905" w:rsidP="00600905">
      <w:pPr>
        <w:pStyle w:val="SH3"/>
        <w:ind w:left="851"/>
      </w:pPr>
      <w:proofErr w:type="gramStart"/>
      <w:r w:rsidRPr="00542892">
        <w:rPr>
          <w:b/>
          <w:i/>
        </w:rPr>
        <w:t>pure</w:t>
      </w:r>
      <w:proofErr w:type="gramEnd"/>
      <w:r w:rsidRPr="00542892">
        <w:rPr>
          <w:b/>
          <w:i/>
        </w:rPr>
        <w:t xml:space="preserve"> red cell aplasia</w:t>
      </w:r>
      <w:r w:rsidRPr="00513D05">
        <w:t>—see subsection</w:t>
      </w:r>
      <w:r>
        <w:t xml:space="preserve"> 7(2).</w:t>
      </w:r>
    </w:p>
    <w:p w14:paraId="34CA020D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44BD7541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334811DC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6EE1F731" w14:textId="77777777"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14:paraId="6DD4FD92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1F10C419" w14:textId="70A9CEAF" w:rsidR="00600905" w:rsidRDefault="00600905" w:rsidP="00600905">
      <w:pPr>
        <w:pStyle w:val="SH3"/>
        <w:ind w:left="851"/>
      </w:pPr>
      <w:r w:rsidRPr="00600905">
        <w:rPr>
          <w:b/>
          <w:i/>
        </w:rPr>
        <w:t xml:space="preserve">specified list of autoimmune </w:t>
      </w:r>
      <w:r w:rsidR="000C49FC">
        <w:rPr>
          <w:b/>
          <w:i/>
        </w:rPr>
        <w:t>dis</w:t>
      </w:r>
      <w:r w:rsidR="004766DB">
        <w:rPr>
          <w:b/>
          <w:i/>
        </w:rPr>
        <w:t>ease</w:t>
      </w:r>
      <w:r w:rsidR="000C49FC">
        <w:rPr>
          <w:b/>
          <w:i/>
        </w:rPr>
        <w:t>s</w:t>
      </w:r>
      <w:r>
        <w:t xml:space="preserve"> means:</w:t>
      </w:r>
    </w:p>
    <w:p w14:paraId="613FC8E0" w14:textId="77777777" w:rsidR="00600905" w:rsidRDefault="00600905" w:rsidP="00600905">
      <w:pPr>
        <w:pStyle w:val="SH4"/>
        <w:ind w:left="1418"/>
      </w:pPr>
      <w:r>
        <w:t xml:space="preserve">ABO mismatched haematopoietic stem cell transplant; </w:t>
      </w:r>
    </w:p>
    <w:p w14:paraId="670A1263" w14:textId="77777777" w:rsidR="00600905" w:rsidRDefault="00600905" w:rsidP="00600905">
      <w:pPr>
        <w:pStyle w:val="SH4"/>
        <w:ind w:left="1418"/>
      </w:pPr>
      <w:r>
        <w:t>eosinophilic fasciitis;</w:t>
      </w:r>
    </w:p>
    <w:p w14:paraId="08705814" w14:textId="77777777" w:rsidR="00600905" w:rsidRDefault="00600905" w:rsidP="00600905">
      <w:pPr>
        <w:pStyle w:val="SH4"/>
        <w:ind w:left="1418"/>
      </w:pPr>
      <w:r>
        <w:t xml:space="preserve">graft versus host disease; </w:t>
      </w:r>
    </w:p>
    <w:p w14:paraId="58EFB142" w14:textId="77777777" w:rsidR="00600905" w:rsidRDefault="00600905" w:rsidP="00600905">
      <w:pPr>
        <w:pStyle w:val="SH4"/>
        <w:ind w:left="1418"/>
      </w:pPr>
      <w:proofErr w:type="spellStart"/>
      <w:r>
        <w:t>hyperimmunoglobulinaemia</w:t>
      </w:r>
      <w:proofErr w:type="spellEnd"/>
      <w:r>
        <w:t>;</w:t>
      </w:r>
    </w:p>
    <w:p w14:paraId="7E702171" w14:textId="77777777" w:rsidR="00600905" w:rsidRDefault="00600905" w:rsidP="00600905">
      <w:pPr>
        <w:pStyle w:val="SH4"/>
        <w:ind w:left="1418"/>
      </w:pPr>
      <w:proofErr w:type="spellStart"/>
      <w:r>
        <w:t>hypoimmunoglobulinaemia</w:t>
      </w:r>
      <w:proofErr w:type="spellEnd"/>
      <w:r>
        <w:t>; or</w:t>
      </w:r>
    </w:p>
    <w:p w14:paraId="2EBFDE8B" w14:textId="77777777" w:rsidR="00600905" w:rsidRPr="00600905" w:rsidRDefault="00600905" w:rsidP="00600905">
      <w:pPr>
        <w:pStyle w:val="SH4"/>
        <w:ind w:left="1418"/>
      </w:pPr>
      <w:proofErr w:type="gramStart"/>
      <w:r>
        <w:t>systemic</w:t>
      </w:r>
      <w:proofErr w:type="gramEnd"/>
      <w:r>
        <w:t xml:space="preserve"> lupus erythematosus.</w:t>
      </w:r>
    </w:p>
    <w:p w14:paraId="11C942F4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711A56EA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1A854BC4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06B86251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6AA0752C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28BBF838" w14:textId="77777777"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14:paraId="4E2E5103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61E6C3AB" w14:textId="77777777" w:rsidR="00CF2367" w:rsidRPr="00FA33FB" w:rsidRDefault="00CF2367" w:rsidP="00CF2367"/>
    <w:p w14:paraId="6CED6051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69950486" w14:textId="77777777" w:rsidR="0005152B" w:rsidRDefault="0005152B" w:rsidP="0005152B">
      <w:pPr>
        <w:spacing w:line="240" w:lineRule="auto"/>
        <w:rPr>
          <w:b/>
          <w:i/>
        </w:rPr>
      </w:pPr>
      <w:r>
        <w:rPr>
          <w:b/>
          <w:i/>
        </w:rPr>
        <w:br w:type="page"/>
      </w:r>
    </w:p>
    <w:p w14:paraId="14DB87B0" w14:textId="77777777" w:rsidR="0005152B" w:rsidRPr="003929A3" w:rsidRDefault="0005152B" w:rsidP="0005152B">
      <w:pPr>
        <w:pStyle w:val="SHHeader"/>
        <w:rPr>
          <w:rStyle w:val="CharAmSchNo"/>
          <w:szCs w:val="40"/>
        </w:rPr>
      </w:pPr>
      <w:bookmarkStart w:id="38" w:name="_Toc34819948"/>
      <w:bookmarkStart w:id="39" w:name="_Toc34828877"/>
      <w:bookmarkStart w:id="40" w:name="_Toc34834292"/>
      <w:bookmarkStart w:id="41" w:name="_Toc49413157"/>
      <w:r w:rsidRPr="003929A3">
        <w:rPr>
          <w:rStyle w:val="CharAmSchNo"/>
          <w:szCs w:val="40"/>
        </w:rPr>
        <w:lastRenderedPageBreak/>
        <w:t xml:space="preserve">Schedule </w:t>
      </w:r>
      <w:r>
        <w:rPr>
          <w:rStyle w:val="CharAmSchNo"/>
          <w:szCs w:val="40"/>
        </w:rPr>
        <w:t>2</w:t>
      </w:r>
      <w:r w:rsidRPr="003929A3">
        <w:rPr>
          <w:rStyle w:val="CharAmSchNo"/>
          <w:szCs w:val="40"/>
        </w:rPr>
        <w:t xml:space="preserve"> - </w:t>
      </w:r>
      <w:r>
        <w:rPr>
          <w:rStyle w:val="CharAmSchNo"/>
          <w:szCs w:val="40"/>
        </w:rPr>
        <w:t>Drugs</w:t>
      </w:r>
      <w:bookmarkEnd w:id="38"/>
      <w:bookmarkEnd w:id="39"/>
      <w:bookmarkEnd w:id="40"/>
      <w:bookmarkEnd w:id="41"/>
    </w:p>
    <w:p w14:paraId="44F119D8" w14:textId="77777777" w:rsidR="0005152B" w:rsidRDefault="0005152B" w:rsidP="0005152B">
      <w:pPr>
        <w:pStyle w:val="NOTEScheduleonly"/>
        <w:rPr>
          <w:rStyle w:val="CharAmSchNo"/>
          <w:szCs w:val="18"/>
        </w:rPr>
      </w:pPr>
      <w:r w:rsidRPr="003929A3">
        <w:rPr>
          <w:rStyle w:val="CharAmSchNo"/>
          <w:szCs w:val="18"/>
        </w:rPr>
        <w:t>Note:</w:t>
      </w:r>
      <w:r w:rsidRPr="003929A3">
        <w:rPr>
          <w:rStyle w:val="CharAmSchNo"/>
          <w:szCs w:val="18"/>
        </w:rPr>
        <w:tab/>
        <w:t xml:space="preserve"> See Section 6</w:t>
      </w:r>
      <w:r>
        <w:rPr>
          <w:rStyle w:val="CharAmSchNo"/>
          <w:szCs w:val="18"/>
        </w:rPr>
        <w:t>, Subsection 9(2)</w:t>
      </w:r>
    </w:p>
    <w:p w14:paraId="70794211" w14:textId="77777777" w:rsidR="0005152B" w:rsidRDefault="0005152B" w:rsidP="0005152B">
      <w:pPr>
        <w:pStyle w:val="SH1"/>
        <w:numPr>
          <w:ilvl w:val="0"/>
          <w:numId w:val="24"/>
        </w:numPr>
        <w:rPr>
          <w:rStyle w:val="CharAmSchText"/>
        </w:rPr>
      </w:pPr>
      <w:bookmarkStart w:id="42" w:name="_Toc34828878"/>
      <w:bookmarkStart w:id="43" w:name="_Toc34834293"/>
      <w:bookmarkStart w:id="44" w:name="_Toc49413158"/>
      <w:r w:rsidRPr="006F5693">
        <w:rPr>
          <w:rStyle w:val="CharAmSchText"/>
          <w:szCs w:val="24"/>
        </w:rPr>
        <w:t>Specified Drugs</w:t>
      </w:r>
      <w:bookmarkEnd w:id="42"/>
      <w:bookmarkEnd w:id="43"/>
      <w:bookmarkEnd w:id="44"/>
    </w:p>
    <w:p w14:paraId="76E874C4" w14:textId="77777777" w:rsidR="0005152B" w:rsidRDefault="0005152B" w:rsidP="0005152B">
      <w:pPr>
        <w:pStyle w:val="SH1"/>
        <w:numPr>
          <w:ilvl w:val="0"/>
          <w:numId w:val="0"/>
        </w:numPr>
        <w:ind w:left="907"/>
        <w:rPr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2552"/>
        <w:gridCol w:w="2779"/>
      </w:tblGrid>
      <w:tr w:rsidR="0005152B" w:rsidRPr="00F218A4" w14:paraId="2F7BC111" w14:textId="77777777" w:rsidTr="0005152B">
        <w:tc>
          <w:tcPr>
            <w:tcW w:w="2551" w:type="dxa"/>
          </w:tcPr>
          <w:p w14:paraId="4ED4874D" w14:textId="77777777" w:rsidR="0005152B" w:rsidRPr="00F218A4" w:rsidRDefault="0005152B" w:rsidP="0005152B">
            <w:pPr>
              <w:pStyle w:val="ListParagraph"/>
              <w:numPr>
                <w:ilvl w:val="0"/>
                <w:numId w:val="25"/>
              </w:numPr>
              <w:ind w:left="454" w:hanging="454"/>
            </w:pPr>
            <w:r w:rsidRPr="00F218A4">
              <w:t xml:space="preserve">alkylating agents (including </w:t>
            </w:r>
            <w:proofErr w:type="spellStart"/>
            <w:r w:rsidRPr="00F218A4">
              <w:t>temozolomide</w:t>
            </w:r>
            <w:proofErr w:type="spellEnd"/>
            <w:r w:rsidRPr="00F218A4">
              <w:t xml:space="preserve">, </w:t>
            </w:r>
            <w:proofErr w:type="spellStart"/>
            <w:r w:rsidRPr="00F218A4">
              <w:t>busulfan</w:t>
            </w:r>
            <w:proofErr w:type="spellEnd"/>
            <w:r w:rsidRPr="00F218A4">
              <w:t xml:space="preserve">, </w:t>
            </w:r>
            <w:proofErr w:type="spellStart"/>
            <w:r w:rsidRPr="00F218A4">
              <w:t>dacarbazine</w:t>
            </w:r>
            <w:proofErr w:type="spellEnd"/>
            <w:r w:rsidRPr="00F218A4">
              <w:t xml:space="preserve">, cyclophosphamide, </w:t>
            </w:r>
            <w:proofErr w:type="spellStart"/>
            <w:r w:rsidRPr="00F218A4">
              <w:t>melphalan</w:t>
            </w:r>
            <w:proofErr w:type="spellEnd"/>
            <w:r w:rsidRPr="00F218A4">
              <w:t xml:space="preserve"> hydrochloride, nitrogen mustard)</w:t>
            </w:r>
          </w:p>
        </w:tc>
        <w:tc>
          <w:tcPr>
            <w:tcW w:w="2552" w:type="dxa"/>
          </w:tcPr>
          <w:p w14:paraId="4A5777CE" w14:textId="77777777" w:rsidR="0005152B" w:rsidRPr="00F218A4" w:rsidRDefault="0005152B" w:rsidP="0005152B">
            <w:pPr>
              <w:pStyle w:val="ListParagraph"/>
              <w:numPr>
                <w:ilvl w:val="0"/>
                <w:numId w:val="25"/>
              </w:numPr>
              <w:ind w:left="387" w:hanging="387"/>
            </w:pPr>
            <w:r w:rsidRPr="00F218A4">
              <w:t>allopurinol</w:t>
            </w:r>
          </w:p>
        </w:tc>
        <w:tc>
          <w:tcPr>
            <w:tcW w:w="2779" w:type="dxa"/>
          </w:tcPr>
          <w:p w14:paraId="189BE3B8" w14:textId="77777777" w:rsidR="0005152B" w:rsidRPr="00F218A4" w:rsidRDefault="0005152B" w:rsidP="0005152B">
            <w:pPr>
              <w:pStyle w:val="ListParagraph"/>
              <w:numPr>
                <w:ilvl w:val="0"/>
                <w:numId w:val="25"/>
              </w:numPr>
              <w:ind w:left="417" w:hanging="426"/>
            </w:pPr>
            <w:r w:rsidRPr="00F218A4">
              <w:t xml:space="preserve">antimetabolite agents (including 6-mercaptopurine, </w:t>
            </w:r>
            <w:proofErr w:type="spellStart"/>
            <w:r w:rsidRPr="00F218A4">
              <w:t>fludarabine</w:t>
            </w:r>
            <w:proofErr w:type="spellEnd"/>
            <w:r w:rsidRPr="00F218A4">
              <w:t xml:space="preserve">, </w:t>
            </w:r>
            <w:proofErr w:type="spellStart"/>
            <w:r w:rsidRPr="00F218A4">
              <w:t>fluouracil</w:t>
            </w:r>
            <w:proofErr w:type="spellEnd"/>
            <w:r w:rsidRPr="00F218A4">
              <w:t xml:space="preserve">, methotrexate, </w:t>
            </w:r>
            <w:proofErr w:type="spellStart"/>
            <w:r w:rsidRPr="00F218A4">
              <w:t>pemetrexed</w:t>
            </w:r>
            <w:proofErr w:type="spellEnd"/>
            <w:r w:rsidRPr="00F218A4">
              <w:t>)</w:t>
            </w:r>
          </w:p>
        </w:tc>
      </w:tr>
      <w:tr w:rsidR="0005152B" w:rsidRPr="00F218A4" w14:paraId="7C2FED17" w14:textId="77777777" w:rsidTr="0005152B">
        <w:tc>
          <w:tcPr>
            <w:tcW w:w="2551" w:type="dxa"/>
          </w:tcPr>
          <w:p w14:paraId="39AA7DFF" w14:textId="77777777" w:rsidR="0005152B" w:rsidRPr="00F218A4" w:rsidRDefault="0005152B" w:rsidP="0005152B">
            <w:pPr>
              <w:pStyle w:val="ListParagraph"/>
              <w:numPr>
                <w:ilvl w:val="0"/>
                <w:numId w:val="25"/>
              </w:numPr>
              <w:ind w:left="454" w:hanging="454"/>
            </w:pPr>
            <w:r w:rsidRPr="00F218A4">
              <w:t>azathioprine</w:t>
            </w:r>
          </w:p>
        </w:tc>
        <w:tc>
          <w:tcPr>
            <w:tcW w:w="2552" w:type="dxa"/>
          </w:tcPr>
          <w:p w14:paraId="5CB06ACA" w14:textId="77777777" w:rsidR="0005152B" w:rsidRPr="00F218A4" w:rsidRDefault="0005152B" w:rsidP="0005152B">
            <w:pPr>
              <w:pStyle w:val="ListParagraph"/>
              <w:numPr>
                <w:ilvl w:val="0"/>
                <w:numId w:val="25"/>
              </w:numPr>
              <w:ind w:left="387" w:hanging="387"/>
            </w:pPr>
            <w:r w:rsidRPr="00F218A4">
              <w:t>carbamazepine</w:t>
            </w:r>
          </w:p>
        </w:tc>
        <w:tc>
          <w:tcPr>
            <w:tcW w:w="2779" w:type="dxa"/>
          </w:tcPr>
          <w:p w14:paraId="76FDA856" w14:textId="77777777" w:rsidR="0005152B" w:rsidRPr="00F218A4" w:rsidRDefault="0005152B" w:rsidP="0005152B">
            <w:pPr>
              <w:pStyle w:val="ListParagraph"/>
              <w:numPr>
                <w:ilvl w:val="0"/>
                <w:numId w:val="25"/>
              </w:numPr>
              <w:ind w:left="417" w:hanging="426"/>
            </w:pPr>
            <w:r w:rsidRPr="00F218A4">
              <w:t xml:space="preserve">carbonic anhydrase inhibitors (including acetazolamide, </w:t>
            </w:r>
            <w:proofErr w:type="spellStart"/>
            <w:r w:rsidRPr="00F218A4">
              <w:t>methazolamide</w:t>
            </w:r>
            <w:proofErr w:type="spellEnd"/>
            <w:r w:rsidRPr="00F218A4">
              <w:t>)</w:t>
            </w:r>
          </w:p>
        </w:tc>
      </w:tr>
      <w:tr w:rsidR="0005152B" w:rsidRPr="00F218A4" w14:paraId="25D3A0FB" w14:textId="77777777" w:rsidTr="0005152B">
        <w:tc>
          <w:tcPr>
            <w:tcW w:w="2551" w:type="dxa"/>
          </w:tcPr>
          <w:p w14:paraId="55A78351" w14:textId="77777777" w:rsidR="0005152B" w:rsidRPr="00F218A4" w:rsidRDefault="0005152B" w:rsidP="0005152B">
            <w:pPr>
              <w:pStyle w:val="ListParagraph"/>
              <w:numPr>
                <w:ilvl w:val="0"/>
                <w:numId w:val="25"/>
              </w:numPr>
              <w:ind w:left="454" w:hanging="454"/>
            </w:pPr>
            <w:r w:rsidRPr="00F218A4">
              <w:t>chloramphenicol</w:t>
            </w:r>
          </w:p>
        </w:tc>
        <w:tc>
          <w:tcPr>
            <w:tcW w:w="2552" w:type="dxa"/>
          </w:tcPr>
          <w:p w14:paraId="16658CED" w14:textId="77777777" w:rsidR="0005152B" w:rsidRPr="00F218A4" w:rsidRDefault="0005152B" w:rsidP="0005152B">
            <w:pPr>
              <w:pStyle w:val="ListParagraph"/>
              <w:numPr>
                <w:ilvl w:val="0"/>
                <w:numId w:val="25"/>
              </w:numPr>
              <w:ind w:left="387" w:hanging="387"/>
            </w:pPr>
            <w:proofErr w:type="spellStart"/>
            <w:r w:rsidRPr="00F218A4">
              <w:t>dapsone</w:t>
            </w:r>
            <w:proofErr w:type="spellEnd"/>
            <w:r w:rsidRPr="00F218A4">
              <w:t xml:space="preserve">  </w:t>
            </w:r>
          </w:p>
        </w:tc>
        <w:tc>
          <w:tcPr>
            <w:tcW w:w="2779" w:type="dxa"/>
          </w:tcPr>
          <w:p w14:paraId="50DC130C" w14:textId="561D125C" w:rsidR="0005152B" w:rsidRPr="003A612B" w:rsidRDefault="004766DB" w:rsidP="0005152B">
            <w:pPr>
              <w:pStyle w:val="ListParagraph"/>
              <w:numPr>
                <w:ilvl w:val="0"/>
                <w:numId w:val="25"/>
              </w:numPr>
              <w:ind w:left="417" w:hanging="426"/>
            </w:pPr>
            <w:r w:rsidRPr="004766DB">
              <w:t>d-</w:t>
            </w:r>
            <w:proofErr w:type="spellStart"/>
            <w:r w:rsidRPr="004766DB">
              <w:t>penicillamine</w:t>
            </w:r>
            <w:proofErr w:type="spellEnd"/>
          </w:p>
        </w:tc>
      </w:tr>
      <w:tr w:rsidR="0005152B" w:rsidRPr="00F218A4" w14:paraId="7D9833BF" w14:textId="77777777" w:rsidTr="0005152B">
        <w:tc>
          <w:tcPr>
            <w:tcW w:w="2551" w:type="dxa"/>
          </w:tcPr>
          <w:p w14:paraId="42D38D0F" w14:textId="782CC8DE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454" w:hanging="454"/>
            </w:pPr>
            <w:r w:rsidRPr="00F218A4">
              <w:t>gold</w:t>
            </w:r>
            <w:r w:rsidRPr="00F218A4" w:rsidDel="004766DB">
              <w:t xml:space="preserve"> </w:t>
            </w:r>
          </w:p>
        </w:tc>
        <w:tc>
          <w:tcPr>
            <w:tcW w:w="2552" w:type="dxa"/>
          </w:tcPr>
          <w:p w14:paraId="48D7440D" w14:textId="6922F2C5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387" w:hanging="387"/>
            </w:pPr>
            <w:proofErr w:type="spellStart"/>
            <w:r w:rsidRPr="00F218A4">
              <w:t>hydantoins</w:t>
            </w:r>
            <w:proofErr w:type="spellEnd"/>
            <w:r w:rsidRPr="00F218A4" w:rsidDel="004766DB">
              <w:t xml:space="preserve"> </w:t>
            </w:r>
          </w:p>
        </w:tc>
        <w:tc>
          <w:tcPr>
            <w:tcW w:w="2779" w:type="dxa"/>
          </w:tcPr>
          <w:p w14:paraId="055A8B21" w14:textId="7CC84ECC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417" w:hanging="426"/>
            </w:pPr>
            <w:r w:rsidRPr="00F218A4">
              <w:t xml:space="preserve">immune checkpoint inhibitors (including </w:t>
            </w:r>
            <w:proofErr w:type="spellStart"/>
            <w:r w:rsidRPr="00F218A4">
              <w:t>nivolumab</w:t>
            </w:r>
            <w:proofErr w:type="spellEnd"/>
            <w:r w:rsidRPr="00F218A4">
              <w:t xml:space="preserve">, </w:t>
            </w:r>
            <w:proofErr w:type="spellStart"/>
            <w:r w:rsidRPr="00F218A4">
              <w:t>pembrolizumab</w:t>
            </w:r>
            <w:proofErr w:type="spellEnd"/>
            <w:r w:rsidRPr="00F218A4">
              <w:t>)</w:t>
            </w:r>
          </w:p>
        </w:tc>
      </w:tr>
      <w:tr w:rsidR="0005152B" w:rsidRPr="00F218A4" w14:paraId="774E67E7" w14:textId="77777777" w:rsidTr="0005152B">
        <w:tc>
          <w:tcPr>
            <w:tcW w:w="2551" w:type="dxa"/>
          </w:tcPr>
          <w:p w14:paraId="53062085" w14:textId="7DADBFCE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454" w:hanging="454"/>
            </w:pPr>
            <w:r w:rsidRPr="00F218A4">
              <w:t>isoniazid</w:t>
            </w:r>
            <w:r w:rsidRPr="00F218A4" w:rsidDel="004766DB">
              <w:t xml:space="preserve"> </w:t>
            </w:r>
          </w:p>
        </w:tc>
        <w:tc>
          <w:tcPr>
            <w:tcW w:w="2552" w:type="dxa"/>
          </w:tcPr>
          <w:p w14:paraId="2D1A6B27" w14:textId="0DA438FA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387" w:hanging="387"/>
            </w:pPr>
            <w:r w:rsidRPr="00F218A4">
              <w:t>lamivudine</w:t>
            </w:r>
            <w:r w:rsidRPr="00F218A4" w:rsidDel="004766DB">
              <w:t xml:space="preserve"> </w:t>
            </w:r>
          </w:p>
        </w:tc>
        <w:tc>
          <w:tcPr>
            <w:tcW w:w="2779" w:type="dxa"/>
          </w:tcPr>
          <w:p w14:paraId="698D9307" w14:textId="702A7B1A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417" w:hanging="426"/>
            </w:pPr>
            <w:r w:rsidRPr="00F218A4">
              <w:t>linezolid</w:t>
            </w:r>
            <w:r w:rsidRPr="00F218A4" w:rsidDel="004766DB">
              <w:t xml:space="preserve"> </w:t>
            </w:r>
          </w:p>
        </w:tc>
      </w:tr>
      <w:tr w:rsidR="0005152B" w:rsidRPr="00F218A4" w14:paraId="400DBA7B" w14:textId="77777777" w:rsidTr="0005152B">
        <w:tc>
          <w:tcPr>
            <w:tcW w:w="2551" w:type="dxa"/>
          </w:tcPr>
          <w:p w14:paraId="15F50C7F" w14:textId="28C17BB3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454" w:hanging="454"/>
            </w:pPr>
            <w:proofErr w:type="spellStart"/>
            <w:r w:rsidRPr="00F218A4">
              <w:t>mycophenolate</w:t>
            </w:r>
            <w:proofErr w:type="spellEnd"/>
            <w:r w:rsidRPr="00F218A4" w:rsidDel="004766DB">
              <w:t xml:space="preserve"> </w:t>
            </w:r>
          </w:p>
        </w:tc>
        <w:tc>
          <w:tcPr>
            <w:tcW w:w="2552" w:type="dxa"/>
          </w:tcPr>
          <w:p w14:paraId="74ED161C" w14:textId="21B34132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387" w:hanging="387"/>
            </w:pPr>
            <w:r w:rsidRPr="00F218A4">
              <w:t>phenytoin</w:t>
            </w:r>
          </w:p>
        </w:tc>
        <w:tc>
          <w:tcPr>
            <w:tcW w:w="2779" w:type="dxa"/>
          </w:tcPr>
          <w:p w14:paraId="4676364B" w14:textId="74D8D35B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417" w:hanging="426"/>
            </w:pPr>
            <w:r w:rsidRPr="00F218A4">
              <w:t>procainamide</w:t>
            </w:r>
            <w:r w:rsidRPr="00F218A4" w:rsidDel="004766DB">
              <w:t xml:space="preserve"> </w:t>
            </w:r>
          </w:p>
        </w:tc>
      </w:tr>
      <w:tr w:rsidR="0005152B" w:rsidRPr="00F218A4" w14:paraId="0A5D923B" w14:textId="77777777" w:rsidTr="0005152B">
        <w:tc>
          <w:tcPr>
            <w:tcW w:w="2551" w:type="dxa"/>
          </w:tcPr>
          <w:p w14:paraId="69B7D55A" w14:textId="3D31531A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454" w:hanging="454"/>
            </w:pPr>
            <w:r w:rsidRPr="00F218A4">
              <w:t>recombinant erythropoietin</w:t>
            </w:r>
            <w:r w:rsidRPr="00F218A4" w:rsidDel="004766DB">
              <w:t xml:space="preserve"> </w:t>
            </w:r>
          </w:p>
        </w:tc>
        <w:tc>
          <w:tcPr>
            <w:tcW w:w="2552" w:type="dxa"/>
          </w:tcPr>
          <w:p w14:paraId="4C80C146" w14:textId="284DEED4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387" w:hanging="387"/>
            </w:pPr>
            <w:r w:rsidRPr="00F218A4">
              <w:t>sulphonamide antibiotics (including trimethoprim, sulfamethoxazole) and drugs containing sulphonamide antibiotics (including sulfasalazine)</w:t>
            </w:r>
          </w:p>
        </w:tc>
        <w:tc>
          <w:tcPr>
            <w:tcW w:w="2779" w:type="dxa"/>
          </w:tcPr>
          <w:p w14:paraId="028383A2" w14:textId="56D468BA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417" w:hanging="426"/>
            </w:pPr>
            <w:proofErr w:type="spellStart"/>
            <w:r w:rsidRPr="00F218A4">
              <w:t>sulphonylureas</w:t>
            </w:r>
            <w:proofErr w:type="spellEnd"/>
            <w:r w:rsidRPr="00F218A4">
              <w:t xml:space="preserve"> (including </w:t>
            </w:r>
            <w:proofErr w:type="spellStart"/>
            <w:r w:rsidRPr="00F218A4">
              <w:t>chlorpropamide</w:t>
            </w:r>
            <w:proofErr w:type="spellEnd"/>
            <w:r w:rsidRPr="00F218A4">
              <w:t xml:space="preserve">, </w:t>
            </w:r>
            <w:proofErr w:type="spellStart"/>
            <w:r w:rsidRPr="00F218A4">
              <w:t>tolbutamide</w:t>
            </w:r>
            <w:proofErr w:type="spellEnd"/>
            <w:r w:rsidRPr="00F218A4">
              <w:t>)</w:t>
            </w:r>
          </w:p>
        </w:tc>
      </w:tr>
      <w:tr w:rsidR="0005152B" w:rsidRPr="00C06D38" w14:paraId="70E1F3F2" w14:textId="77777777" w:rsidTr="0005152B">
        <w:trPr>
          <w:trHeight w:val="1212"/>
        </w:trPr>
        <w:tc>
          <w:tcPr>
            <w:tcW w:w="2551" w:type="dxa"/>
          </w:tcPr>
          <w:p w14:paraId="42BF93A3" w14:textId="2DC27A25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454" w:hanging="454"/>
            </w:pPr>
            <w:proofErr w:type="spellStart"/>
            <w:r w:rsidRPr="00F218A4">
              <w:t>valproic</w:t>
            </w:r>
            <w:proofErr w:type="spellEnd"/>
            <w:r w:rsidRPr="00F218A4">
              <w:t xml:space="preserve"> acid</w:t>
            </w:r>
            <w:r w:rsidRPr="00F218A4" w:rsidDel="004766DB">
              <w:t xml:space="preserve"> </w:t>
            </w:r>
          </w:p>
        </w:tc>
        <w:tc>
          <w:tcPr>
            <w:tcW w:w="2552" w:type="dxa"/>
          </w:tcPr>
          <w:p w14:paraId="4A8FB982" w14:textId="18D4975D" w:rsidR="0005152B" w:rsidRPr="00F218A4" w:rsidRDefault="004766DB" w:rsidP="0005152B">
            <w:pPr>
              <w:pStyle w:val="ListParagraph"/>
              <w:numPr>
                <w:ilvl w:val="0"/>
                <w:numId w:val="25"/>
              </w:numPr>
              <w:ind w:left="387" w:hanging="387"/>
            </w:pPr>
            <w:r w:rsidRPr="00F218A4">
              <w:t xml:space="preserve">zidovudine </w:t>
            </w:r>
          </w:p>
        </w:tc>
        <w:tc>
          <w:tcPr>
            <w:tcW w:w="2779" w:type="dxa"/>
          </w:tcPr>
          <w:p w14:paraId="06CC90F6" w14:textId="2EBF8DEC" w:rsidR="0005152B" w:rsidRPr="00C06D38" w:rsidRDefault="0005152B" w:rsidP="003A612B">
            <w:pPr>
              <w:pStyle w:val="ListParagraph"/>
              <w:ind w:left="417"/>
            </w:pPr>
          </w:p>
        </w:tc>
      </w:tr>
    </w:tbl>
    <w:p w14:paraId="27588F2A" w14:textId="3529506B" w:rsidR="00267699" w:rsidRDefault="00267699" w:rsidP="0005152B">
      <w:pPr>
        <w:pStyle w:val="SH1"/>
        <w:numPr>
          <w:ilvl w:val="0"/>
          <w:numId w:val="0"/>
        </w:numPr>
        <w:ind w:left="907"/>
        <w:rPr>
          <w:szCs w:val="24"/>
        </w:rPr>
      </w:pPr>
    </w:p>
    <w:p w14:paraId="1ADCEB93" w14:textId="77777777" w:rsidR="00267699" w:rsidRPr="00267699" w:rsidRDefault="00267699" w:rsidP="00267699"/>
    <w:p w14:paraId="34F963CC" w14:textId="77777777" w:rsidR="00267699" w:rsidRPr="00267699" w:rsidRDefault="00267699" w:rsidP="00267699"/>
    <w:p w14:paraId="7E5A3A79" w14:textId="77777777" w:rsidR="00267699" w:rsidRPr="00267699" w:rsidRDefault="00267699" w:rsidP="00267699"/>
    <w:p w14:paraId="0CFED771" w14:textId="5E766053" w:rsidR="0005152B" w:rsidRPr="00267699" w:rsidRDefault="0005152B" w:rsidP="00267699"/>
    <w:sectPr w:rsidR="0005152B" w:rsidRPr="00267699" w:rsidSect="000515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84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EECC4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267A0474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505FF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4094747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D3CB73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30BD04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0D00BD0" w14:textId="3912AE8A" w:rsidR="00681215" w:rsidRDefault="0054289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42892">
            <w:rPr>
              <w:bCs/>
              <w:i/>
              <w:sz w:val="18"/>
              <w:szCs w:val="18"/>
              <w:lang w:val="en-US"/>
            </w:rPr>
            <w:t>Pure Red</w:t>
          </w:r>
          <w:r w:rsidRPr="00542892">
            <w:rPr>
              <w:i/>
              <w:sz w:val="18"/>
              <w:szCs w:val="18"/>
            </w:rPr>
            <w:t xml:space="preserve"> Cell Aplasia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267699" w:rsidRPr="00267699">
            <w:rPr>
              <w:i/>
              <w:sz w:val="18"/>
              <w:szCs w:val="18"/>
            </w:rPr>
            <w:t>61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542892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1861D75F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9022D0" w14:textId="2060FF21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83399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83399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14:paraId="1A447FC0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DF4B5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25FB523A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419940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A0E965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126838F" w14:textId="054E7DFC" w:rsidR="00681215" w:rsidRDefault="0054289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42892">
            <w:rPr>
              <w:bCs/>
              <w:i/>
              <w:sz w:val="18"/>
              <w:szCs w:val="18"/>
              <w:lang w:val="en-US"/>
            </w:rPr>
            <w:t>Pure Red</w:t>
          </w:r>
          <w:r w:rsidRPr="00542892">
            <w:rPr>
              <w:i/>
              <w:sz w:val="18"/>
              <w:szCs w:val="18"/>
            </w:rPr>
            <w:t xml:space="preserve"> Cell Aplasia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267699" w:rsidRPr="00267699">
            <w:rPr>
              <w:i/>
              <w:sz w:val="18"/>
              <w:szCs w:val="18"/>
            </w:rPr>
            <w:t>61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542892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7D91E3CE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DD5463" w14:textId="67241898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8339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83399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14:paraId="358E4301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A1CB2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2D49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BAF83" w14:textId="77777777" w:rsidR="0005152B" w:rsidRPr="00E33C1C" w:rsidRDefault="0005152B" w:rsidP="0005152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5152B" w:rsidRPr="00C01863" w14:paraId="43F08268" w14:textId="77777777" w:rsidTr="0044372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58F6C1" w14:textId="77777777" w:rsidR="0005152B" w:rsidRPr="00C01863" w:rsidRDefault="0005152B" w:rsidP="0005152B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FF0C81" w14:textId="77777777" w:rsidR="0005152B" w:rsidRDefault="0005152B" w:rsidP="0005152B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98F61CA" w14:textId="1640CBDE" w:rsidR="0005152B" w:rsidRDefault="0005152B" w:rsidP="0005152B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42892">
            <w:rPr>
              <w:bCs/>
              <w:i/>
              <w:sz w:val="18"/>
              <w:szCs w:val="18"/>
              <w:lang w:val="en-US"/>
            </w:rPr>
            <w:t>Pure Red</w:t>
          </w:r>
          <w:r w:rsidRPr="00542892">
            <w:rPr>
              <w:i/>
              <w:sz w:val="18"/>
              <w:szCs w:val="18"/>
            </w:rPr>
            <w:t xml:space="preserve"> Cell Aplasia</w:t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="00267699" w:rsidRPr="00267699">
            <w:rPr>
              <w:i/>
              <w:sz w:val="18"/>
              <w:szCs w:val="18"/>
            </w:rPr>
            <w:t>61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542892">
            <w:rPr>
              <w:i/>
              <w:sz w:val="18"/>
              <w:szCs w:val="18"/>
            </w:rPr>
            <w:t>2020</w:t>
          </w:r>
          <w:r w:rsidRPr="007C5CE0">
            <w:rPr>
              <w:i/>
              <w:sz w:val="18"/>
              <w:szCs w:val="18"/>
            </w:rPr>
            <w:t>)</w:t>
          </w:r>
        </w:p>
        <w:p w14:paraId="3CA773AD" w14:textId="77777777" w:rsidR="0005152B" w:rsidRPr="007C5CE0" w:rsidRDefault="0005152B" w:rsidP="0005152B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0D7FE5" w14:textId="30390D41" w:rsidR="0005152B" w:rsidRPr="00C01863" w:rsidRDefault="0005152B" w:rsidP="0005152B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83399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83399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14:paraId="7CC7A053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944AE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38929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6CA58B4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60F2" w14:textId="77777777"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84EBB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40613613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9AE5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F7968" w14:textId="77777777"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C800C" w14:textId="77777777" w:rsidR="0005152B" w:rsidRDefault="0005152B" w:rsidP="0005152B">
    <w:pPr>
      <w:rPr>
        <w:sz w:val="20"/>
      </w:rPr>
    </w:pPr>
    <w:r>
      <w:rPr>
        <w:b/>
        <w:noProof/>
        <w:sz w:val="20"/>
      </w:rPr>
      <w:t>Schedule 2</w:t>
    </w:r>
    <w:r>
      <w:rPr>
        <w:sz w:val="20"/>
      </w:rPr>
      <w:t xml:space="preserve"> - </w:t>
    </w:r>
    <w:r>
      <w:rPr>
        <w:noProof/>
        <w:sz w:val="20"/>
      </w:rPr>
      <w:t>Drugs</w:t>
    </w:r>
  </w:p>
  <w:p w14:paraId="1A09186A" w14:textId="77777777" w:rsidR="0005152B" w:rsidRDefault="0005152B" w:rsidP="0005152B">
    <w:pPr>
      <w:pBdr>
        <w:bottom w:val="single" w:sz="6" w:space="1" w:color="auto"/>
      </w:pBdr>
    </w:pPr>
  </w:p>
  <w:p w14:paraId="69FA5BFE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8D36B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696DA4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191F47"/>
    <w:multiLevelType w:val="hybridMultilevel"/>
    <w:tmpl w:val="2A847B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2"/>
  </w:num>
  <w:num w:numId="23">
    <w:abstractNumId w:val="17"/>
  </w:num>
  <w:num w:numId="24">
    <w:abstractNumId w:val="15"/>
    <w:lvlOverride w:ilvl="0">
      <w:startOverride w:val="1"/>
    </w:lvlOverride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52B"/>
    <w:rsid w:val="00051B75"/>
    <w:rsid w:val="0005365D"/>
    <w:rsid w:val="00054930"/>
    <w:rsid w:val="000614BF"/>
    <w:rsid w:val="00061E3E"/>
    <w:rsid w:val="0008041A"/>
    <w:rsid w:val="00080915"/>
    <w:rsid w:val="00081B7C"/>
    <w:rsid w:val="00085567"/>
    <w:rsid w:val="0008674F"/>
    <w:rsid w:val="00097FDF"/>
    <w:rsid w:val="000B1350"/>
    <w:rsid w:val="000B58FA"/>
    <w:rsid w:val="000C21A3"/>
    <w:rsid w:val="000C49FC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4386E"/>
    <w:rsid w:val="0015201F"/>
    <w:rsid w:val="00157B8B"/>
    <w:rsid w:val="00160E32"/>
    <w:rsid w:val="001611FD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1797"/>
    <w:rsid w:val="00214488"/>
    <w:rsid w:val="00215860"/>
    <w:rsid w:val="00215AF1"/>
    <w:rsid w:val="00223E2C"/>
    <w:rsid w:val="00225CBD"/>
    <w:rsid w:val="00226ECC"/>
    <w:rsid w:val="002321E8"/>
    <w:rsid w:val="00236EEC"/>
    <w:rsid w:val="0023708F"/>
    <w:rsid w:val="00237471"/>
    <w:rsid w:val="002376A0"/>
    <w:rsid w:val="00237BAF"/>
    <w:rsid w:val="0024010F"/>
    <w:rsid w:val="00240571"/>
    <w:rsid w:val="00240749"/>
    <w:rsid w:val="00243018"/>
    <w:rsid w:val="002564A4"/>
    <w:rsid w:val="002650E6"/>
    <w:rsid w:val="0026736C"/>
    <w:rsid w:val="00267699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666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3930"/>
    <w:rsid w:val="00365E25"/>
    <w:rsid w:val="003734C6"/>
    <w:rsid w:val="003802D6"/>
    <w:rsid w:val="00385187"/>
    <w:rsid w:val="003A189F"/>
    <w:rsid w:val="003A2FFE"/>
    <w:rsid w:val="003A5C26"/>
    <w:rsid w:val="003A612B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766DB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4F58B0"/>
    <w:rsid w:val="00505D3D"/>
    <w:rsid w:val="00506AF6"/>
    <w:rsid w:val="00513D05"/>
    <w:rsid w:val="00516768"/>
    <w:rsid w:val="00516B8D"/>
    <w:rsid w:val="00520F7E"/>
    <w:rsid w:val="005226B5"/>
    <w:rsid w:val="005268CF"/>
    <w:rsid w:val="0053697E"/>
    <w:rsid w:val="00537FBC"/>
    <w:rsid w:val="00542892"/>
    <w:rsid w:val="00545116"/>
    <w:rsid w:val="00546407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0905"/>
    <w:rsid w:val="006013B7"/>
    <w:rsid w:val="00603D01"/>
    <w:rsid w:val="00603DC4"/>
    <w:rsid w:val="006122AF"/>
    <w:rsid w:val="006154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38EF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4874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3A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56EF3"/>
    <w:rsid w:val="009612CF"/>
    <w:rsid w:val="009724F4"/>
    <w:rsid w:val="00973808"/>
    <w:rsid w:val="00982242"/>
    <w:rsid w:val="00984005"/>
    <w:rsid w:val="00984EE9"/>
    <w:rsid w:val="00985EC2"/>
    <w:rsid w:val="009868E9"/>
    <w:rsid w:val="009877AB"/>
    <w:rsid w:val="00993EEA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B1F6B"/>
    <w:rsid w:val="00AD23CD"/>
    <w:rsid w:val="00AD2DC7"/>
    <w:rsid w:val="00AD4710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75690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60DF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0322F"/>
    <w:rsid w:val="00C11D03"/>
    <w:rsid w:val="00C12902"/>
    <w:rsid w:val="00C25E7F"/>
    <w:rsid w:val="00C2746F"/>
    <w:rsid w:val="00C324A0"/>
    <w:rsid w:val="00C3300F"/>
    <w:rsid w:val="00C349C5"/>
    <w:rsid w:val="00C42BF8"/>
    <w:rsid w:val="00C467B6"/>
    <w:rsid w:val="00C50043"/>
    <w:rsid w:val="00C5731E"/>
    <w:rsid w:val="00C57BC5"/>
    <w:rsid w:val="00C738B9"/>
    <w:rsid w:val="00C7573B"/>
    <w:rsid w:val="00C77046"/>
    <w:rsid w:val="00C83399"/>
    <w:rsid w:val="00C879EA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41B7"/>
    <w:rsid w:val="00D5599D"/>
    <w:rsid w:val="00D5620B"/>
    <w:rsid w:val="00D60FC8"/>
    <w:rsid w:val="00D62F9C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13DA"/>
    <w:rsid w:val="00E64EE4"/>
    <w:rsid w:val="00E662CB"/>
    <w:rsid w:val="00E74DC7"/>
    <w:rsid w:val="00E8075A"/>
    <w:rsid w:val="00E83929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51B9C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14386E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C467B6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8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9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9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EA"/>
    <w:rPr>
      <w:b/>
      <w:bCs/>
      <w:lang w:eastAsia="en-US"/>
    </w:rPr>
  </w:style>
  <w:style w:type="paragraph" w:styleId="Revision">
    <w:name w:val="Revision"/>
    <w:hidden/>
    <w:uiPriority w:val="99"/>
    <w:semiHidden/>
    <w:rsid w:val="003A612B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1413</Words>
  <Characters>8058</Characters>
  <Application>Microsoft Office Word</Application>
  <DocSecurity>0</DocSecurity>
  <PresentationFormat/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2020-03-10T05:43:00Z</dcterms:created>
  <dcterms:modified xsi:type="dcterms:W3CDTF">2020-08-26T23:47:00Z</dcterms:modified>
  <cp:category/>
  <cp:contentStatus/>
  <dc:language/>
  <cp:version/>
</cp:coreProperties>
</file>