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r w:rsidRPr="00024911">
        <w:t>concerning</w:t>
      </w:r>
    </w:p>
    <w:p w:rsidR="00054930" w:rsidRDefault="001D4B4D" w:rsidP="000D4972">
      <w:pPr>
        <w:pStyle w:val="Plainheader"/>
      </w:pPr>
      <w:bookmarkStart w:id="0" w:name="SoP_Name_Title"/>
      <w:r w:rsidRPr="00D45BAA">
        <w:t>HYPERSENSITIVITY PNEUMONITIS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E7058">
        <w:t>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D4B4D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E7058">
        <w:t>28 February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956972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20B27DA" wp14:editId="7104A64A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1D4B4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D4B4D">
        <w:rPr>
          <w:noProof/>
        </w:rPr>
        <w:t>1</w:t>
      </w:r>
      <w:r w:rsidR="001D4B4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D4B4D">
        <w:rPr>
          <w:noProof/>
        </w:rPr>
        <w:t>Name</w:t>
      </w:r>
      <w:r w:rsidR="001D4B4D">
        <w:rPr>
          <w:noProof/>
        </w:rPr>
        <w:tab/>
      </w:r>
      <w:r w:rsidR="001D4B4D">
        <w:rPr>
          <w:noProof/>
        </w:rPr>
        <w:fldChar w:fldCharType="begin"/>
      </w:r>
      <w:r w:rsidR="001D4B4D">
        <w:rPr>
          <w:noProof/>
        </w:rPr>
        <w:instrText xml:space="preserve"> PAGEREF _Toc27396998 \h </w:instrText>
      </w:r>
      <w:r w:rsidR="001D4B4D">
        <w:rPr>
          <w:noProof/>
        </w:rPr>
      </w:r>
      <w:r w:rsidR="001D4B4D">
        <w:rPr>
          <w:noProof/>
        </w:rPr>
        <w:fldChar w:fldCharType="separate"/>
      </w:r>
      <w:r w:rsidR="006B27B6">
        <w:rPr>
          <w:noProof/>
        </w:rPr>
        <w:t>3</w:t>
      </w:r>
      <w:r w:rsidR="001D4B4D"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_Toc27396999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3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_Toc27397000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3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_Toc27397001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3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_Toc27397002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3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_Toc27397003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3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_Toc27397004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3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_Toc27397005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4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_Toc27397006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4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_Toc27397007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5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_Toc27397008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5</w:t>
      </w:r>
      <w:r>
        <w:rPr>
          <w:noProof/>
        </w:rPr>
        <w:fldChar w:fldCharType="end"/>
      </w:r>
    </w:p>
    <w:p w:rsidR="001D4B4D" w:rsidRDefault="001D4B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_Toc27397009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6</w:t>
      </w:r>
      <w:r>
        <w:rPr>
          <w:noProof/>
        </w:rPr>
        <w:fldChar w:fldCharType="end"/>
      </w:r>
    </w:p>
    <w:p w:rsidR="001D4B4D" w:rsidRDefault="001D4B4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_Toc27397010 \h </w:instrText>
      </w:r>
      <w:r>
        <w:rPr>
          <w:noProof/>
        </w:rPr>
      </w:r>
      <w:r>
        <w:rPr>
          <w:noProof/>
        </w:rPr>
        <w:fldChar w:fldCharType="separate"/>
      </w:r>
      <w:r w:rsidR="006B27B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27396998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D4B4D" w:rsidRPr="00D45BAA">
        <w:rPr>
          <w:i/>
        </w:rPr>
        <w:t>hypersensitivity pneumonitis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E7058">
        <w:t>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D4B4D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27396999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E7058">
        <w:t>23 March 2020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27397000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27397001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D4B4D">
        <w:t xml:space="preserve">extrinsic allergic </w:t>
      </w:r>
      <w:proofErr w:type="spellStart"/>
      <w:r w:rsidR="001D4B4D">
        <w:t>alveolitis</w:t>
      </w:r>
      <w:proofErr w:type="spellEnd"/>
      <w:r w:rsidRPr="00DA3996">
        <w:t xml:space="preserve"> No. </w:t>
      </w:r>
      <w:r w:rsidR="001D4B4D">
        <w:t>88</w:t>
      </w:r>
      <w:r w:rsidRPr="00DA3996">
        <w:t xml:space="preserve"> of </w:t>
      </w:r>
      <w:r w:rsidR="001D4B4D">
        <w:t>2011</w:t>
      </w:r>
      <w:r>
        <w:t xml:space="preserve"> </w:t>
      </w:r>
      <w:r w:rsidRPr="00786DAE">
        <w:t xml:space="preserve">(Federal Register of </w:t>
      </w:r>
      <w:r w:rsidRPr="001D4B4D">
        <w:t xml:space="preserve">Legislation No. </w:t>
      </w:r>
      <w:r w:rsidR="001D4B4D" w:rsidRPr="001D4B4D">
        <w:t>F2011L01447</w:t>
      </w:r>
      <w:r w:rsidRPr="001D4B4D">
        <w:t>) made</w:t>
      </w:r>
      <w:r w:rsidRPr="00DA3996">
        <w:t xml:space="preserve"> under subsection 196B(</w:t>
      </w:r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27397002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27397003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2739700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1D4B4D" w:rsidRPr="001D4B4D">
        <w:t>hypersensitivity pneumonitis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D4B4D" w:rsidRPr="001D4B4D">
        <w:t>hypersensitivity pneumonitis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1D4B4D" w:rsidRPr="001D4B4D">
        <w:rPr>
          <w:b/>
        </w:rPr>
        <w:t>hypersensitivity pneumonitis</w:t>
      </w:r>
    </w:p>
    <w:p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1D4B4D" w:rsidRPr="001D4B4D">
        <w:t>hypersensitivity pneumonitis</w:t>
      </w:r>
      <w:r w:rsidRPr="00237BAF">
        <w:t>:</w:t>
      </w:r>
      <w:bookmarkEnd w:id="18"/>
    </w:p>
    <w:bookmarkEnd w:id="19"/>
    <w:p w:rsidR="001D4B4D" w:rsidRDefault="001D4B4D" w:rsidP="001D4B4D">
      <w:pPr>
        <w:pStyle w:val="LV3"/>
      </w:pPr>
      <w:r>
        <w:t>means a non-infectious, immunological inflammation of the lung parenchyma secondary to inhalation, by a sensitised subject, of any one of a variety of external antigens; and</w:t>
      </w:r>
    </w:p>
    <w:p w:rsidR="001D4B4D" w:rsidRDefault="001D4B4D" w:rsidP="001D4B4D">
      <w:pPr>
        <w:pStyle w:val="LV3"/>
      </w:pPr>
      <w:r>
        <w:t>includes acute, subacute and chronic hypersensitivity pneumonitis; and</w:t>
      </w:r>
    </w:p>
    <w:p w:rsidR="000D4972" w:rsidRDefault="001D4B4D" w:rsidP="001D4B4D">
      <w:pPr>
        <w:pStyle w:val="LV3"/>
      </w:pPr>
      <w:r>
        <w:t>excludes fibrosing interstitial lung disease, bronchiolitis obliterans organising pneumonia, and lung inflammation resulting from antigen exposure by means other than inhalation, such as ingested drugs and acute anaphylaxis.</w:t>
      </w:r>
    </w:p>
    <w:p w:rsidR="001D4B4D" w:rsidRDefault="001D4B4D" w:rsidP="001D4B4D">
      <w:pPr>
        <w:pStyle w:val="Note2"/>
      </w:pPr>
      <w:r>
        <w:t xml:space="preserve">Note 1: Hypersensitivity pneumonitis is also known as extrinsic allergic </w:t>
      </w:r>
      <w:proofErr w:type="spellStart"/>
      <w:r>
        <w:t>alveolitis</w:t>
      </w:r>
      <w:proofErr w:type="spellEnd"/>
      <w:r>
        <w:t>.</w:t>
      </w:r>
    </w:p>
    <w:p w:rsidR="000D4972" w:rsidRPr="008E76DC" w:rsidRDefault="001D4B4D" w:rsidP="001D4B4D">
      <w:pPr>
        <w:pStyle w:val="Note2"/>
        <w:ind w:left="1985" w:hanging="567"/>
      </w:pPr>
      <w:r>
        <w:lastRenderedPageBreak/>
        <w:t>Note 2: The inflammation of the lung parenchyma mainly involves the alveoli, terminal bronchiol</w:t>
      </w:r>
      <w:r w:rsidR="00F33027">
        <w:t>es</w:t>
      </w:r>
      <w:r>
        <w:t xml:space="preserve"> and </w:t>
      </w:r>
      <w:proofErr w:type="spellStart"/>
      <w:r>
        <w:t>interstitium</w:t>
      </w:r>
      <w:proofErr w:type="spellEnd"/>
      <w:r>
        <w:t>.  The inflammation often organises into granulomas and may progress to fibrosis in chronic cases.</w:t>
      </w:r>
    </w:p>
    <w:p w:rsidR="008F572A" w:rsidRPr="00237BAF" w:rsidRDefault="000D4972" w:rsidP="001D4B4D">
      <w:pPr>
        <w:pStyle w:val="LV2"/>
      </w:pPr>
      <w:r w:rsidRPr="00237BAF">
        <w:t xml:space="preserve">While </w:t>
      </w:r>
      <w:r w:rsidR="001D4B4D" w:rsidRPr="001D4B4D">
        <w:t>hypersensitivity pneumonitis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1D4B4D" w:rsidRPr="001D4B4D">
        <w:t>J67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1D4B4D" w:rsidRPr="001D4B4D">
        <w:t>hypersensitivity pneumonitis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</w:t>
      </w:r>
      <w:bookmarkStart w:id="20" w:name="_GoBack"/>
      <w:bookmarkEnd w:id="20"/>
      <w:r w:rsidRPr="00743C76">
        <w:rPr>
          <w:i/>
        </w:rPr>
        <w:t>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1D4B4D" w:rsidRPr="001D4B4D">
        <w:rPr>
          <w:b/>
        </w:rPr>
        <w:t>hypersensitivity pneumonitis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D4B4D" w:rsidRPr="001D4B4D">
        <w:t>hypersensitivity pneumonitis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1D4B4D" w:rsidRPr="001D4B4D">
        <w:t>hypersensitivity pneumonitis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27397005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1D4B4D" w:rsidRPr="001D4B4D">
        <w:t>hypersensitivity pneumonitis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1D4B4D" w:rsidRPr="001D4B4D">
        <w:t>hypersensitivity pneumonitis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2739700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1D4B4D" w:rsidRPr="001D4B4D">
        <w:t>hypersensitivity pneumonitis</w:t>
      </w:r>
      <w:r w:rsidR="007A3989">
        <w:t xml:space="preserve"> </w:t>
      </w:r>
      <w:r w:rsidR="007C7DEE" w:rsidRPr="00AA6D8B">
        <w:t xml:space="preserve">or death from </w:t>
      </w:r>
      <w:r w:rsidR="001D4B4D" w:rsidRPr="001D4B4D">
        <w:t>hypersensitivity pneumonitis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1D4B4D" w:rsidRPr="008D1B8B" w:rsidRDefault="001D4B4D" w:rsidP="001D4B4D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D45BAA">
        <w:t>inhaling the specific antigen responsible for the hypersensitivity pneumonitis before the clinical onset of hypersensitivity pneumonitis;</w:t>
      </w:r>
    </w:p>
    <w:p w:rsidR="001D4B4D" w:rsidRPr="00046E67" w:rsidRDefault="001D4B4D" w:rsidP="001D4B4D">
      <w:pPr>
        <w:pStyle w:val="Note2"/>
        <w:ind w:left="1843" w:hanging="425"/>
      </w:pPr>
      <w:r>
        <w:t xml:space="preserve">Note: </w:t>
      </w:r>
      <w:r w:rsidRPr="00B10247">
        <w:rPr>
          <w:b/>
          <w:i/>
        </w:rPr>
        <w:t xml:space="preserve">antigen </w:t>
      </w:r>
      <w:r w:rsidRPr="00B10247">
        <w:t>and</w:t>
      </w:r>
      <w:r w:rsidRPr="00B10247">
        <w:rPr>
          <w:b/>
          <w:i/>
        </w:rPr>
        <w:t xml:space="preserve"> specific antigen responsible for the hypersensitivity pneumonitis </w:t>
      </w:r>
      <w:r>
        <w:t>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1D4B4D" w:rsidRDefault="001D4B4D" w:rsidP="001D4B4D">
      <w:pPr>
        <w:pStyle w:val="LV2"/>
        <w:numPr>
          <w:ilvl w:val="1"/>
          <w:numId w:val="4"/>
        </w:numPr>
        <w:ind w:left="1418"/>
      </w:pPr>
      <w:r w:rsidRPr="00B10247">
        <w:t>inhaling the specific antigen responsible for the hypersensitivity pneumonitis within the 30 days before the clinical worsening of hypersensitivity pneumonitis;</w:t>
      </w:r>
    </w:p>
    <w:p w:rsidR="001D4B4D" w:rsidRDefault="001D4B4D" w:rsidP="001D4B4D">
      <w:pPr>
        <w:pStyle w:val="Note2"/>
        <w:ind w:left="1843" w:hanging="425"/>
      </w:pPr>
      <w:r>
        <w:t xml:space="preserve">Note: </w:t>
      </w:r>
      <w:r w:rsidRPr="00B10247">
        <w:rPr>
          <w:b/>
          <w:i/>
        </w:rPr>
        <w:t xml:space="preserve">antigen </w:t>
      </w:r>
      <w:r w:rsidRPr="00B10247">
        <w:t>and</w:t>
      </w:r>
      <w:r w:rsidRPr="00B10247">
        <w:rPr>
          <w:b/>
          <w:i/>
        </w:rPr>
        <w:t xml:space="preserve"> specific antigen responsible for the hypersensitivity pneumonitis </w:t>
      </w:r>
      <w:r>
        <w:t>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DF65CF">
      <w:pPr>
        <w:pStyle w:val="LV2"/>
      </w:pPr>
      <w:r w:rsidRPr="008D1B8B">
        <w:lastRenderedPageBreak/>
        <w:t>inability to obtain appropriate clinical management for</w:t>
      </w:r>
      <w:bookmarkEnd w:id="27"/>
      <w:r w:rsidR="007A3989">
        <w:t xml:space="preserve"> </w:t>
      </w:r>
      <w:r w:rsidR="001D4B4D" w:rsidRPr="001D4B4D">
        <w:t>hypersensitivity pneumonitis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2739700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B847EA">
        <w:t>2</w:t>
      </w:r>
      <w:r w:rsidR="00FF1D47">
        <w:t>)</w:t>
      </w:r>
      <w:r w:rsidR="00B847EA">
        <w:t xml:space="preserve"> and 9(3)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1D4B4D" w:rsidRPr="001D4B4D">
        <w:t>hypersensitivity pneumonitis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1D4B4D" w:rsidRPr="001D4B4D">
        <w:t>hypersensitivity pneumonitis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2739700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2739700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27397010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1D4B4D" w:rsidRDefault="001D4B4D" w:rsidP="001D4B4D">
      <w:pPr>
        <w:pStyle w:val="SH3"/>
        <w:ind w:left="851"/>
      </w:pPr>
      <w:bookmarkStart w:id="37" w:name="_Ref402530810"/>
      <w:r w:rsidRPr="00B10247">
        <w:rPr>
          <w:b/>
          <w:i/>
        </w:rPr>
        <w:t>antigen</w:t>
      </w:r>
      <w:r w:rsidRPr="00B10247">
        <w:t xml:space="preserve"> means an exogenous substance which is capable of stimulating a type III or type IV hypersensitivity reaction in individuals through non</w:t>
      </w:r>
      <w:r w:rsidR="004C7B12">
        <w:noBreakHyphen/>
      </w:r>
      <w:r w:rsidRPr="00B10247">
        <w:t>Immunoglobulin E (non-</w:t>
      </w:r>
      <w:proofErr w:type="spellStart"/>
      <w:r w:rsidRPr="00B10247">
        <w:t>IgE</w:t>
      </w:r>
      <w:proofErr w:type="spellEnd"/>
      <w:r w:rsidRPr="00B10247">
        <w:t>) responses, and reacting with the resulting specific antibody or specifically sensitised T-lymphocytes.</w:t>
      </w:r>
    </w:p>
    <w:p w:rsidR="00B847EA" w:rsidRPr="00513D05" w:rsidRDefault="00B847EA" w:rsidP="00B847EA">
      <w:pPr>
        <w:pStyle w:val="SH3"/>
        <w:ind w:left="851"/>
      </w:pPr>
      <w:r w:rsidRPr="001D4B4D">
        <w:rPr>
          <w:b/>
          <w:i/>
        </w:rPr>
        <w:t>hypersensitivity pneumonitis</w:t>
      </w:r>
      <w:r w:rsidRPr="00513D05">
        <w:t>—see subsection</w:t>
      </w:r>
      <w:r>
        <w:t xml:space="preserve"> 7(2).</w:t>
      </w:r>
    </w:p>
    <w:p w:rsidR="001D4B4D" w:rsidRDefault="001D4B4D" w:rsidP="001D4B4D">
      <w:pPr>
        <w:pStyle w:val="SH3"/>
        <w:ind w:left="851"/>
      </w:pPr>
      <w:r w:rsidRPr="00B10247">
        <w:rPr>
          <w:b/>
          <w:i/>
        </w:rPr>
        <w:t>specific antigen responsible for the hypersensitivity pneumonitis</w:t>
      </w:r>
      <w:r>
        <w:t xml:space="preserve"> means the antigen which the available clinical or laboratory evidence implicates as the cause of hypersensitivity pneumonitis in the patient.</w:t>
      </w:r>
    </w:p>
    <w:p w:rsidR="001D4B4D" w:rsidRDefault="001D4B4D" w:rsidP="001D4B4D">
      <w:pPr>
        <w:pStyle w:val="ScheduleNote"/>
        <w:ind w:left="1418" w:hanging="567"/>
      </w:pPr>
      <w:r>
        <w:t xml:space="preserve">Note </w:t>
      </w:r>
      <w:r w:rsidR="00B847EA">
        <w:t>1</w:t>
      </w:r>
      <w:r>
        <w:t>: Examples of sources of antigens responsible for causing hypersensitivity pneumonitis include, but are not limited to:</w:t>
      </w:r>
    </w:p>
    <w:p w:rsidR="001D4B4D" w:rsidRPr="00B847EA" w:rsidRDefault="001D4B4D" w:rsidP="004C7B12">
      <w:pPr>
        <w:pStyle w:val="SH4"/>
        <w:spacing w:before="60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>animal dust, dander or hair particles;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>bird droppings or feathers;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>detergent powder;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>metalworking fluid contaminated with micro-organisms;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>mouldy timber dust;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 xml:space="preserve">polyurethane varnishes and lacquers containing toluene </w:t>
      </w:r>
      <w:proofErr w:type="spellStart"/>
      <w:r w:rsidRPr="00B847EA">
        <w:rPr>
          <w:sz w:val="18"/>
          <w:szCs w:val="18"/>
        </w:rPr>
        <w:t>diisocyanate</w:t>
      </w:r>
      <w:proofErr w:type="spellEnd"/>
      <w:r w:rsidRPr="00B847EA">
        <w:rPr>
          <w:sz w:val="18"/>
          <w:szCs w:val="18"/>
        </w:rPr>
        <w:t xml:space="preserve"> or methylene diphenyl </w:t>
      </w:r>
      <w:proofErr w:type="spellStart"/>
      <w:r w:rsidRPr="00B847EA">
        <w:rPr>
          <w:sz w:val="18"/>
          <w:szCs w:val="18"/>
        </w:rPr>
        <w:t>diisocyanate</w:t>
      </w:r>
      <w:proofErr w:type="spellEnd"/>
      <w:r w:rsidRPr="00B847EA">
        <w:rPr>
          <w:sz w:val="18"/>
          <w:szCs w:val="18"/>
        </w:rPr>
        <w:t>;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 xml:space="preserve">heated epoxy resin or dyes containing phthalic anhydride; 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>sewage sludge contaminated with micro-organisms; and</w:t>
      </w:r>
    </w:p>
    <w:p w:rsidR="001D4B4D" w:rsidRPr="00B847EA" w:rsidRDefault="001D4B4D" w:rsidP="004C7B12">
      <w:pPr>
        <w:pStyle w:val="SH4"/>
        <w:ind w:left="1985"/>
        <w:rPr>
          <w:sz w:val="18"/>
          <w:szCs w:val="18"/>
        </w:rPr>
      </w:pPr>
      <w:r w:rsidRPr="00B847EA">
        <w:rPr>
          <w:sz w:val="18"/>
          <w:szCs w:val="18"/>
        </w:rPr>
        <w:t xml:space="preserve">spores from </w:t>
      </w:r>
      <w:proofErr w:type="spellStart"/>
      <w:r w:rsidRPr="00B847EA">
        <w:rPr>
          <w:i/>
          <w:sz w:val="18"/>
          <w:szCs w:val="18"/>
        </w:rPr>
        <w:t>Lycoperdon</w:t>
      </w:r>
      <w:proofErr w:type="spellEnd"/>
      <w:r w:rsidRPr="00B847EA">
        <w:rPr>
          <w:sz w:val="18"/>
          <w:szCs w:val="18"/>
        </w:rPr>
        <w:t xml:space="preserve"> puffballs.</w:t>
      </w:r>
    </w:p>
    <w:p w:rsidR="00B847EA" w:rsidRDefault="00B847EA" w:rsidP="00B847EA">
      <w:pPr>
        <w:pStyle w:val="ScheduleNote"/>
      </w:pPr>
      <w:r>
        <w:t xml:space="preserve">Note 2: </w:t>
      </w:r>
      <w:r w:rsidRPr="00B10247">
        <w:rPr>
          <w:b/>
          <w:i/>
        </w:rPr>
        <w:t>antigen</w:t>
      </w:r>
      <w:r>
        <w:t xml:space="preserve"> is also defined in the Schedule 1 – Dictionary.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D4B4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D4B4D">
            <w:rPr>
              <w:bCs/>
              <w:i/>
              <w:sz w:val="18"/>
              <w:szCs w:val="18"/>
              <w:lang w:val="en-US"/>
            </w:rPr>
            <w:t>Hypersensitivity Pneumonitis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E7058" w:rsidRPr="00CE7058">
            <w:rPr>
              <w:i/>
              <w:sz w:val="18"/>
              <w:szCs w:val="18"/>
            </w:rPr>
            <w:t>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D4B4D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56972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5697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D4B4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D4B4D">
            <w:rPr>
              <w:bCs/>
              <w:i/>
              <w:sz w:val="18"/>
              <w:szCs w:val="18"/>
              <w:lang w:val="en-US"/>
            </w:rPr>
            <w:t>Hypersensitivity Pneumonitis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E7058" w:rsidRPr="00CE7058">
            <w:rPr>
              <w:i/>
              <w:sz w:val="18"/>
              <w:szCs w:val="18"/>
            </w:rPr>
            <w:t>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D4B4D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5697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5697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4B4D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2942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C7B12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27B6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5697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9F7136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847EA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E7058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3027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7018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2019-12-16T03:55:00Z</dcterms:created>
  <dcterms:modified xsi:type="dcterms:W3CDTF">2020-02-25T01:48:00Z</dcterms:modified>
  <cp:category/>
  <cp:contentStatus/>
  <dc:language/>
  <cp:version/>
</cp:coreProperties>
</file>