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proofErr w:type="gramStart"/>
      <w:r w:rsidRPr="00024911">
        <w:t>concerning</w:t>
      </w:r>
      <w:proofErr w:type="gramEnd"/>
    </w:p>
    <w:p w:rsidR="00054930" w:rsidRDefault="00814B00" w:rsidP="000D4972">
      <w:pPr>
        <w:pStyle w:val="Plainheader"/>
      </w:pPr>
      <w:r>
        <w:t>DENTAL MALOCCLUSION</w:t>
      </w:r>
      <w:r w:rsidR="000D4972">
        <w:br/>
        <w:t xml:space="preserve"> </w:t>
      </w:r>
      <w:r w:rsidR="00997416">
        <w:t xml:space="preserve">(Balance of Probabilities) </w:t>
      </w:r>
    </w:p>
    <w:p w:rsidR="00715914" w:rsidRPr="00024911" w:rsidRDefault="00E55F66" w:rsidP="006647B7">
      <w:pPr>
        <w:pStyle w:val="Plainheader"/>
      </w:pPr>
      <w:r w:rsidRPr="00024911">
        <w:t xml:space="preserve">(No. </w:t>
      </w:r>
      <w:bookmarkStart w:id="0" w:name="BP"/>
      <w:r w:rsidR="0094264D">
        <w:t>20</w:t>
      </w:r>
      <w:bookmarkEnd w:id="0"/>
      <w:r w:rsidRPr="00024911">
        <w:t xml:space="preserve"> of</w:t>
      </w:r>
      <w:r w:rsidR="00085567">
        <w:t xml:space="preserve"> </w:t>
      </w:r>
      <w:r w:rsidR="00814B00">
        <w:t>2019</w:t>
      </w:r>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94264D">
        <w:t>1 March 2019</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27235E" w:rsidP="0034373D">
            <w:pPr>
              <w:pStyle w:val="Plain"/>
            </w:pPr>
            <w:r>
              <w:rPr>
                <w:noProof/>
              </w:rPr>
              <w:drawing>
                <wp:inline distT="0" distB="0" distL="0" distR="0" wp14:anchorId="358FA0DD" wp14:editId="424E8E42">
                  <wp:extent cx="2466975" cy="5334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inline>
              </w:drawing>
            </w:r>
            <w:bookmarkStart w:id="1" w:name="_GoBack"/>
            <w:bookmarkEnd w:id="1"/>
          </w:p>
          <w:p w:rsidR="00B70FA0" w:rsidRDefault="00B70FA0" w:rsidP="0034373D">
            <w:pPr>
              <w:pStyle w:val="Plain"/>
            </w:pPr>
          </w:p>
          <w:p w:rsidR="00B70FA0" w:rsidRPr="007527C1" w:rsidRDefault="00B70FA0" w:rsidP="0034373D">
            <w:pPr>
              <w:pStyle w:val="Plain"/>
            </w:pPr>
            <w:r w:rsidRPr="007527C1">
              <w:t>Professor Nicholas Saunders AO</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2" w:name="BKCheck15B_2"/>
    <w:bookmarkEnd w:id="2"/>
    <w:p w:rsidR="000D4972"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0D4972">
        <w:rPr>
          <w:noProof/>
        </w:rPr>
        <w:t>1</w:t>
      </w:r>
      <w:r w:rsidR="000D4972">
        <w:rPr>
          <w:rFonts w:asciiTheme="minorHAnsi" w:eastAsiaTheme="minorEastAsia" w:hAnsiTheme="minorHAnsi" w:cstheme="minorBidi"/>
          <w:noProof/>
          <w:kern w:val="0"/>
          <w:sz w:val="22"/>
          <w:szCs w:val="22"/>
        </w:rPr>
        <w:tab/>
      </w:r>
      <w:r w:rsidR="000D4972">
        <w:rPr>
          <w:noProof/>
        </w:rPr>
        <w:t>Name</w:t>
      </w:r>
      <w:r w:rsidR="000D4972">
        <w:rPr>
          <w:noProof/>
        </w:rPr>
        <w:tab/>
      </w:r>
      <w:r w:rsidR="000D4972">
        <w:rPr>
          <w:noProof/>
        </w:rPr>
        <w:fldChar w:fldCharType="begin"/>
      </w:r>
      <w:r w:rsidR="000D4972">
        <w:rPr>
          <w:noProof/>
        </w:rPr>
        <w:instrText xml:space="preserve"> PAGEREF _Toc522787300 \h </w:instrText>
      </w:r>
      <w:r w:rsidR="000D4972">
        <w:rPr>
          <w:noProof/>
        </w:rPr>
      </w:r>
      <w:r w:rsidR="000D4972">
        <w:rPr>
          <w:noProof/>
        </w:rPr>
        <w:fldChar w:fldCharType="separate"/>
      </w:r>
      <w:r w:rsidR="00A95256">
        <w:rPr>
          <w:noProof/>
        </w:rPr>
        <w:t>3</w:t>
      </w:r>
      <w:r w:rsidR="000D4972">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_Toc522787301 \h </w:instrText>
      </w:r>
      <w:r>
        <w:rPr>
          <w:noProof/>
        </w:rPr>
      </w:r>
      <w:r>
        <w:rPr>
          <w:noProof/>
        </w:rPr>
        <w:fldChar w:fldCharType="separate"/>
      </w:r>
      <w:r w:rsidR="00A95256">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_Toc522787302 \h </w:instrText>
      </w:r>
      <w:r>
        <w:rPr>
          <w:noProof/>
        </w:rPr>
      </w:r>
      <w:r>
        <w:rPr>
          <w:noProof/>
        </w:rPr>
        <w:fldChar w:fldCharType="separate"/>
      </w:r>
      <w:r w:rsidR="00A95256">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_Toc522787303 \h </w:instrText>
      </w:r>
      <w:r>
        <w:rPr>
          <w:noProof/>
        </w:rPr>
      </w:r>
      <w:r>
        <w:rPr>
          <w:noProof/>
        </w:rPr>
        <w:fldChar w:fldCharType="separate"/>
      </w:r>
      <w:r w:rsidR="00A95256">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_Toc522787304 \h </w:instrText>
      </w:r>
      <w:r>
        <w:rPr>
          <w:noProof/>
        </w:rPr>
      </w:r>
      <w:r>
        <w:rPr>
          <w:noProof/>
        </w:rPr>
        <w:fldChar w:fldCharType="separate"/>
      </w:r>
      <w:r w:rsidR="00A95256">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_Toc522787305 \h </w:instrText>
      </w:r>
      <w:r>
        <w:rPr>
          <w:noProof/>
        </w:rPr>
      </w:r>
      <w:r>
        <w:rPr>
          <w:noProof/>
        </w:rPr>
        <w:fldChar w:fldCharType="separate"/>
      </w:r>
      <w:r w:rsidR="00A95256">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_Toc522787306 \h </w:instrText>
      </w:r>
      <w:r>
        <w:rPr>
          <w:noProof/>
        </w:rPr>
      </w:r>
      <w:r>
        <w:rPr>
          <w:noProof/>
        </w:rPr>
        <w:fldChar w:fldCharType="separate"/>
      </w:r>
      <w:r w:rsidR="00A95256">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_Toc522787307 \h </w:instrText>
      </w:r>
      <w:r>
        <w:rPr>
          <w:noProof/>
        </w:rPr>
      </w:r>
      <w:r>
        <w:rPr>
          <w:noProof/>
        </w:rPr>
        <w:fldChar w:fldCharType="separate"/>
      </w:r>
      <w:r w:rsidR="00A95256">
        <w:rPr>
          <w:noProof/>
        </w:rPr>
        <w:t>4</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_Toc522787308 \h </w:instrText>
      </w:r>
      <w:r>
        <w:rPr>
          <w:noProof/>
        </w:rPr>
      </w:r>
      <w:r>
        <w:rPr>
          <w:noProof/>
        </w:rPr>
        <w:fldChar w:fldCharType="separate"/>
      </w:r>
      <w:r w:rsidR="00A95256">
        <w:rPr>
          <w:noProof/>
        </w:rPr>
        <w:t>4</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_Toc522787309 \h </w:instrText>
      </w:r>
      <w:r>
        <w:rPr>
          <w:noProof/>
        </w:rPr>
      </w:r>
      <w:r>
        <w:rPr>
          <w:noProof/>
        </w:rPr>
        <w:fldChar w:fldCharType="separate"/>
      </w:r>
      <w:r w:rsidR="00A95256">
        <w:rPr>
          <w:noProof/>
        </w:rPr>
        <w:t>6</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_Toc522787310 \h </w:instrText>
      </w:r>
      <w:r>
        <w:rPr>
          <w:noProof/>
        </w:rPr>
      </w:r>
      <w:r>
        <w:rPr>
          <w:noProof/>
        </w:rPr>
        <w:fldChar w:fldCharType="separate"/>
      </w:r>
      <w:r w:rsidR="00A95256">
        <w:rPr>
          <w:noProof/>
        </w:rPr>
        <w:t>6</w:t>
      </w:r>
      <w:r>
        <w:rPr>
          <w:noProof/>
        </w:rPr>
        <w:fldChar w:fldCharType="end"/>
      </w:r>
    </w:p>
    <w:p w:rsidR="000D4972" w:rsidRDefault="000D497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_Toc522787311 \h </w:instrText>
      </w:r>
      <w:r>
        <w:rPr>
          <w:noProof/>
        </w:rPr>
      </w:r>
      <w:r>
        <w:rPr>
          <w:noProof/>
        </w:rPr>
        <w:fldChar w:fldCharType="separate"/>
      </w:r>
      <w:r w:rsidR="00A95256">
        <w:rPr>
          <w:noProof/>
        </w:rPr>
        <w:t>7</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_Toc522787312 \h </w:instrText>
      </w:r>
      <w:r>
        <w:rPr>
          <w:noProof/>
        </w:rPr>
      </w:r>
      <w:r>
        <w:rPr>
          <w:noProof/>
        </w:rPr>
        <w:fldChar w:fldCharType="separate"/>
      </w:r>
      <w:r w:rsidR="00A95256">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3" w:name="_Toc522787300"/>
      <w:r>
        <w:lastRenderedPageBreak/>
        <w:t>Name</w:t>
      </w:r>
      <w:bookmarkEnd w:id="3"/>
    </w:p>
    <w:p w:rsidR="00237471" w:rsidRPr="00F97A62" w:rsidRDefault="00715914" w:rsidP="00DF65CF">
      <w:pPr>
        <w:pStyle w:val="PlainIndent"/>
      </w:pPr>
      <w:r w:rsidRPr="00F97A62">
        <w:t xml:space="preserve">This </w:t>
      </w:r>
      <w:r w:rsidR="00CE493D" w:rsidRPr="00F97A62">
        <w:t xml:space="preserve">is the </w:t>
      </w:r>
      <w:bookmarkStart w:id="4" w:name="BKCheck15B_3"/>
      <w:bookmarkEnd w:id="4"/>
      <w:r w:rsidR="00E55F66" w:rsidRPr="00F97A62">
        <w:t>Statement of Principles concerning</w:t>
      </w:r>
      <w:r w:rsidR="00912B55" w:rsidRPr="00F97A62">
        <w:t xml:space="preserve"> </w:t>
      </w:r>
      <w:r w:rsidR="00814B00">
        <w:rPr>
          <w:i/>
        </w:rPr>
        <w:t>dental malocclusion</w:t>
      </w:r>
      <w:r w:rsidR="00E55F66" w:rsidRPr="00F97A62">
        <w:t xml:space="preserve"> </w:t>
      </w:r>
      <w:r w:rsidR="00997416">
        <w:rPr>
          <w:i/>
        </w:rPr>
        <w:t xml:space="preserve">(Balance of Probabilities) </w:t>
      </w:r>
      <w:r w:rsidR="00E55F66" w:rsidRPr="00F97A62">
        <w:t xml:space="preserve">(No. </w:t>
      </w:r>
      <w:r w:rsidR="0094264D">
        <w:t>20</w:t>
      </w:r>
      <w:r w:rsidR="00085567">
        <w:t xml:space="preserve"> </w:t>
      </w:r>
      <w:r w:rsidR="00E55F66" w:rsidRPr="00F97A62">
        <w:t>of</w:t>
      </w:r>
      <w:r w:rsidR="00085567">
        <w:t xml:space="preserve"> </w:t>
      </w:r>
      <w:r w:rsidR="00814B00">
        <w:t>2019</w:t>
      </w:r>
      <w:r w:rsidR="00E55F66" w:rsidRPr="00F97A62">
        <w:t>)</w:t>
      </w:r>
      <w:r w:rsidRPr="00F97A62">
        <w:t>.</w:t>
      </w:r>
    </w:p>
    <w:p w:rsidR="00F67B67" w:rsidRPr="00684C0E" w:rsidRDefault="00F67B67" w:rsidP="00C96667">
      <w:pPr>
        <w:pStyle w:val="LV1"/>
      </w:pPr>
      <w:bookmarkStart w:id="5" w:name="_Toc522787301"/>
      <w:r w:rsidRPr="00684C0E">
        <w:t>Commencement</w:t>
      </w:r>
      <w:bookmarkEnd w:id="5"/>
    </w:p>
    <w:p w:rsidR="00F67B67" w:rsidRPr="007527C1" w:rsidRDefault="007527C1" w:rsidP="00DF65CF">
      <w:pPr>
        <w:pStyle w:val="PlainIndent"/>
      </w:pPr>
      <w:r w:rsidRPr="007527C1">
        <w:tab/>
      </w:r>
      <w:r w:rsidR="00F67B67" w:rsidRPr="007527C1">
        <w:t>This instrument commences on</w:t>
      </w:r>
      <w:r w:rsidR="0094264D">
        <w:t xml:space="preserve"> </w:t>
      </w:r>
      <w:r w:rsidR="008736BE">
        <w:t>25 March</w:t>
      </w:r>
      <w:r w:rsidR="008736BE" w:rsidRPr="00BF043C">
        <w:t xml:space="preserve"> 2019</w:t>
      </w:r>
      <w:r w:rsidR="00F67B67" w:rsidRPr="007527C1">
        <w:t>.</w:t>
      </w:r>
    </w:p>
    <w:p w:rsidR="00F67B67" w:rsidRPr="00684C0E" w:rsidRDefault="00F67B67" w:rsidP="00C96667">
      <w:pPr>
        <w:pStyle w:val="LV1"/>
      </w:pPr>
      <w:bookmarkStart w:id="6" w:name="_Toc522787302"/>
      <w:r w:rsidRPr="00684C0E">
        <w:t>Authority</w:t>
      </w:r>
      <w:bookmarkEnd w:id="6"/>
    </w:p>
    <w:p w:rsidR="00F67B67" w:rsidRDefault="00F67B67" w:rsidP="00DF65CF">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7" w:name="_Toc522787303"/>
      <w:r>
        <w:t>Re</w:t>
      </w:r>
      <w:r w:rsidR="00CB7412">
        <w:t>peal</w:t>
      </w:r>
      <w:bookmarkEnd w:id="7"/>
    </w:p>
    <w:p w:rsidR="007959B9" w:rsidRPr="007527C1" w:rsidRDefault="000D4972" w:rsidP="00DF65CF">
      <w:pPr>
        <w:pStyle w:val="PlainIndent"/>
      </w:pPr>
      <w:r>
        <w:t>The</w:t>
      </w:r>
      <w:r w:rsidRPr="007527C1">
        <w:t xml:space="preserve"> </w:t>
      </w:r>
      <w:r w:rsidRPr="00DA3996">
        <w:t xml:space="preserve">Statement of Principles concerning </w:t>
      </w:r>
      <w:r w:rsidR="00814B00">
        <w:t>dental malocclusion</w:t>
      </w:r>
      <w:r w:rsidRPr="00DA3996">
        <w:t xml:space="preserve"> No. </w:t>
      </w:r>
      <w:r w:rsidR="00814B00">
        <w:t>18 of 2011</w:t>
      </w:r>
      <w:r>
        <w:t xml:space="preserve"> </w:t>
      </w:r>
      <w:r w:rsidRPr="00786DAE">
        <w:t xml:space="preserve">(Federal Register of Legislation No. </w:t>
      </w:r>
      <w:r w:rsidR="00814B00" w:rsidRPr="00814B00">
        <w:t>F2011L00499</w:t>
      </w:r>
      <w:r w:rsidRPr="00786DAE">
        <w:t xml:space="preserve">) </w:t>
      </w:r>
      <w:r w:rsidRPr="00DA3996">
        <w:t xml:space="preserve">made under subsection </w:t>
      </w:r>
      <w:proofErr w:type="gramStart"/>
      <w:r w:rsidRPr="00DA3996">
        <w:t>196B(</w:t>
      </w:r>
      <w:proofErr w:type="gramEnd"/>
      <w:r>
        <w:t>3</w:t>
      </w:r>
      <w:r w:rsidRPr="00DA3996">
        <w:t xml:space="preserve">) of the VEA </w:t>
      </w:r>
      <w:r>
        <w:t>i</w:t>
      </w:r>
      <w:r w:rsidRPr="007527C1">
        <w:t>s</w:t>
      </w:r>
      <w:r>
        <w:t xml:space="preserve"> repealed.</w:t>
      </w:r>
    </w:p>
    <w:p w:rsidR="007C7DEE" w:rsidRPr="00684C0E" w:rsidRDefault="007C7DEE" w:rsidP="00C96667">
      <w:pPr>
        <w:pStyle w:val="LV1"/>
      </w:pPr>
      <w:bookmarkStart w:id="8" w:name="_Toc522787304"/>
      <w:r w:rsidRPr="00684C0E">
        <w:t>Application</w:t>
      </w:r>
      <w:bookmarkEnd w:id="8"/>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9" w:name="_Ref410129949"/>
      <w:bookmarkStart w:id="10" w:name="_Toc522787305"/>
      <w:r w:rsidRPr="00684C0E">
        <w:t>Definitions</w:t>
      </w:r>
      <w:bookmarkEnd w:id="9"/>
      <w:bookmarkEnd w:id="10"/>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1" w:name="_Ref409687573"/>
      <w:bookmarkStart w:id="12" w:name="_Ref409687579"/>
      <w:bookmarkStart w:id="13" w:name="_Ref409687725"/>
      <w:bookmarkStart w:id="14" w:name="_Toc522787306"/>
      <w:r w:rsidRPr="00684C0E">
        <w:t>Kind of injury, disease or death</w:t>
      </w:r>
      <w:r w:rsidR="00215860" w:rsidRPr="00684C0E">
        <w:t xml:space="preserve"> to which this Statement of Principles relates</w:t>
      </w:r>
      <w:bookmarkEnd w:id="11"/>
      <w:bookmarkEnd w:id="12"/>
      <w:bookmarkEnd w:id="13"/>
      <w:bookmarkEnd w:id="14"/>
    </w:p>
    <w:p w:rsidR="007C7DEE" w:rsidRPr="00D5620B" w:rsidRDefault="007C7DEE" w:rsidP="00DF65CF">
      <w:pPr>
        <w:pStyle w:val="LV2"/>
      </w:pPr>
      <w:bookmarkStart w:id="15" w:name="_Ref403053584"/>
      <w:r w:rsidRPr="00D5620B">
        <w:t xml:space="preserve">This Statement of Principles is </w:t>
      </w:r>
      <w:r w:rsidRPr="002F77A1">
        <w:t xml:space="preserve">about </w:t>
      </w:r>
      <w:r w:rsidR="00814B00">
        <w:t>dental malocclusion</w:t>
      </w:r>
      <w:r w:rsidR="00D5620B" w:rsidRPr="002F77A1">
        <w:t xml:space="preserve"> </w:t>
      </w:r>
      <w:r w:rsidRPr="002F77A1">
        <w:t>and death</w:t>
      </w:r>
      <w:r w:rsidRPr="00D5620B">
        <w:t xml:space="preserve"> from</w:t>
      </w:r>
      <w:r w:rsidR="002F77A1">
        <w:t xml:space="preserve"> </w:t>
      </w:r>
      <w:r w:rsidR="00814B00">
        <w:t>dental malocclusion</w:t>
      </w:r>
      <w:r w:rsidRPr="00D5620B">
        <w:t>.</w:t>
      </w:r>
      <w:bookmarkEnd w:id="15"/>
    </w:p>
    <w:p w:rsidR="00215860" w:rsidRPr="007142FB" w:rsidRDefault="00215860" w:rsidP="0083517B">
      <w:pPr>
        <w:pStyle w:val="LVtext"/>
      </w:pPr>
      <w:r w:rsidRPr="007142FB">
        <w:t>Meaning of</w:t>
      </w:r>
      <w:r w:rsidR="00D60FC8" w:rsidRPr="007142FB">
        <w:t xml:space="preserve"> </w:t>
      </w:r>
      <w:r w:rsidR="00814B00">
        <w:rPr>
          <w:b/>
        </w:rPr>
        <w:t>dental malocclusion</w:t>
      </w:r>
    </w:p>
    <w:p w:rsidR="000D4972" w:rsidRPr="00237BAF" w:rsidRDefault="000D4972" w:rsidP="000D4972">
      <w:pPr>
        <w:pStyle w:val="LV2"/>
      </w:pPr>
      <w:bookmarkStart w:id="16" w:name="_Ref409598124"/>
      <w:bookmarkStart w:id="17" w:name="_Ref402529683"/>
      <w:r w:rsidRPr="00237BAF">
        <w:t>For the purposes of this Statement of Principles,</w:t>
      </w:r>
      <w:r w:rsidRPr="002F77A1">
        <w:t xml:space="preserve"> </w:t>
      </w:r>
      <w:r w:rsidR="00814B00">
        <w:t>dental malocclusion</w:t>
      </w:r>
      <w:r w:rsidRPr="00237BAF">
        <w:t>:</w:t>
      </w:r>
      <w:bookmarkEnd w:id="16"/>
    </w:p>
    <w:bookmarkEnd w:id="17"/>
    <w:p w:rsidR="00814B00" w:rsidRDefault="00814B00" w:rsidP="00814B00">
      <w:pPr>
        <w:pStyle w:val="LV3"/>
      </w:pPr>
      <w:r>
        <w:t xml:space="preserve">means acquired malposition of maxillary or mandibular teeth resulting in abnormal contact; and </w:t>
      </w:r>
    </w:p>
    <w:p w:rsidR="00814B00" w:rsidRDefault="00814B00" w:rsidP="00814B00">
      <w:pPr>
        <w:pStyle w:val="LV3"/>
      </w:pPr>
      <w:proofErr w:type="gramStart"/>
      <w:r>
        <w:t>includes</w:t>
      </w:r>
      <w:proofErr w:type="gramEnd"/>
      <w:r>
        <w:t xml:space="preserve"> acquired dental </w:t>
      </w:r>
      <w:proofErr w:type="spellStart"/>
      <w:r>
        <w:t>hyperocclusion</w:t>
      </w:r>
      <w:proofErr w:type="spellEnd"/>
      <w:r>
        <w:t>.</w:t>
      </w:r>
    </w:p>
    <w:p w:rsidR="00814B00" w:rsidRDefault="00814B00" w:rsidP="00814B00">
      <w:pPr>
        <w:pStyle w:val="Note1"/>
        <w:ind w:left="2609" w:hanging="624"/>
        <w:rPr>
          <w:sz w:val="20"/>
        </w:rPr>
      </w:pPr>
      <w:r w:rsidRPr="00C15950">
        <w:t>Note</w:t>
      </w:r>
      <w:r>
        <w:t xml:space="preserve"> </w:t>
      </w:r>
      <w:r>
        <w:rPr>
          <w:sz w:val="20"/>
        </w:rPr>
        <w:t>1:  Dental malocclusion can result in a range of complications, including, but not limited to, difficulty with mastication or speech, and mobility of the affected teeth.</w:t>
      </w:r>
    </w:p>
    <w:p w:rsidR="00814B00" w:rsidRPr="00C15950" w:rsidRDefault="00814B00" w:rsidP="00814B00">
      <w:pPr>
        <w:pStyle w:val="Note1"/>
      </w:pPr>
      <w:r>
        <w:rPr>
          <w:sz w:val="20"/>
        </w:rPr>
        <w:t xml:space="preserve">Note 2:  </w:t>
      </w:r>
      <w:r w:rsidRPr="00806B3F">
        <w:rPr>
          <w:b/>
          <w:i/>
          <w:sz w:val="20"/>
        </w:rPr>
        <w:t xml:space="preserve">dental </w:t>
      </w:r>
      <w:proofErr w:type="spellStart"/>
      <w:r w:rsidRPr="00806B3F">
        <w:rPr>
          <w:b/>
          <w:i/>
          <w:sz w:val="20"/>
        </w:rPr>
        <w:t>hyperocclusion</w:t>
      </w:r>
      <w:proofErr w:type="spellEnd"/>
      <w:r>
        <w:rPr>
          <w:sz w:val="20"/>
        </w:rPr>
        <w:t xml:space="preserve"> is defined in the Schedule 1 – Dictionary.</w:t>
      </w:r>
    </w:p>
    <w:p w:rsidR="00814B00" w:rsidRPr="00237BAF" w:rsidRDefault="00814B00" w:rsidP="00814B00">
      <w:pPr>
        <w:pStyle w:val="LV2"/>
      </w:pPr>
      <w:r w:rsidRPr="00237BAF">
        <w:t xml:space="preserve">While </w:t>
      </w:r>
      <w:r>
        <w:t xml:space="preserve">dental malocclusion </w:t>
      </w:r>
      <w:r w:rsidRPr="00237BAF">
        <w:t>attracts ICD</w:t>
      </w:r>
      <w:r w:rsidRPr="00237BAF">
        <w:noBreakHyphen/>
        <w:t>10</w:t>
      </w:r>
      <w:r w:rsidRPr="00237BAF">
        <w:noBreakHyphen/>
        <w:t xml:space="preserve">AM </w:t>
      </w:r>
      <w:r w:rsidRPr="00EB2BC4">
        <w:t xml:space="preserve">code </w:t>
      </w:r>
      <w:r>
        <w:t>K07.2 or K07.4</w:t>
      </w:r>
      <w:r w:rsidRPr="00EB2BC4">
        <w:t>,</w:t>
      </w:r>
      <w:r w:rsidRPr="00237BAF">
        <w:t xml:space="preserve"> in applying this Statement of Principles the </w:t>
      </w:r>
      <w:r w:rsidRPr="00D5620B">
        <w:t xml:space="preserve">meaning of </w:t>
      </w:r>
      <w:r>
        <w:t xml:space="preserve">dental malocclusion </w:t>
      </w:r>
      <w:r w:rsidRPr="00D5620B">
        <w:t>is that</w:t>
      </w:r>
      <w:r w:rsidRPr="00237BAF">
        <w:t xml:space="preserve"> given in subsection (2).</w:t>
      </w:r>
    </w:p>
    <w:p w:rsidR="000F76FA" w:rsidRPr="0053697E" w:rsidRDefault="00825BFB" w:rsidP="00DF65CF">
      <w:pPr>
        <w:pStyle w:val="LV2"/>
        <w:rPr>
          <w:i/>
          <w:color w:val="000000"/>
        </w:rPr>
      </w:pPr>
      <w:r w:rsidRPr="00743C76">
        <w:lastRenderedPageBreak/>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814B00">
        <w:rPr>
          <w:b/>
        </w:rPr>
        <w:t>dental malocclusion</w:t>
      </w:r>
    </w:p>
    <w:p w:rsidR="008F572A" w:rsidRPr="00237BAF" w:rsidRDefault="008F572A" w:rsidP="00DF65CF">
      <w:pPr>
        <w:pStyle w:val="LV2"/>
      </w:pPr>
      <w:r w:rsidRPr="00237BAF">
        <w:t xml:space="preserve">For the purposes of this Statement of </w:t>
      </w:r>
      <w:r w:rsidR="00D5620B">
        <w:t xml:space="preserve">Principles, </w:t>
      </w:r>
      <w:r w:rsidR="00814B00">
        <w:t>dental malocclusion</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814B00">
        <w:t>dental malocclusion</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rsidR="007C7DEE" w:rsidRPr="00A20CA1" w:rsidRDefault="007C7DEE" w:rsidP="00181048">
      <w:pPr>
        <w:pStyle w:val="LV1"/>
        <w:keepNext/>
      </w:pPr>
      <w:bookmarkStart w:id="18" w:name="_Toc522787307"/>
      <w:r w:rsidRPr="00A20CA1">
        <w:t>Basis for determining the factors</w:t>
      </w:r>
      <w:bookmarkEnd w:id="18"/>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814B00">
        <w:t>dental malocclusion</w:t>
      </w:r>
      <w:r w:rsidR="007A3989">
        <w:t xml:space="preserve"> </w:t>
      </w:r>
      <w:r w:rsidRPr="00D5620B">
        <w:t>and death from</w:t>
      </w:r>
      <w:r w:rsidR="007A3989">
        <w:t xml:space="preserve"> </w:t>
      </w:r>
      <w:r w:rsidR="00814B00">
        <w:t>dental malocclusion</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C96667">
      <w:pPr>
        <w:pStyle w:val="LV1"/>
      </w:pPr>
      <w:bookmarkStart w:id="19" w:name="_Ref411946955"/>
      <w:bookmarkStart w:id="20" w:name="_Ref411946997"/>
      <w:bookmarkStart w:id="21" w:name="_Ref412032503"/>
      <w:bookmarkStart w:id="22" w:name="_Toc522787308"/>
      <w:r w:rsidRPr="00301C54">
        <w:t xml:space="preserve">Factors that must </w:t>
      </w:r>
      <w:r w:rsidR="00D32F71">
        <w:t>exist</w:t>
      </w:r>
      <w:bookmarkEnd w:id="19"/>
      <w:bookmarkEnd w:id="20"/>
      <w:bookmarkEnd w:id="21"/>
      <w:bookmarkEnd w:id="22"/>
    </w:p>
    <w:p w:rsidR="007C7DEE" w:rsidRPr="00AA6D8B" w:rsidRDefault="002716E4" w:rsidP="00DF65CF">
      <w:pPr>
        <w:pStyle w:val="PlainIndent"/>
      </w:pPr>
      <w:bookmarkStart w:id="23"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814B00">
        <w:t>dental malocclusion</w:t>
      </w:r>
      <w:r w:rsidR="007A3989">
        <w:t xml:space="preserve"> </w:t>
      </w:r>
      <w:r w:rsidR="007C7DEE" w:rsidRPr="00AA6D8B">
        <w:t xml:space="preserve">or death from </w:t>
      </w:r>
      <w:r w:rsidR="00814B00">
        <w:t>dental malocclusion</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3"/>
    </w:p>
    <w:p w:rsidR="00814B00" w:rsidRDefault="00814B00" w:rsidP="00814B00">
      <w:pPr>
        <w:pStyle w:val="LV2"/>
        <w:numPr>
          <w:ilvl w:val="1"/>
          <w:numId w:val="4"/>
        </w:numPr>
        <w:ind w:left="1418"/>
      </w:pPr>
      <w:bookmarkStart w:id="24" w:name="_Ref402530260"/>
      <w:bookmarkStart w:id="25" w:name="_Ref409598844"/>
      <w:r>
        <w:rPr>
          <w:lang w:val="en-US"/>
        </w:rPr>
        <w:t xml:space="preserve">having an injury resulting in distortion of the temporomandibular joint or fracture of the maxilla or mandible </w:t>
      </w:r>
      <w:r>
        <w:t>before the clinical onset of dental malocclusion;</w:t>
      </w:r>
    </w:p>
    <w:p w:rsidR="00814B00" w:rsidRDefault="00814B00" w:rsidP="00814B00">
      <w:pPr>
        <w:pStyle w:val="LV2"/>
        <w:numPr>
          <w:ilvl w:val="1"/>
          <w:numId w:val="4"/>
        </w:numPr>
        <w:ind w:left="1418"/>
      </w:pPr>
      <w:r>
        <w:rPr>
          <w:lang w:val="en-US"/>
        </w:rPr>
        <w:t xml:space="preserve">having surgery involving the </w:t>
      </w:r>
      <w:r w:rsidR="008A27CB">
        <w:rPr>
          <w:lang w:val="en-US"/>
        </w:rPr>
        <w:t xml:space="preserve">temporomandibular joint, </w:t>
      </w:r>
      <w:r>
        <w:rPr>
          <w:lang w:val="en-US"/>
        </w:rPr>
        <w:t>maxilla</w:t>
      </w:r>
      <w:r w:rsidR="008A27CB">
        <w:rPr>
          <w:lang w:val="en-US"/>
        </w:rPr>
        <w:t xml:space="preserve"> or</w:t>
      </w:r>
      <w:r>
        <w:rPr>
          <w:lang w:val="en-US"/>
        </w:rPr>
        <w:t xml:space="preserve"> mandible </w:t>
      </w:r>
      <w:r>
        <w:t>before the clinical onset of dental malocclusion;</w:t>
      </w:r>
    </w:p>
    <w:p w:rsidR="00814B00" w:rsidRDefault="00814B00" w:rsidP="00814B00">
      <w:pPr>
        <w:pStyle w:val="LV2"/>
        <w:numPr>
          <w:ilvl w:val="1"/>
          <w:numId w:val="4"/>
        </w:numPr>
        <w:ind w:left="1418"/>
      </w:pPr>
      <w:r w:rsidRPr="00457A6C">
        <w:t>having loss of one or more teeth for at least the two years before the clinical onset of dental malocclusion;</w:t>
      </w:r>
    </w:p>
    <w:p w:rsidR="00814B00" w:rsidRPr="008D1B8B" w:rsidRDefault="00814B00" w:rsidP="00814B00">
      <w:pPr>
        <w:pStyle w:val="LV2"/>
        <w:numPr>
          <w:ilvl w:val="1"/>
          <w:numId w:val="4"/>
        </w:numPr>
        <w:ind w:left="1418"/>
      </w:pPr>
      <w:r>
        <w:t>having a maxillofacial disease at the time of the clinical onset of dental malocclusion;</w:t>
      </w:r>
    </w:p>
    <w:p w:rsidR="00814B00" w:rsidRPr="00046E67" w:rsidRDefault="00814B00" w:rsidP="00814B00">
      <w:pPr>
        <w:pStyle w:val="Note2"/>
      </w:pPr>
      <w:r>
        <w:t xml:space="preserve">Note:  </w:t>
      </w:r>
      <w:r>
        <w:rPr>
          <w:b/>
          <w:i/>
          <w:szCs w:val="18"/>
        </w:rPr>
        <w:t>maxillofacial disease</w:t>
      </w:r>
      <w:r w:rsidRPr="00046E67">
        <w:t xml:space="preserve"> is defined in the </w:t>
      </w:r>
      <w:r>
        <w:t>Schedule 1 - </w:t>
      </w:r>
      <w:r w:rsidRPr="002717B2">
        <w:t>Dictionary</w:t>
      </w:r>
      <w:r w:rsidRPr="00046E67">
        <w:t>.</w:t>
      </w:r>
      <w:r w:rsidRPr="00046E67">
        <w:tab/>
      </w:r>
      <w:r>
        <w:t xml:space="preserve"> </w:t>
      </w:r>
    </w:p>
    <w:p w:rsidR="00814B00" w:rsidRDefault="00814B00" w:rsidP="00814B00">
      <w:pPr>
        <w:pStyle w:val="LV2"/>
        <w:numPr>
          <w:ilvl w:val="1"/>
          <w:numId w:val="4"/>
        </w:numPr>
        <w:ind w:left="1418"/>
      </w:pPr>
      <w:r w:rsidRPr="003A74AA">
        <w:t>having a peripheral odontogenic fibroma or a peripheral ossifying fibroma adjacent to the affected tooth or teeth, at the time of the clinical onset of dental malocclusion;</w:t>
      </w:r>
    </w:p>
    <w:p w:rsidR="00814B00" w:rsidRDefault="00814B00" w:rsidP="00814B00">
      <w:pPr>
        <w:pStyle w:val="Note2"/>
        <w:ind w:left="1872" w:hanging="454"/>
      </w:pPr>
      <w:r>
        <w:t xml:space="preserve">Note:  </w:t>
      </w:r>
      <w:r w:rsidRPr="003A74AA">
        <w:rPr>
          <w:b/>
          <w:i/>
          <w:szCs w:val="18"/>
        </w:rPr>
        <w:t xml:space="preserve">peripheral odontogenic fibroma </w:t>
      </w:r>
      <w:r w:rsidRPr="008A27CB">
        <w:rPr>
          <w:szCs w:val="18"/>
        </w:rPr>
        <w:t>and</w:t>
      </w:r>
      <w:r w:rsidRPr="003A74AA">
        <w:rPr>
          <w:b/>
          <w:i/>
          <w:szCs w:val="18"/>
        </w:rPr>
        <w:t xml:space="preserve"> peripheral ossifying fibroma </w:t>
      </w:r>
      <w:r w:rsidRPr="008A27CB">
        <w:rPr>
          <w:szCs w:val="18"/>
        </w:rPr>
        <w:t>are</w:t>
      </w:r>
      <w:r w:rsidRPr="00046E67">
        <w:t xml:space="preserve"> defined in the </w:t>
      </w:r>
      <w:r>
        <w:t>Schedule 1 - </w:t>
      </w:r>
      <w:r w:rsidRPr="002717B2">
        <w:t>Dictionary</w:t>
      </w:r>
      <w:r w:rsidRPr="00046E67">
        <w:t>.</w:t>
      </w:r>
    </w:p>
    <w:p w:rsidR="00814B00" w:rsidRDefault="00814B00" w:rsidP="00814B00">
      <w:pPr>
        <w:pStyle w:val="LV2"/>
        <w:numPr>
          <w:ilvl w:val="1"/>
          <w:numId w:val="4"/>
        </w:numPr>
        <w:ind w:left="1418"/>
      </w:pPr>
      <w:r w:rsidRPr="00D47D10">
        <w:lastRenderedPageBreak/>
        <w:t>using a mandibular repositioning appliance for treatment of snoring or obstructive sleep apnoea for at least five hours per night, on at least five days per week, for at least the four months before the clinical onset of dental malocclusion;</w:t>
      </w:r>
    </w:p>
    <w:p w:rsidR="00DF070D" w:rsidRDefault="00DF070D" w:rsidP="00DF070D">
      <w:pPr>
        <w:pStyle w:val="Note2"/>
      </w:pPr>
      <w:r>
        <w:t xml:space="preserve">Note:  </w:t>
      </w:r>
      <w:r>
        <w:rPr>
          <w:b/>
          <w:i/>
          <w:szCs w:val="18"/>
        </w:rPr>
        <w:t xml:space="preserve">mandibular repositioning </w:t>
      </w:r>
      <w:r w:rsidR="003822D6">
        <w:rPr>
          <w:b/>
          <w:i/>
          <w:szCs w:val="18"/>
        </w:rPr>
        <w:t>appliance</w:t>
      </w:r>
      <w:r w:rsidRPr="00046E67">
        <w:t xml:space="preserve"> is defined in the </w:t>
      </w:r>
      <w:r>
        <w:t>Schedule 1 - </w:t>
      </w:r>
      <w:r w:rsidRPr="002717B2">
        <w:t>Dictionary</w:t>
      </w:r>
      <w:r w:rsidRPr="00046E67">
        <w:t>.</w:t>
      </w:r>
      <w:r w:rsidRPr="00046E67">
        <w:tab/>
      </w:r>
    </w:p>
    <w:p w:rsidR="00814B00" w:rsidRDefault="00814B00" w:rsidP="00814B00">
      <w:pPr>
        <w:pStyle w:val="LV2"/>
        <w:numPr>
          <w:ilvl w:val="1"/>
          <w:numId w:val="4"/>
        </w:numPr>
        <w:ind w:left="1418"/>
      </w:pPr>
      <w:r w:rsidRPr="00805CD8">
        <w:t>having an ill-fitting dental restoration or orthodontic device applied to the affected tooth or teeth at the time of the clinical onset of dental malocclusion;</w:t>
      </w:r>
    </w:p>
    <w:p w:rsidR="00814B00" w:rsidRDefault="00814B00" w:rsidP="00814B00">
      <w:pPr>
        <w:pStyle w:val="Note2"/>
        <w:ind w:left="1872" w:hanging="454"/>
      </w:pPr>
      <w:r w:rsidRPr="00805CD8">
        <w:t>Note: Examples of dental restorations and orthodontic devices include</w:t>
      </w:r>
      <w:r w:rsidR="00A95256">
        <w:t>, but are not limited to,</w:t>
      </w:r>
      <w:r w:rsidRPr="00805CD8">
        <w:t xml:space="preserve"> dental fillings, crowns, bridges, implants, retainers and braces.</w:t>
      </w:r>
    </w:p>
    <w:p w:rsidR="00814B00" w:rsidRDefault="00814B00" w:rsidP="00814B00">
      <w:pPr>
        <w:pStyle w:val="LV2"/>
        <w:numPr>
          <w:ilvl w:val="1"/>
          <w:numId w:val="4"/>
        </w:numPr>
        <w:ind w:left="1418"/>
      </w:pPr>
      <w:r w:rsidRPr="00805CD8">
        <w:t xml:space="preserve">having advanced periodontitis involving the affected </w:t>
      </w:r>
      <w:r w:rsidR="00A95256">
        <w:t xml:space="preserve">tooth or </w:t>
      </w:r>
      <w:r w:rsidRPr="00805CD8">
        <w:t>teeth at the time of the clinical onset of dental malocclusion;</w:t>
      </w:r>
    </w:p>
    <w:p w:rsidR="00814B00" w:rsidRDefault="00814B00" w:rsidP="00814B00">
      <w:pPr>
        <w:pStyle w:val="LV2"/>
        <w:numPr>
          <w:ilvl w:val="1"/>
          <w:numId w:val="4"/>
        </w:numPr>
        <w:ind w:left="1418"/>
      </w:pPr>
      <w:r w:rsidRPr="00805CD8">
        <w:t>having macroglossia for at least the two years before the clinical onset of dental malocclusion;</w:t>
      </w:r>
    </w:p>
    <w:p w:rsidR="00814B00" w:rsidRDefault="00814B00" w:rsidP="00814B00">
      <w:pPr>
        <w:pStyle w:val="Note2"/>
      </w:pPr>
      <w:r>
        <w:t xml:space="preserve">Note:  </w:t>
      </w:r>
      <w:r>
        <w:rPr>
          <w:b/>
          <w:i/>
          <w:szCs w:val="18"/>
        </w:rPr>
        <w:t>macroglossia</w:t>
      </w:r>
      <w:r w:rsidRPr="00046E67">
        <w:t xml:space="preserve"> is defined in the </w:t>
      </w:r>
      <w:r>
        <w:t>Schedule 1 - </w:t>
      </w:r>
      <w:r w:rsidRPr="002717B2">
        <w:t>Dictionary</w:t>
      </w:r>
      <w:r w:rsidRPr="00046E67">
        <w:t>.</w:t>
      </w:r>
      <w:r w:rsidRPr="00046E67">
        <w:tab/>
      </w:r>
    </w:p>
    <w:p w:rsidR="00814B00" w:rsidRDefault="00814B00" w:rsidP="00814B00">
      <w:pPr>
        <w:pStyle w:val="LV2"/>
        <w:numPr>
          <w:ilvl w:val="1"/>
          <w:numId w:val="4"/>
        </w:numPr>
        <w:ind w:left="1418"/>
      </w:pPr>
      <w:r>
        <w:rPr>
          <w:lang w:val="en-US"/>
        </w:rPr>
        <w:t xml:space="preserve">having an injury resulting in distortion of the temporomandibular joint or fracture of the maxilla or mandible </w:t>
      </w:r>
      <w:r>
        <w:t>before the clinical worsening of dental malocclusion;</w:t>
      </w:r>
    </w:p>
    <w:p w:rsidR="00814B00" w:rsidRDefault="00814B00" w:rsidP="00814B00">
      <w:pPr>
        <w:pStyle w:val="LV2"/>
        <w:numPr>
          <w:ilvl w:val="1"/>
          <w:numId w:val="4"/>
        </w:numPr>
        <w:ind w:left="1418"/>
      </w:pPr>
      <w:r>
        <w:rPr>
          <w:lang w:val="en-US"/>
        </w:rPr>
        <w:t xml:space="preserve">having surgery involving the </w:t>
      </w:r>
      <w:r w:rsidR="008A27CB">
        <w:rPr>
          <w:lang w:val="en-US"/>
        </w:rPr>
        <w:t xml:space="preserve">temporomandibular joint, </w:t>
      </w:r>
      <w:r>
        <w:rPr>
          <w:lang w:val="en-US"/>
        </w:rPr>
        <w:t>maxilla</w:t>
      </w:r>
      <w:r w:rsidR="008A27CB">
        <w:rPr>
          <w:lang w:val="en-US"/>
        </w:rPr>
        <w:t xml:space="preserve"> or</w:t>
      </w:r>
      <w:r>
        <w:rPr>
          <w:lang w:val="en-US"/>
        </w:rPr>
        <w:t xml:space="preserve"> mandible </w:t>
      </w:r>
      <w:r>
        <w:t>before the clinical worsening of dental malocclusion;</w:t>
      </w:r>
    </w:p>
    <w:p w:rsidR="00814B00" w:rsidRDefault="00814B00" w:rsidP="00814B00">
      <w:pPr>
        <w:pStyle w:val="LV2"/>
        <w:numPr>
          <w:ilvl w:val="1"/>
          <w:numId w:val="4"/>
        </w:numPr>
        <w:ind w:left="1418"/>
      </w:pPr>
      <w:r w:rsidRPr="00457A6C">
        <w:t>having loss of one or more teeth for at least the two years before the clinical worsening of dental malocclusion;</w:t>
      </w:r>
    </w:p>
    <w:p w:rsidR="00814B00" w:rsidRPr="008D1B8B" w:rsidRDefault="00814B00" w:rsidP="00814B00">
      <w:pPr>
        <w:pStyle w:val="LV2"/>
        <w:numPr>
          <w:ilvl w:val="1"/>
          <w:numId w:val="4"/>
        </w:numPr>
        <w:ind w:left="1418"/>
      </w:pPr>
      <w:r>
        <w:t>having a maxillofacial disease at the time of the clinical worsening of dental malocclusion;</w:t>
      </w:r>
    </w:p>
    <w:p w:rsidR="00814B00" w:rsidRPr="00046E67" w:rsidRDefault="00814B00" w:rsidP="00814B00">
      <w:pPr>
        <w:pStyle w:val="Note2"/>
      </w:pPr>
      <w:r>
        <w:t xml:space="preserve">Note:  </w:t>
      </w:r>
      <w:r>
        <w:rPr>
          <w:b/>
          <w:i/>
          <w:szCs w:val="18"/>
        </w:rPr>
        <w:t>maxillofacial disease</w:t>
      </w:r>
      <w:r w:rsidRPr="00046E67">
        <w:t xml:space="preserve"> is defined in the </w:t>
      </w:r>
      <w:r>
        <w:t>Schedule 1 - </w:t>
      </w:r>
      <w:r w:rsidRPr="002717B2">
        <w:t>Dictionary</w:t>
      </w:r>
      <w:r w:rsidRPr="00046E67">
        <w:t>.</w:t>
      </w:r>
      <w:r w:rsidRPr="00046E67">
        <w:tab/>
      </w:r>
      <w:r>
        <w:t xml:space="preserve"> </w:t>
      </w:r>
    </w:p>
    <w:p w:rsidR="00814B00" w:rsidRDefault="00814B00" w:rsidP="00814B00">
      <w:pPr>
        <w:pStyle w:val="LV2"/>
        <w:numPr>
          <w:ilvl w:val="1"/>
          <w:numId w:val="4"/>
        </w:numPr>
        <w:ind w:left="1418"/>
      </w:pPr>
      <w:r w:rsidRPr="003A74AA">
        <w:t>having a peripheral odontogenic fibroma or a peripheral ossifying fibroma adjacent to the affected tooth or teeth, at the time of the clinical worsening of dental malocclusion;</w:t>
      </w:r>
    </w:p>
    <w:p w:rsidR="00814B00" w:rsidRDefault="00814B00" w:rsidP="00814B00">
      <w:pPr>
        <w:pStyle w:val="Note2"/>
        <w:ind w:left="1872" w:hanging="454"/>
      </w:pPr>
      <w:r>
        <w:t xml:space="preserve">Note:  </w:t>
      </w:r>
      <w:r w:rsidRPr="003A74AA">
        <w:rPr>
          <w:b/>
          <w:i/>
          <w:szCs w:val="18"/>
        </w:rPr>
        <w:t xml:space="preserve">peripheral odontogenic fibroma </w:t>
      </w:r>
      <w:r w:rsidRPr="008A27CB">
        <w:rPr>
          <w:szCs w:val="18"/>
        </w:rPr>
        <w:t xml:space="preserve">and </w:t>
      </w:r>
      <w:r w:rsidRPr="003A74AA">
        <w:rPr>
          <w:b/>
          <w:i/>
          <w:szCs w:val="18"/>
        </w:rPr>
        <w:t xml:space="preserve">peripheral ossifying fibroma </w:t>
      </w:r>
      <w:r w:rsidRPr="008A27CB">
        <w:rPr>
          <w:szCs w:val="18"/>
        </w:rPr>
        <w:t>are</w:t>
      </w:r>
      <w:r w:rsidRPr="008A27CB">
        <w:t xml:space="preserve"> </w:t>
      </w:r>
      <w:r w:rsidRPr="00046E67">
        <w:t xml:space="preserve">defined in the </w:t>
      </w:r>
      <w:r>
        <w:t>Schedule 1 - </w:t>
      </w:r>
      <w:r w:rsidRPr="002717B2">
        <w:t>Dictionary</w:t>
      </w:r>
      <w:r w:rsidRPr="00046E67">
        <w:t>.</w:t>
      </w:r>
    </w:p>
    <w:p w:rsidR="00814B00" w:rsidRDefault="00814B00" w:rsidP="00814B00">
      <w:pPr>
        <w:pStyle w:val="LV2"/>
        <w:numPr>
          <w:ilvl w:val="1"/>
          <w:numId w:val="4"/>
        </w:numPr>
        <w:ind w:left="1418"/>
      </w:pPr>
      <w:r w:rsidRPr="00D47D10">
        <w:t>using a mandibular repositioning appliance for treatment of snoring or obstructive sleep apnoea for at least five hours per night, on at least five days per week, for at least the four months before the clinical worsening of dental malocclusion;</w:t>
      </w:r>
    </w:p>
    <w:p w:rsidR="00DF070D" w:rsidRDefault="00DF070D" w:rsidP="00DF070D">
      <w:pPr>
        <w:pStyle w:val="Note2"/>
      </w:pPr>
      <w:r>
        <w:t xml:space="preserve">Note:  </w:t>
      </w:r>
      <w:r>
        <w:rPr>
          <w:b/>
          <w:i/>
          <w:szCs w:val="18"/>
        </w:rPr>
        <w:t xml:space="preserve">mandibular repositioning </w:t>
      </w:r>
      <w:r w:rsidR="003822D6">
        <w:rPr>
          <w:b/>
          <w:i/>
          <w:szCs w:val="18"/>
        </w:rPr>
        <w:t>appliance</w:t>
      </w:r>
      <w:r w:rsidRPr="00046E67">
        <w:t xml:space="preserve"> is defined in the </w:t>
      </w:r>
      <w:r>
        <w:t>Schedule 1 - </w:t>
      </w:r>
      <w:r w:rsidRPr="002717B2">
        <w:t>Dictionary</w:t>
      </w:r>
      <w:r w:rsidRPr="00046E67">
        <w:t>.</w:t>
      </w:r>
      <w:r w:rsidRPr="00046E67">
        <w:tab/>
      </w:r>
    </w:p>
    <w:p w:rsidR="00814B00" w:rsidRDefault="00814B00" w:rsidP="00814B00">
      <w:pPr>
        <w:pStyle w:val="LV2"/>
        <w:numPr>
          <w:ilvl w:val="1"/>
          <w:numId w:val="4"/>
        </w:numPr>
        <w:ind w:left="1418"/>
      </w:pPr>
      <w:r w:rsidRPr="00805CD8">
        <w:t>having an ill-fitting dental restoration or orthodontic device applied to the affected tooth or teeth at the time of the clinical worsening of dental malocclusion;</w:t>
      </w:r>
    </w:p>
    <w:p w:rsidR="00814B00" w:rsidRDefault="00814B00" w:rsidP="00814B00">
      <w:pPr>
        <w:pStyle w:val="Note2"/>
        <w:ind w:left="1872" w:hanging="454"/>
      </w:pPr>
      <w:r w:rsidRPr="00805CD8">
        <w:t>Note: Examples of dental restorations and orthodontic devices include</w:t>
      </w:r>
      <w:r w:rsidR="00A95256">
        <w:t>, but are not limited to,</w:t>
      </w:r>
      <w:r w:rsidRPr="00805CD8">
        <w:t xml:space="preserve"> dental fillings, crowns, bridges, implants, retainers and braces.</w:t>
      </w:r>
    </w:p>
    <w:p w:rsidR="00814B00" w:rsidRDefault="00814B00" w:rsidP="00814B00">
      <w:pPr>
        <w:pStyle w:val="LV2"/>
        <w:numPr>
          <w:ilvl w:val="1"/>
          <w:numId w:val="4"/>
        </w:numPr>
        <w:ind w:left="1418"/>
      </w:pPr>
      <w:r w:rsidRPr="00805CD8">
        <w:lastRenderedPageBreak/>
        <w:t>having advanced periodontitis involving the affected</w:t>
      </w:r>
      <w:r w:rsidR="00A95256">
        <w:t xml:space="preserve"> tooth or</w:t>
      </w:r>
      <w:r w:rsidRPr="00805CD8">
        <w:t xml:space="preserve"> teeth at the time of the clinical worsening of dental malocclusion;</w:t>
      </w:r>
    </w:p>
    <w:p w:rsidR="00814B00" w:rsidRDefault="00814B00" w:rsidP="00814B00">
      <w:pPr>
        <w:pStyle w:val="LV2"/>
        <w:numPr>
          <w:ilvl w:val="1"/>
          <w:numId w:val="4"/>
        </w:numPr>
        <w:ind w:left="1418"/>
      </w:pPr>
      <w:r w:rsidRPr="00805CD8">
        <w:t>having macroglossia for at least the two years before the clinical worsening of dental malocclusion;</w:t>
      </w:r>
    </w:p>
    <w:p w:rsidR="00814B00" w:rsidRDefault="00814B00" w:rsidP="00814B00">
      <w:pPr>
        <w:pStyle w:val="Note2"/>
      </w:pPr>
      <w:r>
        <w:t xml:space="preserve">Note:  </w:t>
      </w:r>
      <w:r>
        <w:rPr>
          <w:b/>
          <w:i/>
          <w:szCs w:val="18"/>
        </w:rPr>
        <w:t>macroglossia</w:t>
      </w:r>
      <w:r w:rsidRPr="00046E67">
        <w:t xml:space="preserve"> is defined in the </w:t>
      </w:r>
      <w:r>
        <w:t>Schedule 1 - </w:t>
      </w:r>
      <w:r w:rsidRPr="002717B2">
        <w:t>Dictionary</w:t>
      </w:r>
      <w:r w:rsidRPr="00046E67">
        <w:t>.</w:t>
      </w:r>
      <w:r w:rsidRPr="00046E67">
        <w:tab/>
      </w:r>
    </w:p>
    <w:p w:rsidR="007C7DEE" w:rsidRPr="008D1B8B" w:rsidRDefault="007C7DEE" w:rsidP="00DF65CF">
      <w:pPr>
        <w:pStyle w:val="LV2"/>
      </w:pPr>
      <w:proofErr w:type="gramStart"/>
      <w:r w:rsidRPr="008D1B8B">
        <w:t>inability</w:t>
      </w:r>
      <w:proofErr w:type="gramEnd"/>
      <w:r w:rsidRPr="008D1B8B">
        <w:t xml:space="preserve"> to obtain appropriate clinical management for</w:t>
      </w:r>
      <w:bookmarkEnd w:id="24"/>
      <w:r w:rsidR="007A3989">
        <w:t xml:space="preserve"> </w:t>
      </w:r>
      <w:r w:rsidR="00814B00">
        <w:t>dental malocclusion</w:t>
      </w:r>
      <w:r w:rsidR="00D5620B" w:rsidRPr="008D1B8B">
        <w:t>.</w:t>
      </w:r>
      <w:bookmarkEnd w:id="25"/>
    </w:p>
    <w:p w:rsidR="000C21A3" w:rsidRPr="00684C0E" w:rsidRDefault="00D32F71" w:rsidP="00C96667">
      <w:pPr>
        <w:pStyle w:val="LV1"/>
      </w:pPr>
      <w:bookmarkStart w:id="26" w:name="_Toc522787309"/>
      <w:bookmarkStart w:id="27" w:name="_Ref402530057"/>
      <w:r>
        <w:t>Relationship to s</w:t>
      </w:r>
      <w:r w:rsidR="000C21A3" w:rsidRPr="00684C0E">
        <w:t>ervice</w:t>
      </w:r>
      <w:bookmarkEnd w:id="26"/>
    </w:p>
    <w:p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7"/>
    <w:p w:rsidR="00CF2367" w:rsidRPr="00187DE1" w:rsidRDefault="00F03C06" w:rsidP="00DF65CF">
      <w:pPr>
        <w:pStyle w:val="LV2"/>
      </w:pPr>
      <w:r w:rsidRPr="00187DE1">
        <w:t>The factor</w:t>
      </w:r>
      <w:r w:rsidR="00FF1D47">
        <w:t>s</w:t>
      </w:r>
      <w:r w:rsidRPr="00187DE1">
        <w:t xml:space="preserve"> set out in </w:t>
      </w:r>
      <w:r w:rsidR="009056AF">
        <w:t>subsections</w:t>
      </w:r>
      <w:r w:rsidR="00FF1D47">
        <w:t xml:space="preserve"> </w:t>
      </w:r>
      <w:r w:rsidR="007959B9">
        <w:t>9</w:t>
      </w:r>
      <w:r w:rsidR="00FF1D47">
        <w:t>(</w:t>
      </w:r>
      <w:r w:rsidR="00814B00">
        <w:t>10</w:t>
      </w:r>
      <w:r w:rsidR="00FF1D47">
        <w:t>)</w:t>
      </w:r>
      <w:r w:rsidR="00181048">
        <w:t xml:space="preserve"> </w:t>
      </w:r>
      <w:r w:rsidR="00814B00">
        <w:t xml:space="preserve">to 9(19) </w:t>
      </w:r>
      <w:r w:rsidRPr="00187DE1">
        <w:t>appl</w:t>
      </w:r>
      <w:r w:rsidR="00FF1D47">
        <w:t>y</w:t>
      </w:r>
      <w:r w:rsidRPr="00187DE1">
        <w:t xml:space="preserve"> only to material contribution to, or aggravation of, </w:t>
      </w:r>
      <w:r w:rsidR="00814B00">
        <w:t>dental malocclusion</w:t>
      </w:r>
      <w:r w:rsidR="007A3989">
        <w:t xml:space="preserve"> </w:t>
      </w:r>
      <w:r w:rsidRPr="00187DE1">
        <w:t>where the person</w:t>
      </w:r>
      <w:r w:rsidR="008721B5">
        <w:t>'</w:t>
      </w:r>
      <w:r w:rsidRPr="00187DE1">
        <w:t xml:space="preserve">s </w:t>
      </w:r>
      <w:r w:rsidR="00814B00">
        <w:t>dental malocclusion</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C96667">
      <w:pPr>
        <w:pStyle w:val="LV1"/>
      </w:pPr>
      <w:bookmarkStart w:id="28" w:name="_Toc522787310"/>
      <w:r w:rsidRPr="00301C54">
        <w:t>Factors referring to an injury or disea</w:t>
      </w:r>
      <w:r w:rsidR="008B2204">
        <w:t>se covered by another Statement</w:t>
      </w:r>
      <w:r w:rsidRPr="00301C54">
        <w:t xml:space="preserve"> of Principles</w:t>
      </w:r>
      <w:bookmarkEnd w:id="28"/>
    </w:p>
    <w:p w:rsidR="00F03C06" w:rsidRPr="00E64EE4" w:rsidRDefault="00F03C06" w:rsidP="00DF65CF">
      <w:pPr>
        <w:pStyle w:val="PlainIndent"/>
      </w:pPr>
      <w:r w:rsidRPr="00E64EE4">
        <w:t>In this Statement of Principles:</w:t>
      </w:r>
    </w:p>
    <w:p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29" w:name="opcAmSched"/>
      <w:bookmarkStart w:id="30" w:name="opcCurrentFind"/>
      <w:bookmarkStart w:id="31" w:name="_Toc52278731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9"/>
      <w:bookmarkEnd w:id="30"/>
      <w:bookmarkEnd w:id="31"/>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2" w:name="_Toc405472918"/>
      <w:bookmarkStart w:id="33" w:name="_Toc522787312"/>
      <w:r w:rsidRPr="00D97BB3">
        <w:t>Definitions</w:t>
      </w:r>
      <w:bookmarkEnd w:id="32"/>
      <w:bookmarkEnd w:id="33"/>
    </w:p>
    <w:p w:rsidR="00702C42" w:rsidRPr="00516768" w:rsidRDefault="00702C42" w:rsidP="00DF65CF">
      <w:pPr>
        <w:pStyle w:val="SH2"/>
      </w:pPr>
      <w:r w:rsidRPr="00516768">
        <w:t>In this instrument:</w:t>
      </w:r>
    </w:p>
    <w:p w:rsidR="00814B00" w:rsidRDefault="00814B00" w:rsidP="00814B00">
      <w:pPr>
        <w:pStyle w:val="SH3"/>
        <w:ind w:left="851" w:hanging="851"/>
      </w:pPr>
      <w:bookmarkStart w:id="34" w:name="_Ref402530810"/>
      <w:proofErr w:type="gramStart"/>
      <w:r>
        <w:rPr>
          <w:b/>
          <w:i/>
        </w:rPr>
        <w:t>dental</w:t>
      </w:r>
      <w:proofErr w:type="gramEnd"/>
      <w:r>
        <w:rPr>
          <w:b/>
          <w:i/>
        </w:rPr>
        <w:t xml:space="preserve"> </w:t>
      </w:r>
      <w:proofErr w:type="spellStart"/>
      <w:r>
        <w:rPr>
          <w:b/>
          <w:i/>
        </w:rPr>
        <w:t>hyperocclusion</w:t>
      </w:r>
      <w:proofErr w:type="spellEnd"/>
      <w:r>
        <w:t xml:space="preserve"> means premature contact between any maxillary and mandibular teeth during oral cavity closure that manifests as bite sensitivity or occlusal trauma.</w:t>
      </w:r>
    </w:p>
    <w:p w:rsidR="00814B00" w:rsidRPr="003A74AA" w:rsidRDefault="00814B00" w:rsidP="00814B00">
      <w:pPr>
        <w:pStyle w:val="SH3"/>
        <w:ind w:left="851" w:hanging="851"/>
        <w:rPr>
          <w:b/>
          <w:i/>
        </w:rPr>
      </w:pPr>
      <w:proofErr w:type="gramStart"/>
      <w:r>
        <w:rPr>
          <w:b/>
          <w:i/>
        </w:rPr>
        <w:t>dental</w:t>
      </w:r>
      <w:proofErr w:type="gramEnd"/>
      <w:r>
        <w:rPr>
          <w:b/>
          <w:i/>
        </w:rPr>
        <w:t xml:space="preserve"> malocclusion</w:t>
      </w:r>
      <w:r w:rsidRPr="003A74AA">
        <w:t>—see subsection 7(2).</w:t>
      </w:r>
    </w:p>
    <w:p w:rsidR="00814B00" w:rsidRDefault="00814B00" w:rsidP="00814B00">
      <w:pPr>
        <w:pStyle w:val="SH3"/>
        <w:ind w:left="851" w:hanging="851"/>
      </w:pPr>
      <w:r w:rsidRPr="007B52F6">
        <w:tab/>
      </w:r>
      <w:proofErr w:type="gramStart"/>
      <w:r w:rsidRPr="00805CD8">
        <w:rPr>
          <w:b/>
          <w:i/>
        </w:rPr>
        <w:t>macroglossia</w:t>
      </w:r>
      <w:proofErr w:type="gramEnd"/>
      <w:r w:rsidRPr="00805CD8">
        <w:t xml:space="preserve"> means excessive size of the tongue.</w:t>
      </w:r>
    </w:p>
    <w:p w:rsidR="00DF070D" w:rsidRPr="00DF070D" w:rsidRDefault="00DF070D" w:rsidP="00814B00">
      <w:pPr>
        <w:pStyle w:val="SH3"/>
        <w:ind w:left="851" w:hanging="851"/>
      </w:pPr>
      <w:proofErr w:type="gramStart"/>
      <w:r w:rsidRPr="00DF070D">
        <w:rPr>
          <w:b/>
          <w:i/>
        </w:rPr>
        <w:t>mandibular</w:t>
      </w:r>
      <w:proofErr w:type="gramEnd"/>
      <w:r w:rsidRPr="00DF070D">
        <w:rPr>
          <w:b/>
          <w:i/>
        </w:rPr>
        <w:t xml:space="preserve"> repositioning appliance</w:t>
      </w:r>
      <w:r w:rsidRPr="00DF070D">
        <w:rPr>
          <w:b/>
        </w:rPr>
        <w:t xml:space="preserve"> </w:t>
      </w:r>
      <w:r w:rsidRPr="00DF070D">
        <w:t>means an oral device that splints the upper airway open mechanically by anterior displacement of the mandible and othe</w:t>
      </w:r>
      <w:r>
        <w:t>r oropharyngeal structures.</w:t>
      </w:r>
    </w:p>
    <w:p w:rsidR="00814B00" w:rsidRPr="002E7AAC" w:rsidRDefault="00814B00" w:rsidP="00814B00">
      <w:pPr>
        <w:pStyle w:val="SH3"/>
        <w:ind w:left="851" w:hanging="851"/>
      </w:pPr>
      <w:proofErr w:type="gramStart"/>
      <w:r w:rsidRPr="002E7AAC">
        <w:rPr>
          <w:b/>
          <w:i/>
        </w:rPr>
        <w:t>maxillofacial</w:t>
      </w:r>
      <w:proofErr w:type="gramEnd"/>
      <w:r w:rsidRPr="002E7AAC">
        <w:rPr>
          <w:b/>
          <w:i/>
        </w:rPr>
        <w:t xml:space="preserve"> disease </w:t>
      </w:r>
      <w:r w:rsidRPr="002E7AAC">
        <w:t xml:space="preserve">means any disease causing distortion of the </w:t>
      </w:r>
      <w:r w:rsidR="008A27CB" w:rsidRPr="002E7AAC">
        <w:t>temporomandibular joint</w:t>
      </w:r>
      <w:r w:rsidR="008A27CB">
        <w:t xml:space="preserve">, </w:t>
      </w:r>
      <w:r w:rsidRPr="002E7AAC">
        <w:t>maxilla</w:t>
      </w:r>
      <w:r w:rsidR="008A27CB">
        <w:t xml:space="preserve"> or</w:t>
      </w:r>
      <w:r w:rsidRPr="002E7AAC">
        <w:t xml:space="preserve"> mandible. </w:t>
      </w:r>
    </w:p>
    <w:p w:rsidR="00814B00" w:rsidRPr="002E7AAC" w:rsidRDefault="00814B00" w:rsidP="00814B00">
      <w:pPr>
        <w:pStyle w:val="ScheduleNote"/>
        <w:ind w:left="1361" w:hanging="510"/>
      </w:pPr>
      <w:r w:rsidRPr="002E7AAC">
        <w:t xml:space="preserve">Note: </w:t>
      </w:r>
      <w:r>
        <w:t xml:space="preserve"> </w:t>
      </w:r>
      <w:r w:rsidRPr="002E7AAC">
        <w:t>Examples of disease</w:t>
      </w:r>
      <w:r w:rsidR="008A27CB">
        <w:t>s</w:t>
      </w:r>
      <w:r>
        <w:t xml:space="preserve"> </w:t>
      </w:r>
      <w:r w:rsidRPr="002E7AAC">
        <w:t>caus</w:t>
      </w:r>
      <w:r>
        <w:t>ing</w:t>
      </w:r>
      <w:r w:rsidRPr="002E7AAC">
        <w:t xml:space="preserve"> distortion of the</w:t>
      </w:r>
      <w:r w:rsidR="008A27CB">
        <w:t xml:space="preserve"> </w:t>
      </w:r>
      <w:r w:rsidR="008A27CB" w:rsidRPr="002E7AAC">
        <w:t>temporomandibular joint</w:t>
      </w:r>
      <w:r w:rsidR="008A27CB">
        <w:t>,</w:t>
      </w:r>
      <w:r w:rsidRPr="002E7AAC">
        <w:t xml:space="preserve"> maxilla</w:t>
      </w:r>
      <w:r w:rsidR="008A27CB">
        <w:t xml:space="preserve"> or</w:t>
      </w:r>
      <w:r w:rsidRPr="002E7AAC">
        <w:t xml:space="preserve"> mandible include</w:t>
      </w:r>
      <w:r>
        <w:t>, but are not limited to</w:t>
      </w:r>
      <w:r w:rsidRPr="002E7AAC">
        <w:t>:</w:t>
      </w:r>
    </w:p>
    <w:p w:rsidR="00814B00" w:rsidRPr="002E7AAC" w:rsidRDefault="00814B00" w:rsidP="00814B00">
      <w:pPr>
        <w:pStyle w:val="SH3"/>
        <w:numPr>
          <w:ilvl w:val="3"/>
          <w:numId w:val="24"/>
        </w:numPr>
        <w:spacing w:before="60"/>
        <w:ind w:left="1418"/>
        <w:rPr>
          <w:sz w:val="18"/>
          <w:szCs w:val="18"/>
        </w:rPr>
      </w:pPr>
      <w:r w:rsidRPr="002E7AAC">
        <w:rPr>
          <w:sz w:val="18"/>
          <w:szCs w:val="18"/>
        </w:rPr>
        <w:t>acromegaly;</w:t>
      </w:r>
    </w:p>
    <w:p w:rsidR="00814B00" w:rsidRPr="002E7AAC" w:rsidRDefault="00814B00" w:rsidP="00814B00">
      <w:pPr>
        <w:pStyle w:val="SH3"/>
        <w:numPr>
          <w:ilvl w:val="3"/>
          <w:numId w:val="24"/>
        </w:numPr>
        <w:spacing w:before="0"/>
        <w:ind w:left="1418"/>
        <w:rPr>
          <w:sz w:val="18"/>
          <w:szCs w:val="18"/>
        </w:rPr>
      </w:pPr>
      <w:r w:rsidRPr="002E7AAC">
        <w:rPr>
          <w:sz w:val="18"/>
          <w:szCs w:val="18"/>
        </w:rPr>
        <w:t>central bony pathology of the jaw;</w:t>
      </w:r>
    </w:p>
    <w:p w:rsidR="00814B00" w:rsidRPr="002E7AAC" w:rsidRDefault="00814B00" w:rsidP="00814B00">
      <w:pPr>
        <w:pStyle w:val="SH3"/>
        <w:numPr>
          <w:ilvl w:val="3"/>
          <w:numId w:val="24"/>
        </w:numPr>
        <w:spacing w:before="0"/>
        <w:ind w:left="1418"/>
        <w:rPr>
          <w:sz w:val="18"/>
          <w:szCs w:val="18"/>
        </w:rPr>
      </w:pPr>
      <w:r w:rsidRPr="002E7AAC">
        <w:rPr>
          <w:sz w:val="18"/>
          <w:szCs w:val="18"/>
        </w:rPr>
        <w:t>condylar hyperplasia;</w:t>
      </w:r>
    </w:p>
    <w:p w:rsidR="00814B00" w:rsidRPr="002E7AAC" w:rsidRDefault="00814B00" w:rsidP="00814B00">
      <w:pPr>
        <w:pStyle w:val="SH3"/>
        <w:numPr>
          <w:ilvl w:val="3"/>
          <w:numId w:val="24"/>
        </w:numPr>
        <w:spacing w:before="0"/>
        <w:ind w:left="1418"/>
        <w:rPr>
          <w:sz w:val="18"/>
          <w:szCs w:val="18"/>
        </w:rPr>
      </w:pPr>
      <w:r w:rsidRPr="002E7AAC">
        <w:rPr>
          <w:sz w:val="18"/>
          <w:szCs w:val="18"/>
        </w:rPr>
        <w:t>infiltration by primary or secondary malignancy;</w:t>
      </w:r>
    </w:p>
    <w:p w:rsidR="00814B00" w:rsidRPr="002E7AAC" w:rsidRDefault="00814B00" w:rsidP="00814B00">
      <w:pPr>
        <w:pStyle w:val="SH3"/>
        <w:numPr>
          <w:ilvl w:val="3"/>
          <w:numId w:val="24"/>
        </w:numPr>
        <w:spacing w:before="0"/>
        <w:ind w:left="1418"/>
        <w:rPr>
          <w:sz w:val="18"/>
          <w:szCs w:val="18"/>
        </w:rPr>
      </w:pPr>
      <w:r w:rsidRPr="002E7AAC">
        <w:rPr>
          <w:sz w:val="18"/>
          <w:szCs w:val="18"/>
        </w:rPr>
        <w:t>osteoarthritis;</w:t>
      </w:r>
    </w:p>
    <w:p w:rsidR="00814B00" w:rsidRPr="002E7AAC" w:rsidRDefault="00814B00" w:rsidP="00814B00">
      <w:pPr>
        <w:pStyle w:val="SH3"/>
        <w:numPr>
          <w:ilvl w:val="3"/>
          <w:numId w:val="24"/>
        </w:numPr>
        <w:spacing w:before="0"/>
        <w:ind w:left="1418"/>
        <w:rPr>
          <w:sz w:val="18"/>
          <w:szCs w:val="18"/>
        </w:rPr>
      </w:pPr>
      <w:r w:rsidRPr="002E7AAC">
        <w:rPr>
          <w:sz w:val="18"/>
          <w:szCs w:val="18"/>
        </w:rPr>
        <w:t>osteonecrosis;</w:t>
      </w:r>
    </w:p>
    <w:p w:rsidR="00814B00" w:rsidRPr="002E7AAC" w:rsidRDefault="00814B00" w:rsidP="00814B00">
      <w:pPr>
        <w:pStyle w:val="SH3"/>
        <w:numPr>
          <w:ilvl w:val="3"/>
          <w:numId w:val="24"/>
        </w:numPr>
        <w:spacing w:before="0"/>
        <w:ind w:left="1418"/>
        <w:rPr>
          <w:sz w:val="18"/>
          <w:szCs w:val="18"/>
        </w:rPr>
      </w:pPr>
      <w:r w:rsidRPr="002E7AAC">
        <w:rPr>
          <w:sz w:val="18"/>
          <w:szCs w:val="18"/>
        </w:rPr>
        <w:t>Paget's disease of bone;</w:t>
      </w:r>
    </w:p>
    <w:p w:rsidR="00814B00" w:rsidRPr="002E7AAC" w:rsidRDefault="00814B00" w:rsidP="00814B00">
      <w:pPr>
        <w:pStyle w:val="SH3"/>
        <w:numPr>
          <w:ilvl w:val="3"/>
          <w:numId w:val="24"/>
        </w:numPr>
        <w:spacing w:before="0"/>
        <w:ind w:left="1418"/>
        <w:rPr>
          <w:sz w:val="18"/>
          <w:szCs w:val="18"/>
        </w:rPr>
      </w:pPr>
      <w:r w:rsidRPr="002E7AAC">
        <w:rPr>
          <w:sz w:val="18"/>
          <w:szCs w:val="18"/>
        </w:rPr>
        <w:t>space-occupying lesion within the temporomandibular joint space or within the bones of the jaw; and</w:t>
      </w:r>
    </w:p>
    <w:p w:rsidR="00814B00" w:rsidRPr="002E7AAC" w:rsidRDefault="00814B00" w:rsidP="00814B00">
      <w:pPr>
        <w:pStyle w:val="SH3"/>
        <w:numPr>
          <w:ilvl w:val="3"/>
          <w:numId w:val="24"/>
        </w:numPr>
        <w:spacing w:before="0"/>
        <w:ind w:left="1418"/>
        <w:rPr>
          <w:sz w:val="18"/>
          <w:szCs w:val="18"/>
        </w:rPr>
      </w:pPr>
      <w:proofErr w:type="gramStart"/>
      <w:r w:rsidRPr="002E7AAC">
        <w:rPr>
          <w:sz w:val="18"/>
          <w:szCs w:val="18"/>
        </w:rPr>
        <w:t>tuberculosis</w:t>
      </w:r>
      <w:proofErr w:type="gramEnd"/>
      <w:r w:rsidRPr="002E7AAC">
        <w:rPr>
          <w:sz w:val="18"/>
          <w:szCs w:val="18"/>
        </w:rPr>
        <w:t>.</w:t>
      </w:r>
    </w:p>
    <w:p w:rsidR="00814B00" w:rsidRPr="009C404D" w:rsidRDefault="00814B00" w:rsidP="00814B00">
      <w:pPr>
        <w:pStyle w:val="SH3"/>
        <w:ind w:left="851" w:hanging="851"/>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bookmarkEnd w:id="34"/>
    <w:p w:rsidR="00814B00" w:rsidRPr="00D47D10" w:rsidRDefault="00814B00" w:rsidP="00814B00">
      <w:pPr>
        <w:pStyle w:val="SH3"/>
        <w:ind w:left="851" w:hanging="851"/>
      </w:pPr>
      <w:proofErr w:type="gramStart"/>
      <w:r w:rsidRPr="00D47D10">
        <w:rPr>
          <w:b/>
          <w:i/>
        </w:rPr>
        <w:t>peripheral</w:t>
      </w:r>
      <w:proofErr w:type="gramEnd"/>
      <w:r w:rsidRPr="00D47D10">
        <w:rPr>
          <w:b/>
          <w:i/>
        </w:rPr>
        <w:t xml:space="preserve"> odontogenic fibroma </w:t>
      </w:r>
      <w:r w:rsidRPr="00D47D10">
        <w:t>means a gingival mass of vascularised fibrous connective tissue with strands of odontogenic epithelium.</w:t>
      </w:r>
    </w:p>
    <w:p w:rsidR="00814B00" w:rsidRPr="00D47D10" w:rsidRDefault="00814B00" w:rsidP="00814B00">
      <w:pPr>
        <w:pStyle w:val="SH3"/>
        <w:ind w:left="851" w:hanging="851"/>
      </w:pPr>
      <w:proofErr w:type="gramStart"/>
      <w:r w:rsidRPr="00D47D10">
        <w:rPr>
          <w:b/>
          <w:i/>
        </w:rPr>
        <w:t>peripheral</w:t>
      </w:r>
      <w:proofErr w:type="gramEnd"/>
      <w:r w:rsidRPr="00D47D10">
        <w:rPr>
          <w:b/>
          <w:i/>
        </w:rPr>
        <w:t xml:space="preserve"> ossifying fibroma </w:t>
      </w:r>
      <w:r w:rsidRPr="00D47D10">
        <w:t>means a gingival fibroma consisting of cellular connective tissue with focal areas of calcification or ossification.</w:t>
      </w:r>
    </w:p>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5"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5"/>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lastRenderedPageBreak/>
        <w:tab/>
      </w:r>
      <w:proofErr w:type="gramStart"/>
      <w:r w:rsidRPr="00513D05">
        <w:t>cessation</w:t>
      </w:r>
      <w:proofErr w:type="gramEnd"/>
      <w:r w:rsidRPr="00513D05">
        <w:t xml:space="preserve"> of brain function.</w:t>
      </w:r>
    </w:p>
    <w:p w:rsidR="00225CBD"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8A27CB" w:rsidRPr="0019084F" w:rsidRDefault="008A27CB" w:rsidP="00984EE9">
      <w:pPr>
        <w:pStyle w:val="SH3"/>
        <w:ind w:left="851" w:hanging="851"/>
      </w:pP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headerReference w:type="first" r:id="rId14"/>
          <w:footerReference w:type="first" r:id="rId15"/>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814B00" w:rsidP="00681215">
          <w:pPr>
            <w:spacing w:line="0" w:lineRule="atLeast"/>
            <w:jc w:val="center"/>
            <w:rPr>
              <w:i/>
              <w:sz w:val="18"/>
              <w:szCs w:val="18"/>
            </w:rPr>
          </w:pPr>
          <w:r>
            <w:rPr>
              <w:bCs/>
              <w:i/>
              <w:sz w:val="18"/>
              <w:szCs w:val="18"/>
              <w:lang w:val="en-US"/>
            </w:rPr>
            <w:t>Dental Malocclusion</w:t>
          </w:r>
          <w:r w:rsidR="00681215">
            <w:rPr>
              <w:i/>
              <w:sz w:val="18"/>
              <w:szCs w:val="18"/>
            </w:rPr>
            <w:t xml:space="preserve"> (Balance of Probabilities) </w:t>
          </w:r>
          <w:r w:rsidR="00681215" w:rsidRPr="007C5CE0">
            <w:rPr>
              <w:i/>
              <w:sz w:val="18"/>
            </w:rPr>
            <w:t xml:space="preserve">(No. </w:t>
          </w:r>
          <w:r w:rsidR="0094264D">
            <w:rPr>
              <w:i/>
              <w:sz w:val="18"/>
            </w:rPr>
            <w:t>20</w:t>
          </w:r>
          <w:r w:rsidR="00681215" w:rsidRPr="007C5CE0">
            <w:rPr>
              <w:i/>
              <w:sz w:val="18"/>
              <w:szCs w:val="18"/>
            </w:rPr>
            <w:t xml:space="preserve"> of </w:t>
          </w:r>
          <w:r>
            <w:rPr>
              <w:i/>
              <w:sz w:val="18"/>
              <w:szCs w:val="18"/>
            </w:rPr>
            <w:t>2019</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7235E">
            <w:rPr>
              <w:i/>
              <w:noProof/>
              <w:sz w:val="18"/>
            </w:rPr>
            <w:t>8</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27235E">
            <w:rPr>
              <w:i/>
              <w:noProof/>
              <w:sz w:val="18"/>
            </w:rPr>
            <w:t>8</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814B00" w:rsidP="00681215">
          <w:pPr>
            <w:spacing w:line="0" w:lineRule="atLeast"/>
            <w:jc w:val="center"/>
            <w:rPr>
              <w:i/>
              <w:sz w:val="18"/>
              <w:szCs w:val="18"/>
            </w:rPr>
          </w:pPr>
          <w:r>
            <w:rPr>
              <w:bCs/>
              <w:i/>
              <w:sz w:val="18"/>
              <w:szCs w:val="18"/>
              <w:lang w:val="en-US"/>
            </w:rPr>
            <w:t>Dental Malocclusion</w:t>
          </w:r>
          <w:r w:rsidR="00681215">
            <w:rPr>
              <w:i/>
              <w:sz w:val="18"/>
              <w:szCs w:val="18"/>
            </w:rPr>
            <w:t xml:space="preserve"> (Balance of Probabilities) </w:t>
          </w:r>
          <w:r w:rsidR="00681215" w:rsidRPr="007C5CE0">
            <w:rPr>
              <w:i/>
              <w:sz w:val="18"/>
            </w:rPr>
            <w:t xml:space="preserve">(No. </w:t>
          </w:r>
          <w:r w:rsidR="0094264D">
            <w:rPr>
              <w:i/>
              <w:sz w:val="18"/>
            </w:rPr>
            <w:t>20</w:t>
          </w:r>
          <w:r w:rsidR="00681215" w:rsidRPr="007C5CE0">
            <w:rPr>
              <w:i/>
              <w:sz w:val="18"/>
              <w:szCs w:val="18"/>
            </w:rPr>
            <w:t xml:space="preserve"> of </w:t>
          </w:r>
          <w:r>
            <w:rPr>
              <w:i/>
              <w:sz w:val="18"/>
              <w:szCs w:val="18"/>
            </w:rPr>
            <w:t>2019</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7235E">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27235E">
            <w:rPr>
              <w:i/>
              <w:noProof/>
              <w:sz w:val="18"/>
            </w:rPr>
            <w:t>8</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CD" w:rsidRPr="00B70FA0" w:rsidRDefault="00AD23CD"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C5D46A4"/>
    <w:multiLevelType w:val="multilevel"/>
    <w:tmpl w:val="82EC2A2C"/>
    <w:lvl w:ilvl="0">
      <w:start w:val="1"/>
      <w:numFmt w:val="decimal"/>
      <w:lvlText w:val="%1"/>
      <w:lvlJc w:val="left"/>
      <w:pPr>
        <w:ind w:left="907" w:hanging="567"/>
      </w:pPr>
      <w:rPr>
        <w:rFonts w:hint="default"/>
      </w:rPr>
    </w:lvl>
    <w:lvl w:ilvl="1">
      <w:start w:val="1"/>
      <w:numFmt w:val="none"/>
      <w:lvlText w:val=""/>
      <w:lvlJc w:val="left"/>
      <w:pPr>
        <w:ind w:left="0" w:firstLine="340"/>
      </w:pPr>
      <w:rPr>
        <w:rFonts w:hint="default"/>
        <w:b w:val="0"/>
        <w:i w:val="0"/>
      </w:rPr>
    </w:lvl>
    <w:lvl w:ilvl="2">
      <w:start w:val="1"/>
      <w:numFmt w:val="lowerLetter"/>
      <w:lvlText w:val="(%3)"/>
      <w:lvlJc w:val="left"/>
      <w:pPr>
        <w:ind w:left="0" w:firstLine="907"/>
      </w:pPr>
      <w:rPr>
        <w:rFonts w:hint="default"/>
        <w:b w:val="0"/>
        <w:i w:val="0"/>
      </w:rPr>
    </w:lvl>
    <w:lvl w:ilvl="3">
      <w:start w:val="1"/>
      <w:numFmt w:val="lowerLetter"/>
      <w:lvlText w:val="(%4)"/>
      <w:lvlJc w:val="left"/>
      <w:pPr>
        <w:ind w:left="1474" w:hanging="567"/>
      </w:pPr>
      <w:rPr>
        <w:rFonts w:hint="default"/>
      </w:rPr>
    </w:lvl>
    <w:lvl w:ilvl="4">
      <w:start w:val="1"/>
      <w:numFmt w:val="lowerRoman"/>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3"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4"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5"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6"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4"/>
  </w:num>
  <w:num w:numId="3">
    <w:abstractNumId w:val="11"/>
  </w:num>
  <w:num w:numId="4">
    <w:abstractNumId w:val="10"/>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3"/>
  </w:num>
  <w:num w:numId="23">
    <w:abstractNumId w:val="17"/>
  </w:num>
  <w:num w:numId="2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40DC"/>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972"/>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235E"/>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0ADE"/>
    <w:rsid w:val="003734C6"/>
    <w:rsid w:val="003802D6"/>
    <w:rsid w:val="00382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6900"/>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212F"/>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14B00"/>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36BE"/>
    <w:rsid w:val="008754D0"/>
    <w:rsid w:val="00877AE3"/>
    <w:rsid w:val="008855C9"/>
    <w:rsid w:val="00885EAB"/>
    <w:rsid w:val="00886456"/>
    <w:rsid w:val="008A27CB"/>
    <w:rsid w:val="008A46E1"/>
    <w:rsid w:val="008A4F43"/>
    <w:rsid w:val="008B2204"/>
    <w:rsid w:val="008B2706"/>
    <w:rsid w:val="008B542F"/>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264D"/>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95256"/>
    <w:rsid w:val="00AA64D6"/>
    <w:rsid w:val="00AA6D8B"/>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070D"/>
    <w:rsid w:val="00DF24DC"/>
    <w:rsid w:val="00DF5291"/>
    <w:rsid w:val="00DF65CF"/>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69D"/>
    <w:rsid w:val="00FB3EF0"/>
    <w:rsid w:val="00FB533A"/>
    <w:rsid w:val="00FD07DF"/>
    <w:rsid w:val="00FD2820"/>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1624</Words>
  <Characters>9263</Characters>
  <Application>Microsoft Office Word</Application>
  <DocSecurity>0</DocSecurity>
  <PresentationFormat/>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2019-02-13T23:43:00Z</dcterms:created>
  <dcterms:modified xsi:type="dcterms:W3CDTF">2019-02-25T23:50:00Z</dcterms:modified>
  <cp:category/>
  <cp:contentStatus/>
  <dc:language/>
  <cp:version/>
</cp:coreProperties>
</file>