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332876" w:rsidP="000D4972">
      <w:pPr>
        <w:pStyle w:val="Plainheader"/>
      </w:pPr>
      <w:r>
        <w:t>IRRITABLE BOWEL SYNDROME</w:t>
      </w:r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F4220C">
        <w:t>66</w:t>
      </w:r>
      <w:bookmarkEnd w:id="0"/>
      <w:r w:rsidRPr="00024911">
        <w:t xml:space="preserve"> of</w:t>
      </w:r>
      <w:r w:rsidR="00085567">
        <w:t xml:space="preserve"> </w:t>
      </w:r>
      <w:r w:rsidR="00244737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B4666">
        <w:t>21</w:t>
      </w:r>
      <w:r w:rsidR="00F4220C">
        <w:t xml:space="preserve"> June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386C10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04589DCE" wp14:editId="67E1B715">
                  <wp:extent cx="2466975" cy="5334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F4220C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F4220C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332876">
      <w:pPr>
        <w:pStyle w:val="LV1"/>
      </w:pPr>
      <w:bookmarkStart w:id="2" w:name="_Toc522787300"/>
      <w:r>
        <w:lastRenderedPageBreak/>
        <w:t>Name</w:t>
      </w:r>
      <w:bookmarkEnd w:id="2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332876">
        <w:rPr>
          <w:i/>
        </w:rPr>
        <w:t>irritable bowel syndrome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F4220C">
        <w:t>66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44737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332876">
      <w:pPr>
        <w:pStyle w:val="LV1"/>
      </w:pPr>
      <w:bookmarkStart w:id="4" w:name="_Toc522787301"/>
      <w:r w:rsidRPr="00684C0E">
        <w:t>Commencement</w:t>
      </w:r>
      <w:bookmarkEnd w:id="4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4220C">
        <w:t>22 July 2019</w:t>
      </w:r>
      <w:r w:rsidR="00F67B67" w:rsidRPr="007527C1">
        <w:t>.</w:t>
      </w:r>
    </w:p>
    <w:p w:rsidR="00F67B67" w:rsidRPr="00684C0E" w:rsidRDefault="00F67B67" w:rsidP="00332876">
      <w:pPr>
        <w:pStyle w:val="LV1"/>
      </w:pPr>
      <w:bookmarkStart w:id="5" w:name="_Toc522787302"/>
      <w:r w:rsidRPr="00684C0E">
        <w:t>Authority</w:t>
      </w:r>
      <w:bookmarkEnd w:id="5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332876">
      <w:pPr>
        <w:pStyle w:val="LV1"/>
      </w:pPr>
      <w:bookmarkStart w:id="6" w:name="_Toc522787303"/>
      <w:r>
        <w:t>Re</w:t>
      </w:r>
      <w:r w:rsidR="00CB7412">
        <w:t>peal</w:t>
      </w:r>
      <w:bookmarkEnd w:id="6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32876">
        <w:t>irritable bowel syndrome</w:t>
      </w:r>
      <w:r w:rsidRPr="00DA3996">
        <w:t xml:space="preserve"> No. </w:t>
      </w:r>
      <w:r w:rsidR="00217C85">
        <w:t>28</w:t>
      </w:r>
      <w:r w:rsidRPr="00DA3996">
        <w:t xml:space="preserve"> of </w:t>
      </w:r>
      <w:r w:rsidR="00217C85">
        <w:t>2011</w:t>
      </w:r>
      <w:r>
        <w:t xml:space="preserve"> </w:t>
      </w:r>
      <w:r w:rsidRPr="00786DAE">
        <w:t xml:space="preserve">(Federal Register of Legislation No. </w:t>
      </w:r>
      <w:r w:rsidR="00217C85" w:rsidRPr="00217C85">
        <w:t>F2011L00766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332876">
      <w:pPr>
        <w:pStyle w:val="LV1"/>
      </w:pPr>
      <w:bookmarkStart w:id="7" w:name="_Toc522787304"/>
      <w:r w:rsidRPr="00684C0E">
        <w:t>Application</w:t>
      </w:r>
      <w:bookmarkEnd w:id="7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332876">
      <w:pPr>
        <w:pStyle w:val="LV1"/>
      </w:pPr>
      <w:bookmarkStart w:id="8" w:name="_Ref410129949"/>
      <w:bookmarkStart w:id="9" w:name="_Toc522787305"/>
      <w:r w:rsidRPr="00684C0E">
        <w:t>Definitions</w:t>
      </w:r>
      <w:bookmarkEnd w:id="8"/>
      <w:bookmarkEnd w:id="9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332876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DF65CF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332876">
        <w:t>irritable bowel syndrome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32876">
        <w:t>irritable bowel syndrome</w:t>
      </w:r>
      <w:r w:rsidRPr="00D5620B">
        <w:t>.</w:t>
      </w:r>
      <w:bookmarkEnd w:id="14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332876">
        <w:rPr>
          <w:b/>
        </w:rPr>
        <w:t>irritable bowel syndrome</w:t>
      </w:r>
    </w:p>
    <w:p w:rsidR="000D4972" w:rsidRPr="00217C85" w:rsidRDefault="000D4972" w:rsidP="000D4972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Pr="002F77A1">
        <w:t xml:space="preserve"> </w:t>
      </w:r>
      <w:r w:rsidR="00332876">
        <w:t xml:space="preserve">irritable bowel </w:t>
      </w:r>
      <w:r w:rsidR="00332876" w:rsidRPr="00217C85">
        <w:t>syndrome</w:t>
      </w:r>
      <w:r w:rsidR="00217C85" w:rsidRPr="00217C85">
        <w:t xml:space="preserve"> means </w:t>
      </w:r>
      <w:r w:rsidR="00217C85" w:rsidRPr="00217C85">
        <w:rPr>
          <w:lang w:val="en"/>
        </w:rPr>
        <w:t>recurrent abdominal pain occurring on average at least one day per week for at least three months, where the pain is associated with two or more of the following</w:t>
      </w:r>
      <w:r w:rsidRPr="00217C85">
        <w:t>:</w:t>
      </w:r>
      <w:bookmarkEnd w:id="15"/>
    </w:p>
    <w:bookmarkEnd w:id="16"/>
    <w:p w:rsidR="00217C85" w:rsidRPr="00C43905" w:rsidRDefault="00217C85" w:rsidP="00217C85">
      <w:pPr>
        <w:pStyle w:val="LV3"/>
        <w:ind w:left="1985"/>
      </w:pPr>
      <w:r w:rsidRPr="00C43905">
        <w:t>def</w:t>
      </w:r>
      <w:r>
        <w:t>a</w:t>
      </w:r>
      <w:r w:rsidRPr="00C43905">
        <w:t>ecation;</w:t>
      </w:r>
    </w:p>
    <w:p w:rsidR="00217C85" w:rsidRPr="00C43905" w:rsidRDefault="00217C85" w:rsidP="00217C85">
      <w:pPr>
        <w:pStyle w:val="LV3"/>
        <w:ind w:left="1985"/>
      </w:pPr>
      <w:r w:rsidRPr="00C43905">
        <w:t>a change in the frequency of stool; or</w:t>
      </w:r>
    </w:p>
    <w:p w:rsidR="00217C85" w:rsidRDefault="00217C85" w:rsidP="00217C85">
      <w:pPr>
        <w:pStyle w:val="LV3"/>
        <w:ind w:left="1985"/>
      </w:pPr>
      <w:r w:rsidRPr="00C43905">
        <w:t xml:space="preserve">a change in </w:t>
      </w:r>
      <w:r>
        <w:t>the form (appearance) of stool;</w:t>
      </w:r>
    </w:p>
    <w:p w:rsidR="00217C85" w:rsidRPr="00C43905" w:rsidRDefault="00217C85" w:rsidP="00217C85">
      <w:pPr>
        <w:pStyle w:val="LV3"/>
        <w:numPr>
          <w:ilvl w:val="0"/>
          <w:numId w:val="0"/>
        </w:numPr>
        <w:ind w:left="1418"/>
        <w:contextualSpacing w:val="0"/>
      </w:pPr>
      <w:proofErr w:type="gramStart"/>
      <w:r>
        <w:t>with</w:t>
      </w:r>
      <w:proofErr w:type="gramEnd"/>
      <w:r>
        <w:t xml:space="preserve"> the symptom onset at least six months prior to the diagnosis.</w:t>
      </w:r>
    </w:p>
    <w:p w:rsidR="008F572A" w:rsidRPr="00237BAF" w:rsidRDefault="000D4972" w:rsidP="000D4972">
      <w:pPr>
        <w:pStyle w:val="LV2"/>
      </w:pPr>
      <w:r w:rsidRPr="00237BAF">
        <w:t xml:space="preserve">While </w:t>
      </w:r>
      <w:r w:rsidR="00332876">
        <w:t>irritable bowel syndrome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217C85">
        <w:t>K58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332876">
        <w:t>irritable bowel syndrome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332876">
        <w:rPr>
          <w:b/>
        </w:rPr>
        <w:t>irritable bowel syndrome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32876">
        <w:t>irritable bowel syndrome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</w:t>
      </w:r>
      <w:proofErr w:type="gramStart"/>
      <w:r w:rsidRPr="00237BAF">
        <w:t>was contributed</w:t>
      </w:r>
      <w:proofErr w:type="gramEnd"/>
      <w:r w:rsidRPr="00237BAF">
        <w:t xml:space="preserve">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332876">
        <w:t>irritable bowel syndrome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proofErr w:type="gramStart"/>
      <w:r w:rsidR="002716E4" w:rsidRPr="00046E67">
        <w:t>is defined</w:t>
      </w:r>
      <w:proofErr w:type="gramEnd"/>
      <w:r w:rsidR="002716E4" w:rsidRPr="00046E67">
        <w:t xml:space="preserve">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332876">
      <w:pPr>
        <w:pStyle w:val="LV1"/>
      </w:pPr>
      <w:bookmarkStart w:id="17" w:name="_Toc522787307"/>
      <w:r w:rsidRPr="00A20CA1">
        <w:t>Basis for determining the factors</w:t>
      </w:r>
      <w:bookmarkEnd w:id="17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332876">
        <w:t>irritable bowel syndrome</w:t>
      </w:r>
      <w:r w:rsidR="007A3989">
        <w:t xml:space="preserve"> </w:t>
      </w:r>
      <w:r w:rsidRPr="00D5620B">
        <w:t xml:space="preserve">and </w:t>
      </w:r>
      <w:proofErr w:type="gramStart"/>
      <w:r w:rsidRPr="00D5620B">
        <w:t>death from</w:t>
      </w:r>
      <w:r w:rsidR="007A3989">
        <w:t xml:space="preserve"> </w:t>
      </w:r>
      <w:r w:rsidR="00332876">
        <w:t>irritable bowel syndrome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proofErr w:type="gramEnd"/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</w:t>
      </w:r>
      <w:proofErr w:type="gramStart"/>
      <w:r>
        <w:t>are</w:t>
      </w:r>
      <w:r w:rsidRPr="00046E67">
        <w:t xml:space="preserve"> defined</w:t>
      </w:r>
      <w:proofErr w:type="gramEnd"/>
      <w:r w:rsidRPr="00046E67">
        <w:t xml:space="preserve">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332876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22787308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DF65CF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</w:t>
      </w:r>
      <w:proofErr w:type="gramStart"/>
      <w:r w:rsidR="007C7DEE" w:rsidRPr="00AA6D8B">
        <w:t>can be said</w:t>
      </w:r>
      <w:proofErr w:type="gramEnd"/>
      <w:r w:rsidR="007C7DEE" w:rsidRPr="00AA6D8B">
        <w:t xml:space="preserve"> that, on the </w:t>
      </w:r>
      <w:r w:rsidR="007C7DEE" w:rsidRPr="00187DE1">
        <w:t>balance</w:t>
      </w:r>
      <w:r w:rsidR="007C7DEE" w:rsidRPr="00AA6D8B">
        <w:t xml:space="preserve"> of probabilities, </w:t>
      </w:r>
      <w:r w:rsidR="00332876">
        <w:t>irritable bowel syndrome</w:t>
      </w:r>
      <w:r w:rsidR="007A3989">
        <w:t xml:space="preserve"> </w:t>
      </w:r>
      <w:r w:rsidR="007C7DEE" w:rsidRPr="00AA6D8B">
        <w:t xml:space="preserve">or death from </w:t>
      </w:r>
      <w:r w:rsidR="00332876">
        <w:t>irritable bowel syndrome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69523D" w:rsidRPr="008D1B8B" w:rsidRDefault="0069523D" w:rsidP="0069523D">
      <w:pPr>
        <w:pStyle w:val="LV2"/>
        <w:numPr>
          <w:ilvl w:val="1"/>
          <w:numId w:val="4"/>
        </w:numPr>
        <w:ind w:left="1418"/>
      </w:pPr>
      <w:bookmarkStart w:id="23" w:name="_Ref402530260"/>
      <w:bookmarkStart w:id="24" w:name="_Ref409598844"/>
      <w:r>
        <w:t xml:space="preserve">having a clinically significant disorder of mental health as specified within the six months before the clinical onset of </w:t>
      </w:r>
      <w:r w:rsidRPr="007B2A35">
        <w:rPr>
          <w:lang w:val="en-US"/>
        </w:rPr>
        <w:t>irritable bowel syndrome</w:t>
      </w:r>
      <w:r>
        <w:t>;</w:t>
      </w:r>
    </w:p>
    <w:p w:rsidR="0069523D" w:rsidRPr="00046E67" w:rsidRDefault="0069523D" w:rsidP="0069523D">
      <w:pPr>
        <w:pStyle w:val="Note2"/>
      </w:pPr>
      <w:r>
        <w:t xml:space="preserve">Note:  </w:t>
      </w:r>
      <w:r>
        <w:rPr>
          <w:b/>
          <w:i/>
        </w:rPr>
        <w:t>clinically significant disorder of mental health as specified</w:t>
      </w:r>
      <w:r w:rsidRPr="00046E67">
        <w:t xml:space="preserve"> </w:t>
      </w:r>
      <w:proofErr w:type="gramStart"/>
      <w:r w:rsidRPr="00046E67">
        <w:t>is defined</w:t>
      </w:r>
      <w:proofErr w:type="gramEnd"/>
      <w:r w:rsidRPr="00046E67">
        <w:t xml:space="preserve">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69523D" w:rsidRPr="008D5427" w:rsidRDefault="0069523D" w:rsidP="0069523D">
      <w:pPr>
        <w:pStyle w:val="LV2"/>
        <w:numPr>
          <w:ilvl w:val="1"/>
          <w:numId w:val="4"/>
        </w:numPr>
        <w:ind w:left="1418"/>
      </w:pPr>
      <w:r w:rsidRPr="008D5427">
        <w:t xml:space="preserve">having an episode of severe diarrhoea within the </w:t>
      </w:r>
      <w:r w:rsidR="00413CAB">
        <w:t>three</w:t>
      </w:r>
      <w:r w:rsidRPr="008D5427">
        <w:t xml:space="preserve"> months before the clinical onset of irritable bowel syndrome;</w:t>
      </w:r>
    </w:p>
    <w:p w:rsidR="0069523D" w:rsidRDefault="0069523D" w:rsidP="0069523D">
      <w:pPr>
        <w:pStyle w:val="Note2"/>
      </w:pPr>
      <w:r>
        <w:t xml:space="preserve">Note:  </w:t>
      </w:r>
      <w:r w:rsidRPr="00A840ED">
        <w:rPr>
          <w:b/>
          <w:i/>
        </w:rPr>
        <w:t>episode of severe diarrhoea</w:t>
      </w:r>
      <w:r w:rsidRPr="00046E67">
        <w:t xml:space="preserve"> </w:t>
      </w:r>
      <w:proofErr w:type="gramStart"/>
      <w:r w:rsidRPr="00046E67">
        <w:t>is defined</w:t>
      </w:r>
      <w:proofErr w:type="gramEnd"/>
      <w:r w:rsidRPr="00046E67">
        <w:t xml:space="preserve">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69523D" w:rsidRDefault="0069523D" w:rsidP="0069523D">
      <w:pPr>
        <w:pStyle w:val="LV2"/>
        <w:numPr>
          <w:ilvl w:val="1"/>
          <w:numId w:val="4"/>
        </w:numPr>
        <w:ind w:left="1418"/>
      </w:pPr>
      <w:r>
        <w:t>experiencing severe childhood abuse before the clinical onset of irritable bowel syndrome;</w:t>
      </w:r>
    </w:p>
    <w:p w:rsidR="004721EE" w:rsidRDefault="004721EE" w:rsidP="004721EE">
      <w:pPr>
        <w:pStyle w:val="Note2"/>
      </w:pPr>
      <w:r>
        <w:t xml:space="preserve">Note:  </w:t>
      </w:r>
      <w:r>
        <w:rPr>
          <w:b/>
          <w:i/>
        </w:rPr>
        <w:t>severe childhood abuse</w:t>
      </w:r>
      <w:r w:rsidRPr="00046E67">
        <w:t xml:space="preserve"> </w:t>
      </w:r>
      <w:proofErr w:type="gramStart"/>
      <w:r w:rsidRPr="00046E67">
        <w:t>is defined</w:t>
      </w:r>
      <w:proofErr w:type="gramEnd"/>
      <w:r w:rsidRPr="00046E67">
        <w:t xml:space="preserve"> in the </w:t>
      </w:r>
      <w:r>
        <w:t>Schedule 1 - </w:t>
      </w:r>
      <w:r w:rsidRPr="002717B2">
        <w:t>Dictionary</w:t>
      </w:r>
      <w:r w:rsidRPr="00046E67">
        <w:t>.</w:t>
      </w:r>
    </w:p>
    <w:p w:rsidR="0069523D" w:rsidRPr="008D1B8B" w:rsidRDefault="0069523D" w:rsidP="004721EE">
      <w:pPr>
        <w:pStyle w:val="LV2"/>
        <w:numPr>
          <w:ilvl w:val="1"/>
          <w:numId w:val="4"/>
        </w:numPr>
        <w:ind w:left="1418"/>
      </w:pPr>
      <w:r>
        <w:t xml:space="preserve">having a clinically significant disorder of mental health as specified within the six months before the clinical worsening of </w:t>
      </w:r>
      <w:r w:rsidRPr="007B2A35">
        <w:rPr>
          <w:lang w:val="en-US"/>
        </w:rPr>
        <w:t>irritable bowel syndrome</w:t>
      </w:r>
      <w:r>
        <w:t>;</w:t>
      </w:r>
    </w:p>
    <w:p w:rsidR="0069523D" w:rsidRPr="00046E67" w:rsidRDefault="0069523D" w:rsidP="0069523D">
      <w:pPr>
        <w:pStyle w:val="Note2"/>
      </w:pPr>
      <w:r>
        <w:t xml:space="preserve">Note:  </w:t>
      </w:r>
      <w:r>
        <w:rPr>
          <w:b/>
          <w:i/>
        </w:rPr>
        <w:t>clinically significant disorder of mental health as specified</w:t>
      </w:r>
      <w:r w:rsidRPr="00046E67">
        <w:t xml:space="preserve"> </w:t>
      </w:r>
      <w:proofErr w:type="gramStart"/>
      <w:r w:rsidRPr="00046E67">
        <w:t>is defined</w:t>
      </w:r>
      <w:proofErr w:type="gramEnd"/>
      <w:r w:rsidRPr="00046E67">
        <w:t xml:space="preserve">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69523D" w:rsidRPr="008D5427" w:rsidRDefault="0069523D" w:rsidP="0069523D">
      <w:pPr>
        <w:pStyle w:val="LV2"/>
        <w:numPr>
          <w:ilvl w:val="1"/>
          <w:numId w:val="4"/>
        </w:numPr>
        <w:ind w:left="1418"/>
      </w:pPr>
      <w:r w:rsidRPr="008D5427">
        <w:lastRenderedPageBreak/>
        <w:t xml:space="preserve">having an episode of severe diarrhoea within the </w:t>
      </w:r>
      <w:r w:rsidR="00413CAB">
        <w:t>three</w:t>
      </w:r>
      <w:r w:rsidRPr="008D5427">
        <w:t xml:space="preserve"> months before the clinical worsening of irritable bowel syndrome;</w:t>
      </w:r>
    </w:p>
    <w:p w:rsidR="0069523D" w:rsidRDefault="0069523D" w:rsidP="0069523D">
      <w:pPr>
        <w:pStyle w:val="Note2"/>
      </w:pPr>
      <w:r>
        <w:t xml:space="preserve">Note:  </w:t>
      </w:r>
      <w:r w:rsidRPr="00A840ED">
        <w:rPr>
          <w:b/>
          <w:i/>
        </w:rPr>
        <w:t>episode of severe diarrhoea</w:t>
      </w:r>
      <w:r w:rsidRPr="00046E67">
        <w:t xml:space="preserve"> </w:t>
      </w:r>
      <w:proofErr w:type="gramStart"/>
      <w:r w:rsidRPr="00046E67">
        <w:t>is defined</w:t>
      </w:r>
      <w:proofErr w:type="gramEnd"/>
      <w:r w:rsidRPr="00046E67">
        <w:t xml:space="preserve">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3"/>
      <w:r w:rsidR="007A3989">
        <w:t xml:space="preserve"> </w:t>
      </w:r>
      <w:r w:rsidR="00332876">
        <w:t>irritable bowel syndrome</w:t>
      </w:r>
      <w:r w:rsidR="00D5620B" w:rsidRPr="008D1B8B">
        <w:t>.</w:t>
      </w:r>
      <w:bookmarkEnd w:id="24"/>
    </w:p>
    <w:p w:rsidR="000C21A3" w:rsidRPr="00684C0E" w:rsidRDefault="00D32F71" w:rsidP="00332876">
      <w:pPr>
        <w:pStyle w:val="LV1"/>
      </w:pPr>
      <w:bookmarkStart w:id="25" w:name="_Toc522787309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proofErr w:type="gramStart"/>
      <w:r w:rsidR="007959B9">
        <w:t>9</w:t>
      </w:r>
      <w:r w:rsidRPr="00187DE1">
        <w:t>,</w:t>
      </w:r>
      <w:proofErr w:type="gramEnd"/>
      <w:r w:rsidRPr="00187DE1">
        <w:t xml:space="preserve"> must be related to the relevant service rendered by the person.</w:t>
      </w:r>
    </w:p>
    <w:bookmarkEnd w:id="26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413CAB">
        <w:t>4</w:t>
      </w:r>
      <w:r w:rsidR="00FF1D47">
        <w:t>)</w:t>
      </w:r>
      <w:r w:rsidR="00181048">
        <w:t xml:space="preserve"> </w:t>
      </w:r>
      <w:r w:rsidR="00413CAB">
        <w:t xml:space="preserve">to 9(6)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332876">
        <w:t>irritable bowel syndrome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332876">
        <w:t>irritable bowel syndrome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332876">
      <w:pPr>
        <w:pStyle w:val="LV1"/>
      </w:pPr>
      <w:bookmarkStart w:id="27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proofErr w:type="gramStart"/>
      <w:r w:rsidRPr="003F39C0">
        <w:t>Note:</w:t>
      </w:r>
      <w:proofErr w:type="gramEnd"/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522787312"/>
      <w:r w:rsidRPr="00D97BB3">
        <w:t>Definitions</w:t>
      </w:r>
      <w:bookmarkEnd w:id="31"/>
      <w:bookmarkEnd w:id="32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217C85" w:rsidRDefault="00217C85" w:rsidP="00217C85">
      <w:pPr>
        <w:pStyle w:val="SH3"/>
        <w:ind w:left="851" w:hanging="851"/>
      </w:pPr>
      <w:bookmarkStart w:id="33" w:name="_Ref402530810"/>
      <w:r w:rsidRPr="001F350E">
        <w:rPr>
          <w:b/>
          <w:i/>
        </w:rPr>
        <w:t>clinically significant disorder of mental health as specified</w:t>
      </w:r>
      <w:r w:rsidRPr="001F350E">
        <w:t xml:space="preserve"> means one of the following conditions, which is of sufficient severity to warrant ongoing management:</w:t>
      </w:r>
    </w:p>
    <w:p w:rsidR="00217C85" w:rsidRPr="00217C85" w:rsidRDefault="00217C85" w:rsidP="00217C85">
      <w:pPr>
        <w:pStyle w:val="SH4"/>
        <w:ind w:left="1418"/>
      </w:pPr>
      <w:r w:rsidRPr="00217C85">
        <w:t>agoraphobia;</w:t>
      </w:r>
    </w:p>
    <w:p w:rsidR="00217C85" w:rsidRPr="00217C85" w:rsidRDefault="00217C85" w:rsidP="00217C85">
      <w:pPr>
        <w:pStyle w:val="SH4"/>
        <w:ind w:left="1418"/>
      </w:pPr>
      <w:r w:rsidRPr="00217C85">
        <w:t xml:space="preserve">alcohol use disorder; </w:t>
      </w:r>
    </w:p>
    <w:p w:rsidR="00217C85" w:rsidRPr="00217C85" w:rsidRDefault="00217C85" w:rsidP="00217C85">
      <w:pPr>
        <w:pStyle w:val="SH4"/>
        <w:ind w:left="1418"/>
      </w:pPr>
      <w:r w:rsidRPr="00217C85">
        <w:t xml:space="preserve">anxiety disorder; </w:t>
      </w:r>
    </w:p>
    <w:p w:rsidR="00217C85" w:rsidRPr="00217C85" w:rsidRDefault="00217C85" w:rsidP="00217C85">
      <w:pPr>
        <w:pStyle w:val="SH4"/>
        <w:ind w:left="1418"/>
      </w:pPr>
      <w:r w:rsidRPr="00217C85">
        <w:t>bipolar disorder;</w:t>
      </w:r>
    </w:p>
    <w:p w:rsidR="00217C85" w:rsidRPr="00217C85" w:rsidRDefault="00217C85" w:rsidP="00217C85">
      <w:pPr>
        <w:pStyle w:val="SH4"/>
        <w:ind w:left="1418"/>
      </w:pPr>
      <w:r w:rsidRPr="00217C85">
        <w:t>depressive disorder;</w:t>
      </w:r>
    </w:p>
    <w:p w:rsidR="00217C85" w:rsidRPr="00217C85" w:rsidRDefault="00217C85" w:rsidP="00217C85">
      <w:pPr>
        <w:pStyle w:val="SH4"/>
        <w:ind w:left="1418"/>
      </w:pPr>
      <w:r w:rsidRPr="00217C85">
        <w:t>eating disorder;</w:t>
      </w:r>
    </w:p>
    <w:p w:rsidR="00217C85" w:rsidRPr="00217C85" w:rsidRDefault="00217C85" w:rsidP="00217C85">
      <w:pPr>
        <w:pStyle w:val="SH4"/>
        <w:ind w:left="1418"/>
      </w:pPr>
      <w:r w:rsidRPr="00217C85">
        <w:t>obsessive compulsive disorder;</w:t>
      </w:r>
    </w:p>
    <w:p w:rsidR="00217C85" w:rsidRPr="00217C85" w:rsidRDefault="00217C85" w:rsidP="00217C85">
      <w:pPr>
        <w:pStyle w:val="SH4"/>
        <w:ind w:left="1418"/>
      </w:pPr>
      <w:r w:rsidRPr="00217C85">
        <w:t>panic disorder; or</w:t>
      </w:r>
    </w:p>
    <w:p w:rsidR="00217C85" w:rsidRPr="00217C85" w:rsidRDefault="00217C85" w:rsidP="00217C85">
      <w:pPr>
        <w:pStyle w:val="SH4"/>
        <w:ind w:left="1418"/>
      </w:pPr>
      <w:proofErr w:type="gramStart"/>
      <w:r w:rsidRPr="00217C85">
        <w:t>posttraumatic</w:t>
      </w:r>
      <w:proofErr w:type="gramEnd"/>
      <w:r w:rsidRPr="00217C85">
        <w:t xml:space="preserve"> stress disorder.</w:t>
      </w:r>
    </w:p>
    <w:p w:rsidR="00217C85" w:rsidRPr="00217C85" w:rsidRDefault="00217C85" w:rsidP="00217C85">
      <w:pPr>
        <w:pStyle w:val="ScheduleNote"/>
        <w:ind w:left="1475" w:hanging="624"/>
      </w:pPr>
      <w:r w:rsidRPr="00217C85">
        <w:t>Note 1:</w:t>
      </w:r>
      <w:r>
        <w:t xml:space="preserve">  </w:t>
      </w:r>
      <w:r w:rsidRPr="00217C85">
        <w:t>Management of the condition may involve regular visits (for example, at least monthly) to a psychiatrist, counsellor or general practitioner.</w:t>
      </w:r>
    </w:p>
    <w:p w:rsidR="00217C85" w:rsidRPr="00217C85" w:rsidRDefault="00217C85" w:rsidP="00217C85">
      <w:pPr>
        <w:pStyle w:val="ScheduleNote"/>
        <w:ind w:left="1475" w:hanging="624"/>
      </w:pPr>
      <w:r w:rsidRPr="00217C85">
        <w:t>Note 2:</w:t>
      </w:r>
      <w:r>
        <w:t xml:space="preserve">  </w:t>
      </w:r>
      <w:r w:rsidRPr="00217C85">
        <w:t xml:space="preserve">To warrant ongoing management does not require that any actual management </w:t>
      </w:r>
      <w:proofErr w:type="gramStart"/>
      <w:r w:rsidRPr="00217C85">
        <w:t>was received or given for the condition</w:t>
      </w:r>
      <w:proofErr w:type="gramEnd"/>
      <w:r w:rsidRPr="00217C85">
        <w:t>.</w:t>
      </w:r>
    </w:p>
    <w:p w:rsidR="00413CAB" w:rsidRDefault="00413CAB" w:rsidP="00413CAB">
      <w:pPr>
        <w:pStyle w:val="SH3"/>
        <w:ind w:left="851" w:hanging="851"/>
      </w:pPr>
      <w:proofErr w:type="gramStart"/>
      <w:r w:rsidRPr="00A840ED">
        <w:rPr>
          <w:b/>
          <w:i/>
        </w:rPr>
        <w:t>episode</w:t>
      </w:r>
      <w:proofErr w:type="gramEnd"/>
      <w:r w:rsidRPr="00A840ED">
        <w:rPr>
          <w:b/>
          <w:i/>
        </w:rPr>
        <w:t xml:space="preserve"> of severe diarrhoea</w:t>
      </w:r>
      <w:r w:rsidRPr="00A840ED">
        <w:rPr>
          <w:b/>
        </w:rPr>
        <w:t xml:space="preserve"> </w:t>
      </w:r>
      <w:r w:rsidRPr="00A840ED">
        <w:t>means an acute illness characterised by the passage of frequent</w:t>
      </w:r>
      <w:r w:rsidR="00430E97">
        <w:t>,</w:t>
      </w:r>
      <w:r w:rsidRPr="00A840ED">
        <w:t xml:space="preserve"> loose</w:t>
      </w:r>
      <w:r w:rsidR="00430E97">
        <w:t>,</w:t>
      </w:r>
      <w:r w:rsidRPr="00A840ED">
        <w:t xml:space="preserve"> watery motions assessed as being caused by an infective organism, and of sufficient severity to warrant medical attention, or in the absence of medical intervention, lasting at least four days</w:t>
      </w:r>
      <w:r>
        <w:t>.</w:t>
      </w:r>
    </w:p>
    <w:p w:rsidR="00413CAB" w:rsidRPr="00413CAB" w:rsidRDefault="00413CAB" w:rsidP="00413CAB">
      <w:pPr>
        <w:pStyle w:val="SH3"/>
        <w:numPr>
          <w:ilvl w:val="1"/>
          <w:numId w:val="5"/>
        </w:numPr>
        <w:ind w:left="851" w:hanging="511"/>
      </w:pPr>
      <w:proofErr w:type="gramStart"/>
      <w:r>
        <w:rPr>
          <w:b/>
          <w:i/>
        </w:rPr>
        <w:t>irritable</w:t>
      </w:r>
      <w:proofErr w:type="gramEnd"/>
      <w:r>
        <w:rPr>
          <w:b/>
          <w:i/>
        </w:rPr>
        <w:t xml:space="preserve"> bowel syndrome</w:t>
      </w:r>
      <w:r w:rsidRPr="00413CAB">
        <w:t>—see subsection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3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</w:t>
      </w:r>
      <w:proofErr w:type="gramStart"/>
      <w:r w:rsidRPr="00F52BA4">
        <w:t>are also defined</w:t>
      </w:r>
      <w:proofErr w:type="gramEnd"/>
      <w:r w:rsidRPr="00F52BA4">
        <w:t xml:space="preserve"> in the Schedule 1 - Dictionary.</w:t>
      </w:r>
    </w:p>
    <w:p w:rsidR="00413CAB" w:rsidRPr="00F603B6" w:rsidRDefault="00413CAB" w:rsidP="00413CAB">
      <w:pPr>
        <w:pStyle w:val="SH3"/>
        <w:numPr>
          <w:ilvl w:val="1"/>
          <w:numId w:val="5"/>
        </w:numPr>
        <w:ind w:left="851" w:hanging="511"/>
      </w:pPr>
      <w:r w:rsidRPr="00F603B6">
        <w:rPr>
          <w:b/>
          <w:i/>
        </w:rPr>
        <w:t>severe childhood abuse</w:t>
      </w:r>
      <w:r w:rsidRPr="00F603B6">
        <w:t xml:space="preserve"> means:</w:t>
      </w:r>
    </w:p>
    <w:p w:rsidR="00413CAB" w:rsidRPr="00031D95" w:rsidRDefault="00413CAB" w:rsidP="00F4220C">
      <w:pPr>
        <w:pStyle w:val="SH4"/>
        <w:numPr>
          <w:ilvl w:val="3"/>
          <w:numId w:val="30"/>
        </w:numPr>
        <w:spacing w:after="120"/>
        <w:ind w:left="1418"/>
      </w:pPr>
      <w:r w:rsidRPr="00031D95">
        <w:t xml:space="preserve">serious physical, emotional, psychological or sexual harm whilst a child aged under 16 </w:t>
      </w:r>
      <w:r w:rsidR="00FC394D">
        <w:t>year</w:t>
      </w:r>
      <w:r w:rsidRPr="00031D95">
        <w:t>s; or</w:t>
      </w:r>
    </w:p>
    <w:p w:rsidR="00413CAB" w:rsidRPr="00031D95" w:rsidRDefault="00413CAB" w:rsidP="00F4220C">
      <w:pPr>
        <w:pStyle w:val="SH4"/>
        <w:numPr>
          <w:ilvl w:val="3"/>
          <w:numId w:val="30"/>
        </w:numPr>
        <w:spacing w:after="120"/>
        <w:ind w:left="1418"/>
      </w:pPr>
      <w:r w:rsidRPr="00031D95">
        <w:t xml:space="preserve">neglect involving a serious failure to provide the necessities for health, physical and emotional development, or wellbeing whilst a child aged under 16 </w:t>
      </w:r>
      <w:r w:rsidR="00FC394D">
        <w:t>year</w:t>
      </w:r>
      <w:r w:rsidRPr="00031D95">
        <w:t>s;</w:t>
      </w:r>
    </w:p>
    <w:p w:rsidR="00413CAB" w:rsidRPr="00D50AFE" w:rsidRDefault="00413CAB" w:rsidP="00413CAB">
      <w:pPr>
        <w:ind w:left="851"/>
        <w:rPr>
          <w:sz w:val="24"/>
          <w:szCs w:val="24"/>
        </w:rPr>
      </w:pPr>
      <w:proofErr w:type="gramStart"/>
      <w:r w:rsidRPr="00D50AFE">
        <w:rPr>
          <w:sz w:val="24"/>
          <w:szCs w:val="24"/>
        </w:rPr>
        <w:t>where</w:t>
      </w:r>
      <w:proofErr w:type="gramEnd"/>
      <w:r w:rsidRPr="00D50AFE">
        <w:rPr>
          <w:sz w:val="24"/>
          <w:szCs w:val="24"/>
        </w:rPr>
        <w:t xml:space="preserve"> such serious harm or neglect has been perpetrated by a parent, a care provider, an adult who works with or around that child, or any other adult in contact with that child.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lastRenderedPageBreak/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  <w:bookmarkStart w:id="35" w:name="_GoBack"/>
      <w:bookmarkEnd w:id="35"/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244737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 xml:space="preserve">Irritable Bowel Syndrome </w:t>
          </w:r>
          <w:r w:rsidR="00681215">
            <w:rPr>
              <w:i/>
              <w:sz w:val="18"/>
              <w:szCs w:val="18"/>
            </w:rPr>
            <w:t xml:space="preserve">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F4220C">
            <w:rPr>
              <w:i/>
              <w:sz w:val="18"/>
            </w:rPr>
            <w:t>66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86C10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86C10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244737" w:rsidRDefault="00244737" w:rsidP="0024473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 xml:space="preserve">Irritable Bowel Syndrome </w:t>
          </w:r>
          <w:r>
            <w:rPr>
              <w:i/>
              <w:sz w:val="18"/>
              <w:szCs w:val="18"/>
            </w:rPr>
            <w:t xml:space="preserve">(Balance of Probabilities) </w:t>
          </w:r>
          <w:r w:rsidRPr="007C5CE0">
            <w:rPr>
              <w:i/>
              <w:sz w:val="18"/>
            </w:rPr>
            <w:t xml:space="preserve">(No. </w:t>
          </w:r>
          <w:r w:rsidR="00F4220C">
            <w:rPr>
              <w:i/>
              <w:sz w:val="18"/>
            </w:rPr>
            <w:t>66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86C1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86C10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4790EA0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C180879"/>
    <w:multiLevelType w:val="multilevel"/>
    <w:tmpl w:val="3D5C7CC6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3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25A6556"/>
    <w:multiLevelType w:val="hybridMultilevel"/>
    <w:tmpl w:val="A02088EA"/>
    <w:lvl w:ilvl="0" w:tplc="559EE0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57379"/>
    <w:multiLevelType w:val="hybridMultilevel"/>
    <w:tmpl w:val="81BA1B94"/>
    <w:lvl w:ilvl="0" w:tplc="559EE0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18"/>
  </w:num>
  <w:num w:numId="24">
    <w:abstractNumId w:val="20"/>
  </w:num>
  <w:num w:numId="25">
    <w:abstractNumId w:val="10"/>
  </w:num>
  <w:num w:numId="26">
    <w:abstractNumId w:val="16"/>
  </w:num>
  <w:num w:numId="27">
    <w:abstractNumId w:val="15"/>
  </w:num>
  <w:num w:numId="28">
    <w:abstractNumId w:val="15"/>
  </w:num>
  <w:num w:numId="29">
    <w:abstractNumId w:val="10"/>
  </w:num>
  <w:num w:numId="30">
    <w:abstractNumId w:val="12"/>
  </w:num>
  <w:num w:numId="3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5D40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17C85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4737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2876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86C10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3CAB"/>
    <w:rsid w:val="004144EC"/>
    <w:rsid w:val="00417EB9"/>
    <w:rsid w:val="00420A33"/>
    <w:rsid w:val="0042300E"/>
    <w:rsid w:val="00424CA9"/>
    <w:rsid w:val="00430E97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1EE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9523D"/>
    <w:rsid w:val="006B4666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1F1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E6A14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220C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65CF"/>
    <w:rsid w:val="00F97A62"/>
    <w:rsid w:val="00FA0587"/>
    <w:rsid w:val="00FA1E52"/>
    <w:rsid w:val="00FA33FB"/>
    <w:rsid w:val="00FB3EF0"/>
    <w:rsid w:val="00FB533A"/>
    <w:rsid w:val="00FC394D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332876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7300</Characters>
  <Application>Microsoft Office Word</Application>
  <DocSecurity>0</DocSecurity>
  <PresentationFormat/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2019-04-26T05:26:00Z</dcterms:created>
  <dcterms:modified xsi:type="dcterms:W3CDTF">2019-06-19T00:03:00Z</dcterms:modified>
  <cp:category/>
  <cp:contentStatus/>
  <dc:language/>
  <cp:version/>
</cp:coreProperties>
</file>