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3D6DDA" w:rsidP="006647B7">
      <w:pPr>
        <w:pStyle w:val="Plainheader"/>
      </w:pPr>
      <w:bookmarkStart w:id="0" w:name="SoP_Name_Title"/>
      <w:r w:rsidRPr="003D6DDA">
        <w:t xml:space="preserve">OBSTRUCTIVE AND REFLUX </w:t>
      </w:r>
      <w:proofErr w:type="gramStart"/>
      <w:r w:rsidRPr="003D6DDA">
        <w:t>NEPHROPATHY</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386836">
        <w:t>85</w:t>
      </w:r>
      <w:bookmarkEnd w:id="1"/>
      <w:r w:rsidRPr="00024911">
        <w:t xml:space="preserve"> of</w:t>
      </w:r>
      <w:r w:rsidR="00085567">
        <w:t xml:space="preserve"> </w:t>
      </w:r>
      <w:bookmarkStart w:id="2" w:name="year"/>
      <w:r w:rsidR="003D6DDA">
        <w:t>2019</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r w:rsidR="00A50A18">
        <w:rPr>
          <w:sz w:val="24"/>
          <w:szCs w:val="24"/>
        </w:rPr>
        <w:t xml:space="preserve"> </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00386836">
        <w:rPr>
          <w:b w:val="0"/>
        </w:rPr>
        <w:t>23 August 2019</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8751E3" w:rsidP="00781DD2">
            <w:pPr>
              <w:pStyle w:val="Plain"/>
              <w:spacing w:before="0"/>
              <w:ind w:left="0"/>
              <w:rPr>
                <w:b w:val="0"/>
              </w:rPr>
            </w:pPr>
            <w:bookmarkStart w:id="3" w:name="_GoBack"/>
            <w:bookmarkEnd w:id="3"/>
            <w:r w:rsidRPr="003D2444">
              <w:rPr>
                <w:noProof/>
              </w:rPr>
              <w:drawing>
                <wp:inline distT="0" distB="0" distL="0" distR="0">
                  <wp:extent cx="2463165"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165" cy="532130"/>
                          </a:xfrm>
                          <a:prstGeom prst="rect">
                            <a:avLst/>
                          </a:prstGeom>
                          <a:noFill/>
                          <a:ln>
                            <a:noFill/>
                          </a:ln>
                        </pic:spPr>
                      </pic:pic>
                    </a:graphicData>
                  </a:graphic>
                </wp:inline>
              </w:drawing>
            </w: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Professor Nicholas Saunders AO</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3D6DDA"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3D6DDA">
        <w:rPr>
          <w:noProof/>
        </w:rPr>
        <w:t>1</w:t>
      </w:r>
      <w:r w:rsidR="003D6DDA">
        <w:rPr>
          <w:rFonts w:asciiTheme="minorHAnsi" w:eastAsiaTheme="minorEastAsia" w:hAnsiTheme="minorHAnsi" w:cstheme="minorBidi"/>
          <w:noProof/>
          <w:kern w:val="0"/>
          <w:sz w:val="22"/>
          <w:szCs w:val="22"/>
        </w:rPr>
        <w:tab/>
      </w:r>
      <w:r w:rsidR="003D6DDA">
        <w:rPr>
          <w:noProof/>
        </w:rPr>
        <w:t>Name</w:t>
      </w:r>
      <w:r w:rsidR="003D6DDA">
        <w:rPr>
          <w:noProof/>
        </w:rPr>
        <w:tab/>
      </w:r>
      <w:r w:rsidR="003D6DDA">
        <w:rPr>
          <w:noProof/>
        </w:rPr>
        <w:fldChar w:fldCharType="begin"/>
      </w:r>
      <w:r w:rsidR="003D6DDA">
        <w:rPr>
          <w:noProof/>
        </w:rPr>
        <w:instrText xml:space="preserve"> PAGEREF _Toc2931403 \h </w:instrText>
      </w:r>
      <w:r w:rsidR="003D6DDA">
        <w:rPr>
          <w:noProof/>
        </w:rPr>
      </w:r>
      <w:r w:rsidR="003D6DDA">
        <w:rPr>
          <w:noProof/>
        </w:rPr>
        <w:fldChar w:fldCharType="separate"/>
      </w:r>
      <w:r w:rsidR="0004245C">
        <w:rPr>
          <w:noProof/>
        </w:rPr>
        <w:t>3</w:t>
      </w:r>
      <w:r w:rsidR="003D6DDA">
        <w:rPr>
          <w:noProof/>
        </w:rPr>
        <w:fldChar w:fldCharType="end"/>
      </w:r>
    </w:p>
    <w:p w:rsidR="003D6DDA" w:rsidRDefault="003D6DDA">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_Toc2931404 \h </w:instrText>
      </w:r>
      <w:r>
        <w:rPr>
          <w:noProof/>
        </w:rPr>
      </w:r>
      <w:r>
        <w:rPr>
          <w:noProof/>
        </w:rPr>
        <w:fldChar w:fldCharType="separate"/>
      </w:r>
      <w:r w:rsidR="0004245C">
        <w:rPr>
          <w:noProof/>
        </w:rPr>
        <w:t>3</w:t>
      </w:r>
      <w:r>
        <w:rPr>
          <w:noProof/>
        </w:rPr>
        <w:fldChar w:fldCharType="end"/>
      </w:r>
    </w:p>
    <w:p w:rsidR="003D6DDA" w:rsidRDefault="003D6DDA">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_Toc2931405 \h </w:instrText>
      </w:r>
      <w:r>
        <w:rPr>
          <w:noProof/>
        </w:rPr>
      </w:r>
      <w:r>
        <w:rPr>
          <w:noProof/>
        </w:rPr>
        <w:fldChar w:fldCharType="separate"/>
      </w:r>
      <w:r w:rsidR="0004245C">
        <w:rPr>
          <w:noProof/>
        </w:rPr>
        <w:t>3</w:t>
      </w:r>
      <w:r>
        <w:rPr>
          <w:noProof/>
        </w:rPr>
        <w:fldChar w:fldCharType="end"/>
      </w:r>
    </w:p>
    <w:p w:rsidR="003D6DDA" w:rsidRDefault="003D6DDA">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_Toc2931406 \h </w:instrText>
      </w:r>
      <w:r>
        <w:rPr>
          <w:noProof/>
        </w:rPr>
      </w:r>
      <w:r>
        <w:rPr>
          <w:noProof/>
        </w:rPr>
        <w:fldChar w:fldCharType="separate"/>
      </w:r>
      <w:r w:rsidR="0004245C">
        <w:rPr>
          <w:noProof/>
        </w:rPr>
        <w:t>3</w:t>
      </w:r>
      <w:r>
        <w:rPr>
          <w:noProof/>
        </w:rPr>
        <w:fldChar w:fldCharType="end"/>
      </w:r>
    </w:p>
    <w:p w:rsidR="003D6DDA" w:rsidRDefault="003D6DDA">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_Toc2931407 \h </w:instrText>
      </w:r>
      <w:r>
        <w:rPr>
          <w:noProof/>
        </w:rPr>
      </w:r>
      <w:r>
        <w:rPr>
          <w:noProof/>
        </w:rPr>
        <w:fldChar w:fldCharType="separate"/>
      </w:r>
      <w:r w:rsidR="0004245C">
        <w:rPr>
          <w:noProof/>
        </w:rPr>
        <w:t>3</w:t>
      </w:r>
      <w:r>
        <w:rPr>
          <w:noProof/>
        </w:rPr>
        <w:fldChar w:fldCharType="end"/>
      </w:r>
    </w:p>
    <w:p w:rsidR="003D6DDA" w:rsidRDefault="003D6DDA">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_Toc2931408 \h </w:instrText>
      </w:r>
      <w:r>
        <w:rPr>
          <w:noProof/>
        </w:rPr>
      </w:r>
      <w:r>
        <w:rPr>
          <w:noProof/>
        </w:rPr>
        <w:fldChar w:fldCharType="separate"/>
      </w:r>
      <w:r w:rsidR="0004245C">
        <w:rPr>
          <w:noProof/>
        </w:rPr>
        <w:t>3</w:t>
      </w:r>
      <w:r>
        <w:rPr>
          <w:noProof/>
        </w:rPr>
        <w:fldChar w:fldCharType="end"/>
      </w:r>
    </w:p>
    <w:p w:rsidR="003D6DDA" w:rsidRDefault="003D6DDA">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_Toc2931409 \h </w:instrText>
      </w:r>
      <w:r>
        <w:rPr>
          <w:noProof/>
        </w:rPr>
      </w:r>
      <w:r>
        <w:rPr>
          <w:noProof/>
        </w:rPr>
        <w:fldChar w:fldCharType="separate"/>
      </w:r>
      <w:r w:rsidR="0004245C">
        <w:rPr>
          <w:noProof/>
        </w:rPr>
        <w:t>3</w:t>
      </w:r>
      <w:r>
        <w:rPr>
          <w:noProof/>
        </w:rPr>
        <w:fldChar w:fldCharType="end"/>
      </w:r>
    </w:p>
    <w:p w:rsidR="003D6DDA" w:rsidRDefault="003D6DDA">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_Toc2931410 \h </w:instrText>
      </w:r>
      <w:r>
        <w:rPr>
          <w:noProof/>
        </w:rPr>
      </w:r>
      <w:r>
        <w:rPr>
          <w:noProof/>
        </w:rPr>
        <w:fldChar w:fldCharType="separate"/>
      </w:r>
      <w:r w:rsidR="0004245C">
        <w:rPr>
          <w:noProof/>
        </w:rPr>
        <w:t>4</w:t>
      </w:r>
      <w:r>
        <w:rPr>
          <w:noProof/>
        </w:rPr>
        <w:fldChar w:fldCharType="end"/>
      </w:r>
    </w:p>
    <w:p w:rsidR="003D6DDA" w:rsidRDefault="003D6DDA">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_Toc2931411 \h </w:instrText>
      </w:r>
      <w:r>
        <w:rPr>
          <w:noProof/>
        </w:rPr>
      </w:r>
      <w:r>
        <w:rPr>
          <w:noProof/>
        </w:rPr>
        <w:fldChar w:fldCharType="separate"/>
      </w:r>
      <w:r w:rsidR="0004245C">
        <w:rPr>
          <w:noProof/>
        </w:rPr>
        <w:t>4</w:t>
      </w:r>
      <w:r>
        <w:rPr>
          <w:noProof/>
        </w:rPr>
        <w:fldChar w:fldCharType="end"/>
      </w:r>
    </w:p>
    <w:p w:rsidR="003D6DDA" w:rsidRDefault="003D6DDA">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_Toc2931412 \h </w:instrText>
      </w:r>
      <w:r>
        <w:rPr>
          <w:noProof/>
        </w:rPr>
      </w:r>
      <w:r>
        <w:rPr>
          <w:noProof/>
        </w:rPr>
        <w:fldChar w:fldCharType="separate"/>
      </w:r>
      <w:r w:rsidR="0004245C">
        <w:rPr>
          <w:noProof/>
        </w:rPr>
        <w:t>5</w:t>
      </w:r>
      <w:r>
        <w:rPr>
          <w:noProof/>
        </w:rPr>
        <w:fldChar w:fldCharType="end"/>
      </w:r>
    </w:p>
    <w:p w:rsidR="003D6DDA" w:rsidRDefault="003D6DDA">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_Toc2931413 \h </w:instrText>
      </w:r>
      <w:r>
        <w:rPr>
          <w:noProof/>
        </w:rPr>
      </w:r>
      <w:r>
        <w:rPr>
          <w:noProof/>
        </w:rPr>
        <w:fldChar w:fldCharType="separate"/>
      </w:r>
      <w:r w:rsidR="0004245C">
        <w:rPr>
          <w:noProof/>
        </w:rPr>
        <w:t>6</w:t>
      </w:r>
      <w:r>
        <w:rPr>
          <w:noProof/>
        </w:rPr>
        <w:fldChar w:fldCharType="end"/>
      </w:r>
    </w:p>
    <w:p w:rsidR="003D6DDA" w:rsidRDefault="003D6DDA">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_Toc2931414 \h </w:instrText>
      </w:r>
      <w:r>
        <w:rPr>
          <w:noProof/>
        </w:rPr>
      </w:r>
      <w:r>
        <w:rPr>
          <w:noProof/>
        </w:rPr>
        <w:fldChar w:fldCharType="separate"/>
      </w:r>
      <w:r w:rsidR="0004245C">
        <w:rPr>
          <w:noProof/>
        </w:rPr>
        <w:t>7</w:t>
      </w:r>
      <w:r>
        <w:rPr>
          <w:noProof/>
        </w:rPr>
        <w:fldChar w:fldCharType="end"/>
      </w:r>
    </w:p>
    <w:p w:rsidR="003D6DDA" w:rsidRDefault="003D6DDA">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_Toc2931415 \h </w:instrText>
      </w:r>
      <w:r>
        <w:rPr>
          <w:noProof/>
        </w:rPr>
      </w:r>
      <w:r>
        <w:rPr>
          <w:noProof/>
        </w:rPr>
        <w:fldChar w:fldCharType="separate"/>
      </w:r>
      <w:r w:rsidR="0004245C">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5" w:name="_Toc2931403"/>
      <w:r>
        <w:lastRenderedPageBreak/>
        <w:t>Name</w:t>
      </w:r>
      <w:bookmarkEnd w:id="5"/>
    </w:p>
    <w:p w:rsidR="00237471" w:rsidRPr="00F97A62" w:rsidRDefault="00715914" w:rsidP="00253D7C">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3D6DDA" w:rsidRPr="003D6DDA">
        <w:rPr>
          <w:i/>
        </w:rPr>
        <w:t>obstructive and reflux nephropathy</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386836">
        <w:t>85</w:t>
      </w:r>
      <w:r w:rsidR="00085567">
        <w:t xml:space="preserve"> </w:t>
      </w:r>
      <w:r w:rsidR="00E55F66" w:rsidRPr="00F97A62">
        <w:t>of</w:t>
      </w:r>
      <w:r w:rsidR="00085567">
        <w:t xml:space="preserve"> </w:t>
      </w:r>
      <w:r w:rsidR="003D6DDA">
        <w:t>2019</w:t>
      </w:r>
      <w:r w:rsidR="00E55F66" w:rsidRPr="00F97A62">
        <w:t>)</w:t>
      </w:r>
      <w:r w:rsidRPr="00F97A62">
        <w:t>.</w:t>
      </w:r>
    </w:p>
    <w:p w:rsidR="00F67B67" w:rsidRPr="00684C0E" w:rsidRDefault="00F67B67" w:rsidP="00253D7C">
      <w:pPr>
        <w:pStyle w:val="LV1"/>
      </w:pPr>
      <w:bookmarkStart w:id="8" w:name="_Toc2931404"/>
      <w:r w:rsidRPr="00684C0E">
        <w:t>Commencement</w:t>
      </w:r>
      <w:bookmarkEnd w:id="8"/>
    </w:p>
    <w:p w:rsidR="00F67B67" w:rsidRPr="007527C1" w:rsidRDefault="007527C1" w:rsidP="00253D7C">
      <w:pPr>
        <w:pStyle w:val="PlainIndent"/>
      </w:pPr>
      <w:r w:rsidRPr="007527C1">
        <w:tab/>
      </w:r>
      <w:r w:rsidR="00F67B67" w:rsidRPr="007527C1">
        <w:t>This instrument commences on</w:t>
      </w:r>
      <w:r w:rsidR="00386836">
        <w:t xml:space="preserve"> 23 September 2019</w:t>
      </w:r>
      <w:r w:rsidR="00F67B67" w:rsidRPr="007527C1">
        <w:t>.</w:t>
      </w:r>
    </w:p>
    <w:p w:rsidR="00F67B67" w:rsidRPr="00684C0E" w:rsidRDefault="00F67B67" w:rsidP="00253D7C">
      <w:pPr>
        <w:pStyle w:val="LV1"/>
      </w:pPr>
      <w:bookmarkStart w:id="9" w:name="_Toc2931405"/>
      <w:r w:rsidRPr="00684C0E">
        <w:t>Authority</w:t>
      </w:r>
      <w:bookmarkEnd w:id="9"/>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10" w:name="_Toc2931406"/>
      <w:r>
        <w:t>Re</w:t>
      </w:r>
      <w:r w:rsidR="005962C4">
        <w:t>peal</w:t>
      </w:r>
      <w:bookmarkEnd w:id="10"/>
    </w:p>
    <w:p w:rsidR="00DA3996" w:rsidRPr="007527C1" w:rsidRDefault="00DA3996" w:rsidP="00253D7C">
      <w:pPr>
        <w:pStyle w:val="PlainIndent"/>
      </w:pPr>
      <w:r>
        <w:t>The</w:t>
      </w:r>
      <w:r w:rsidRPr="007527C1">
        <w:t xml:space="preserve"> </w:t>
      </w:r>
      <w:r w:rsidRPr="00DA3996">
        <w:t xml:space="preserve">Statement of Principles concerning </w:t>
      </w:r>
      <w:r w:rsidR="003D6DDA" w:rsidRPr="003D6DDA">
        <w:t>obstructive and reflux nephropathy</w:t>
      </w:r>
      <w:r w:rsidRPr="00DA3996">
        <w:t xml:space="preserve"> No. </w:t>
      </w:r>
      <w:r w:rsidR="003D6DDA">
        <w:t>31</w:t>
      </w:r>
      <w:r w:rsidRPr="00DA3996">
        <w:t xml:space="preserve"> of </w:t>
      </w:r>
      <w:r w:rsidR="003D6DDA">
        <w:t>2011</w:t>
      </w:r>
      <w:r w:rsidR="005962C4">
        <w:t xml:space="preserve"> </w:t>
      </w:r>
      <w:r w:rsidR="005962C4" w:rsidRPr="00786DAE">
        <w:t xml:space="preserve">(Federal Register of Legislation No. </w:t>
      </w:r>
      <w:r w:rsidR="003D6DDA" w:rsidRPr="003D6DDA">
        <w:t>F2011L00767</w:t>
      </w:r>
      <w:r w:rsidR="005962C4" w:rsidRPr="00786DAE">
        <w:t xml:space="preserve">) </w:t>
      </w:r>
      <w:r w:rsidR="005962C4" w:rsidRPr="00DA3996">
        <w:t xml:space="preserve">made under subsection </w:t>
      </w:r>
      <w:proofErr w:type="gramStart"/>
      <w:r w:rsidR="005962C4" w:rsidRPr="00DA3996">
        <w:t>196B(</w:t>
      </w:r>
      <w:proofErr w:type="gramEnd"/>
      <w:r w:rsidR="005962C4" w:rsidRPr="00DA3996">
        <w:t xml:space="preserve">2)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11" w:name="_Toc2931407"/>
      <w:r w:rsidRPr="00684C0E">
        <w:t>Application</w:t>
      </w:r>
      <w:bookmarkEnd w:id="11"/>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2" w:name="_Ref410129949"/>
      <w:bookmarkStart w:id="13" w:name="_Toc2931408"/>
      <w:r w:rsidRPr="00684C0E">
        <w:t>Definitions</w:t>
      </w:r>
      <w:bookmarkEnd w:id="12"/>
      <w:bookmarkEnd w:id="13"/>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4" w:name="_Ref409687573"/>
      <w:bookmarkStart w:id="15" w:name="_Ref409687579"/>
      <w:bookmarkStart w:id="16" w:name="_Ref409687725"/>
      <w:bookmarkStart w:id="17" w:name="_Toc2931409"/>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253D7C">
      <w:pPr>
        <w:pStyle w:val="LV2"/>
      </w:pPr>
      <w:bookmarkStart w:id="18" w:name="_Ref403053584"/>
      <w:r w:rsidRPr="00D5620B">
        <w:t xml:space="preserve">This Statement of Principles is </w:t>
      </w:r>
      <w:r w:rsidRPr="002F77A1">
        <w:t xml:space="preserve">about </w:t>
      </w:r>
      <w:r w:rsidR="003D6DDA" w:rsidRPr="003D6DDA">
        <w:t>obstructive and reflux nephropathy</w:t>
      </w:r>
      <w:r w:rsidR="00D5620B" w:rsidRPr="002F77A1">
        <w:t xml:space="preserve"> </w:t>
      </w:r>
      <w:r w:rsidRPr="002F77A1">
        <w:t>and death</w:t>
      </w:r>
      <w:r w:rsidRPr="00D5620B">
        <w:t xml:space="preserve"> from</w:t>
      </w:r>
      <w:r w:rsidR="002F77A1">
        <w:t xml:space="preserve"> </w:t>
      </w:r>
      <w:r w:rsidR="003D6DDA" w:rsidRPr="003D6DDA">
        <w:t>obstructive and reflux nephropathy</w:t>
      </w:r>
      <w:r w:rsidRPr="00D5620B">
        <w:t>.</w:t>
      </w:r>
      <w:bookmarkEnd w:id="18"/>
    </w:p>
    <w:p w:rsidR="00215860" w:rsidRPr="00C670B0" w:rsidRDefault="00215860" w:rsidP="00C670B0">
      <w:pPr>
        <w:pStyle w:val="LVtext"/>
      </w:pPr>
      <w:r w:rsidRPr="00C670B0">
        <w:t>Meaning of</w:t>
      </w:r>
      <w:r w:rsidR="00D60FC8" w:rsidRPr="00C670B0">
        <w:t xml:space="preserve"> </w:t>
      </w:r>
      <w:r w:rsidR="003D6DDA" w:rsidRPr="003D6DDA">
        <w:rPr>
          <w:b/>
        </w:rPr>
        <w:t>obstructive and reflux nephropathy</w:t>
      </w:r>
    </w:p>
    <w:p w:rsidR="002716E4" w:rsidRPr="00237BAF" w:rsidRDefault="007C7DEE" w:rsidP="00253D7C">
      <w:pPr>
        <w:pStyle w:val="LV2"/>
      </w:pPr>
      <w:bookmarkStart w:id="19" w:name="_Ref409598124"/>
      <w:bookmarkStart w:id="20" w:name="_Ref402529683"/>
      <w:r w:rsidRPr="00237BAF">
        <w:t>For the purposes of this Statement of Principles,</w:t>
      </w:r>
      <w:r w:rsidR="002F77A1" w:rsidRPr="002F77A1">
        <w:t xml:space="preserve"> </w:t>
      </w:r>
      <w:r w:rsidR="003D6DDA" w:rsidRPr="003D6DDA">
        <w:t>obstructive and reflux nephropathy</w:t>
      </w:r>
      <w:r w:rsidR="002716E4" w:rsidRPr="00237BAF">
        <w:t>:</w:t>
      </w:r>
      <w:bookmarkEnd w:id="19"/>
    </w:p>
    <w:bookmarkEnd w:id="20"/>
    <w:p w:rsidR="003D6DDA" w:rsidRDefault="003D6DDA" w:rsidP="003D6DDA">
      <w:pPr>
        <w:pStyle w:val="LV3"/>
      </w:pPr>
      <w:r>
        <w:t>means an acquired mechanical or functional impediment to normal urine flow, with urinary stasis and elevation in urinary tract pressure, causing:</w:t>
      </w:r>
    </w:p>
    <w:p w:rsidR="003D6DDA" w:rsidRDefault="003D6DDA" w:rsidP="003D6DDA">
      <w:pPr>
        <w:pStyle w:val="LV4"/>
        <w:ind w:left="2552"/>
      </w:pPr>
      <w:r>
        <w:tab/>
        <w:t>clinical or biochemical evidence of impaired renal function or renal parenchymal damage; or</w:t>
      </w:r>
    </w:p>
    <w:p w:rsidR="00253D7C" w:rsidRPr="008E76DC" w:rsidRDefault="003D6DDA" w:rsidP="003D6DDA">
      <w:pPr>
        <w:pStyle w:val="LV4"/>
        <w:ind w:left="2552"/>
      </w:pPr>
      <w:r>
        <w:tab/>
        <w:t>calyceal deformity, or dilatation of the ureter (hydroureter) or renal pyelocalyceal system (hydronephrosis); and</w:t>
      </w:r>
    </w:p>
    <w:p w:rsidR="003D6DDA" w:rsidRDefault="003D6DDA" w:rsidP="003D6DDA">
      <w:pPr>
        <w:pStyle w:val="LV3"/>
      </w:pPr>
      <w:r>
        <w:t xml:space="preserve">includes renal scarring due to acquired vesicoureteric reflux; and </w:t>
      </w:r>
    </w:p>
    <w:p w:rsidR="00253D7C" w:rsidRDefault="003D6DDA" w:rsidP="003D6DDA">
      <w:pPr>
        <w:pStyle w:val="LV3"/>
      </w:pPr>
      <w:r>
        <w:lastRenderedPageBreak/>
        <w:tab/>
      </w:r>
      <w:proofErr w:type="gramStart"/>
      <w:r>
        <w:t>excludes</w:t>
      </w:r>
      <w:proofErr w:type="gramEnd"/>
      <w:r>
        <w:t xml:space="preserve"> acute, transient urinary retention not due to a fixed mechanical obstruction.</w:t>
      </w:r>
    </w:p>
    <w:p w:rsidR="008F572A" w:rsidRPr="00237BAF" w:rsidRDefault="008F572A" w:rsidP="003D6DDA">
      <w:pPr>
        <w:pStyle w:val="LV2"/>
      </w:pPr>
      <w:r w:rsidRPr="00237BAF">
        <w:t xml:space="preserve">While </w:t>
      </w:r>
      <w:r w:rsidR="003D6DDA" w:rsidRPr="003D6DDA">
        <w:t>obstructive and reflux nephropathy</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3D6DDA" w:rsidRPr="003D6DDA">
        <w:t>N13</w:t>
      </w:r>
      <w:r w:rsidR="00885EAB" w:rsidRPr="00EB2BC4">
        <w:t>,</w:t>
      </w:r>
      <w:r w:rsidRPr="00237BAF">
        <w:t xml:space="preserve"> in applying this Statement of Principles the </w:t>
      </w:r>
      <w:r w:rsidR="00FA33FB" w:rsidRPr="00D5620B">
        <w:t xml:space="preserve">meaning </w:t>
      </w:r>
      <w:r w:rsidRPr="00D5620B">
        <w:t xml:space="preserve">of </w:t>
      </w:r>
      <w:r w:rsidR="003D6DDA" w:rsidRPr="003D6DDA">
        <w:t>obstructive and reflux nephropathy</w:t>
      </w:r>
      <w:r w:rsidR="002F77A1">
        <w:t xml:space="preserve"> </w:t>
      </w:r>
      <w:r w:rsidRPr="00D5620B">
        <w:t>is that</w:t>
      </w:r>
      <w:r w:rsidRPr="00237BAF">
        <w:t xml:space="preserve"> given in </w:t>
      </w:r>
      <w:r w:rsidR="00FA33FB" w:rsidRPr="00237BAF">
        <w:t>subsection (</w:t>
      </w:r>
      <w:r w:rsidRPr="00237BAF">
        <w:t>2).</w:t>
      </w:r>
    </w:p>
    <w:p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3D6DDA" w:rsidRPr="003D6DDA">
        <w:rPr>
          <w:b/>
        </w:rPr>
        <w:t>obstructive and reflux nephropathy</w:t>
      </w:r>
    </w:p>
    <w:p w:rsidR="008F572A" w:rsidRPr="00237BAF" w:rsidRDefault="008F572A" w:rsidP="00253D7C">
      <w:pPr>
        <w:pStyle w:val="LV2"/>
      </w:pPr>
      <w:r w:rsidRPr="00237BAF">
        <w:t xml:space="preserve">For the purposes of this Statement of </w:t>
      </w:r>
      <w:r w:rsidR="00D5620B">
        <w:t xml:space="preserve">Principles, </w:t>
      </w:r>
      <w:r w:rsidR="003D6DDA" w:rsidRPr="003D6DDA">
        <w:t>obstructive and reflux nephropathy</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3D6DDA" w:rsidRPr="003D6DDA">
        <w:t>obstructive and reflux nephropathy</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253D7C">
      <w:pPr>
        <w:pStyle w:val="LV1"/>
      </w:pPr>
      <w:bookmarkStart w:id="21" w:name="_Toc2931410"/>
      <w:r w:rsidRPr="00A20CA1">
        <w:t>Basis for determining the factors</w:t>
      </w:r>
      <w:bookmarkEnd w:id="21"/>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3D6DDA" w:rsidRPr="003D6DDA">
        <w:t>obstructive and reflux nephropathy</w:t>
      </w:r>
      <w:r>
        <w:t xml:space="preserve"> </w:t>
      </w:r>
      <w:r w:rsidRPr="00D5620B">
        <w:t>and death from</w:t>
      </w:r>
      <w:r>
        <w:t xml:space="preserve"> </w:t>
      </w:r>
      <w:r w:rsidR="003D6DDA" w:rsidRPr="003D6DDA">
        <w:t>obstructive and reflux nephropathy</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253D7C">
      <w:pPr>
        <w:pStyle w:val="LV1"/>
      </w:pPr>
      <w:bookmarkStart w:id="22" w:name="_Ref411946955"/>
      <w:bookmarkStart w:id="23" w:name="_Ref411946997"/>
      <w:bookmarkStart w:id="24" w:name="_Ref412032503"/>
      <w:bookmarkStart w:id="25" w:name="_Toc2931411"/>
      <w:r w:rsidRPr="00301C54">
        <w:t xml:space="preserve">Factors that must </w:t>
      </w:r>
      <w:r w:rsidR="00D32F71">
        <w:t>exist</w:t>
      </w:r>
      <w:bookmarkEnd w:id="22"/>
      <w:bookmarkEnd w:id="23"/>
      <w:bookmarkEnd w:id="24"/>
      <w:bookmarkEnd w:id="25"/>
    </w:p>
    <w:p w:rsidR="007C7DEE" w:rsidRPr="00AA6D8B" w:rsidRDefault="002716E4" w:rsidP="00253D7C">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3D6DDA" w:rsidRPr="003D6DDA">
        <w:t>obstructive and reflux nephropathy</w:t>
      </w:r>
      <w:r w:rsidR="007A3989">
        <w:t xml:space="preserve"> </w:t>
      </w:r>
      <w:r w:rsidR="007C7DEE" w:rsidRPr="00AA6D8B">
        <w:t xml:space="preserve">or death from </w:t>
      </w:r>
      <w:r w:rsidR="003D6DDA" w:rsidRPr="003D6DDA">
        <w:t>obstructive and reflux nephropathy</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6"/>
    </w:p>
    <w:p w:rsidR="00253D7C" w:rsidRPr="008D1B8B" w:rsidRDefault="003D6DDA" w:rsidP="003D6DDA">
      <w:pPr>
        <w:pStyle w:val="LV2"/>
      </w:pPr>
      <w:bookmarkStart w:id="27" w:name="_Ref402530260"/>
      <w:bookmarkStart w:id="28" w:name="_Ref409598844"/>
      <w:r w:rsidRPr="003D6DDA">
        <w:t>having upper urinary tract obstruction, due to partial or complete blockage of the renal pelvicalyceal system, ureter or ureteropelvic junction on the affected side, before the clinical onset of obstructive and reflux nephropathy;</w:t>
      </w:r>
    </w:p>
    <w:p w:rsidR="00253D7C" w:rsidRPr="00046E67" w:rsidRDefault="00253D7C" w:rsidP="003D6DDA">
      <w:pPr>
        <w:pStyle w:val="Note2"/>
        <w:ind w:left="1843" w:hanging="425"/>
      </w:pPr>
      <w:r>
        <w:t xml:space="preserve">Note: </w:t>
      </w:r>
      <w:r w:rsidR="003D6DDA" w:rsidRPr="003D6DDA">
        <w:t>Examples of cause</w:t>
      </w:r>
      <w:r w:rsidR="00B30C80">
        <w:t>s</w:t>
      </w:r>
      <w:r w:rsidR="003D6DDA" w:rsidRPr="003D6DDA">
        <w:t xml:space="preserve"> of upper urinary tract obstruction include, but are not limited to, renal stone disease</w:t>
      </w:r>
      <w:r w:rsidR="003D6DDA">
        <w:t>,</w:t>
      </w:r>
      <w:r w:rsidR="003D6DDA" w:rsidRPr="003D6DDA">
        <w:t xml:space="preserve"> benign or malignant neoplasm</w:t>
      </w:r>
      <w:r w:rsidR="003D6DDA">
        <w:t>,</w:t>
      </w:r>
      <w:r w:rsidR="003D6DDA" w:rsidRPr="003D6DDA">
        <w:t xml:space="preserve"> faecal impaction</w:t>
      </w:r>
      <w:r w:rsidR="003D6DDA">
        <w:t>,</w:t>
      </w:r>
      <w:r w:rsidR="003D6DDA" w:rsidRPr="003D6DDA">
        <w:t xml:space="preserve"> and complications of an indwelling ureteric stent.</w:t>
      </w:r>
      <w:r w:rsidRPr="00046E67">
        <w:tab/>
      </w:r>
      <w:r>
        <w:t xml:space="preserve"> </w:t>
      </w:r>
    </w:p>
    <w:p w:rsidR="003D6DDA" w:rsidRDefault="003D6DDA" w:rsidP="003D6DDA">
      <w:pPr>
        <w:pStyle w:val="LV2"/>
        <w:keepNext/>
        <w:keepLines/>
      </w:pPr>
      <w:r w:rsidRPr="003D6DDA">
        <w:lastRenderedPageBreak/>
        <w:t>having lower urinary tract obstruction, due to partial or complete blockage of the bladder outlet or uret</w:t>
      </w:r>
      <w:r>
        <w:t xml:space="preserve">hra, before the clinical onset </w:t>
      </w:r>
      <w:r w:rsidRPr="003D6DDA">
        <w:t>of obstructive and reflux nephropathy;</w:t>
      </w:r>
    </w:p>
    <w:p w:rsidR="003D6DDA" w:rsidRDefault="003D6DDA" w:rsidP="003D6DDA">
      <w:pPr>
        <w:pStyle w:val="Note2"/>
        <w:ind w:left="1843" w:hanging="425"/>
      </w:pPr>
      <w:r w:rsidRPr="003D6DDA">
        <w:t>Note: Examples of cause</w:t>
      </w:r>
      <w:r w:rsidR="00B30C80">
        <w:t>s</w:t>
      </w:r>
      <w:r w:rsidRPr="003D6DDA">
        <w:t xml:space="preserve"> of lower urinary tract </w:t>
      </w:r>
      <w:r w:rsidR="002F5652">
        <w:t xml:space="preserve">obstruction </w:t>
      </w:r>
      <w:r w:rsidRPr="003D6DDA">
        <w:t>include, but are not limited to</w:t>
      </w:r>
      <w:r>
        <w:t>,</w:t>
      </w:r>
      <w:r w:rsidRPr="003D6DDA">
        <w:t xml:space="preserve"> benign or malignant neoplasm of the prostate, bladder or urethra; benign prostatic hyperplasia; urethral sling</w:t>
      </w:r>
      <w:r>
        <w:t>;</w:t>
      </w:r>
      <w:r w:rsidRPr="003D6DDA">
        <w:t xml:space="preserve"> and urethral stricture or stenosis.</w:t>
      </w:r>
    </w:p>
    <w:p w:rsidR="003D6DDA" w:rsidRDefault="003D6DDA" w:rsidP="003D6DDA">
      <w:pPr>
        <w:pStyle w:val="LV2"/>
      </w:pPr>
      <w:r w:rsidRPr="003D6DDA">
        <w:t>having a renal or ureteric transplant on the affected s</w:t>
      </w:r>
      <w:r>
        <w:t xml:space="preserve">ide, before the clinical onset </w:t>
      </w:r>
      <w:r w:rsidRPr="003D6DDA">
        <w:t>of obstructive and reflux nephropathy;</w:t>
      </w:r>
    </w:p>
    <w:p w:rsidR="003D6DDA" w:rsidRDefault="003D6DDA" w:rsidP="003D6DDA">
      <w:pPr>
        <w:pStyle w:val="LV2"/>
      </w:pPr>
      <w:r w:rsidRPr="003D6DDA">
        <w:t>having neurogenic bladder at the time of the clinical o</w:t>
      </w:r>
      <w:r>
        <w:t xml:space="preserve">nset </w:t>
      </w:r>
      <w:r w:rsidRPr="003D6DDA">
        <w:t>of obstructive and reflux nephropathy;</w:t>
      </w:r>
    </w:p>
    <w:p w:rsidR="003D6DDA" w:rsidRDefault="003D6DDA" w:rsidP="003D6DDA">
      <w:pPr>
        <w:pStyle w:val="Note2"/>
      </w:pPr>
      <w:r w:rsidRPr="003D6DDA">
        <w:t xml:space="preserve">Note: </w:t>
      </w:r>
      <w:r w:rsidRPr="003D6DDA">
        <w:rPr>
          <w:b/>
          <w:i/>
        </w:rPr>
        <w:t>neurogenic bladder</w:t>
      </w:r>
      <w:r w:rsidRPr="003D6DDA">
        <w:t xml:space="preserve"> is defined in the Schedule 1 - Dictionary.</w:t>
      </w:r>
    </w:p>
    <w:p w:rsidR="003D6DDA" w:rsidRPr="008D1B8B" w:rsidRDefault="003D6DDA" w:rsidP="003D6DDA">
      <w:pPr>
        <w:pStyle w:val="LV2"/>
      </w:pPr>
      <w:r w:rsidRPr="003D6DDA">
        <w:t>having upper urinary tract obstruction, due to partial or complete blockage of the renal pelvicalyceal system, ureter or ureteropelvic junction on the affected side, before the clinical worsening of obstructive and reflux nephropathy;</w:t>
      </w:r>
    </w:p>
    <w:p w:rsidR="003D6DDA" w:rsidRPr="00046E67" w:rsidRDefault="003D6DDA" w:rsidP="003D6DDA">
      <w:pPr>
        <w:pStyle w:val="Note2"/>
        <w:ind w:left="1843" w:hanging="425"/>
      </w:pPr>
      <w:r>
        <w:t xml:space="preserve">Note: </w:t>
      </w:r>
      <w:r w:rsidRPr="003D6DDA">
        <w:t>Examples of cause</w:t>
      </w:r>
      <w:r w:rsidR="008D6CF8">
        <w:t>s</w:t>
      </w:r>
      <w:r w:rsidRPr="003D6DDA">
        <w:t xml:space="preserve"> of upper urinary tract obstruction include, but are not limited to, renal stone disease</w:t>
      </w:r>
      <w:r>
        <w:t>,</w:t>
      </w:r>
      <w:r w:rsidRPr="003D6DDA">
        <w:t xml:space="preserve"> benign or malignant neoplasm</w:t>
      </w:r>
      <w:r>
        <w:t>,</w:t>
      </w:r>
      <w:r w:rsidRPr="003D6DDA">
        <w:t xml:space="preserve"> faecal impaction</w:t>
      </w:r>
      <w:r>
        <w:t>,</w:t>
      </w:r>
      <w:r w:rsidRPr="003D6DDA">
        <w:t xml:space="preserve"> and complications of an indwelling ureteric stent.</w:t>
      </w:r>
      <w:r w:rsidRPr="00046E67">
        <w:tab/>
      </w:r>
      <w:r>
        <w:t xml:space="preserve"> </w:t>
      </w:r>
    </w:p>
    <w:p w:rsidR="003D6DDA" w:rsidRDefault="003D6DDA" w:rsidP="003D6DDA">
      <w:pPr>
        <w:pStyle w:val="LV2"/>
      </w:pPr>
      <w:r w:rsidRPr="003D6DDA">
        <w:t>having lower urinary tract obstruction, due to partial or complete blockage of the bladder outlet or urethra, before the clinical worsening of obstructive and reflux nephropathy;</w:t>
      </w:r>
    </w:p>
    <w:p w:rsidR="003D6DDA" w:rsidRDefault="003D6DDA" w:rsidP="003D6DDA">
      <w:pPr>
        <w:pStyle w:val="Note2"/>
        <w:ind w:left="1843" w:hanging="425"/>
      </w:pPr>
      <w:r w:rsidRPr="003D6DDA">
        <w:t>Note: Examples of cause</w:t>
      </w:r>
      <w:r w:rsidR="008D6CF8">
        <w:t>s</w:t>
      </w:r>
      <w:r w:rsidRPr="003D6DDA">
        <w:t xml:space="preserve"> of lower urinary tract </w:t>
      </w:r>
      <w:r w:rsidR="002F5652">
        <w:t xml:space="preserve">obstruction </w:t>
      </w:r>
      <w:r w:rsidRPr="003D6DDA">
        <w:t>include, but are not limited to</w:t>
      </w:r>
      <w:r>
        <w:t>,</w:t>
      </w:r>
      <w:r w:rsidRPr="003D6DDA">
        <w:t xml:space="preserve"> benign or malignant neoplasm of the prostate, bladder or urethra; benign prostatic hyperplasia; urethral sling</w:t>
      </w:r>
      <w:r>
        <w:t>;</w:t>
      </w:r>
      <w:r w:rsidRPr="003D6DDA">
        <w:t xml:space="preserve"> and urethral stricture or stenosis.</w:t>
      </w:r>
    </w:p>
    <w:p w:rsidR="003D6DDA" w:rsidRDefault="003D6DDA" w:rsidP="003D6DDA">
      <w:pPr>
        <w:pStyle w:val="LV2"/>
      </w:pPr>
      <w:r w:rsidRPr="003D6DDA">
        <w:t>having a renal or ureteric transplant on the affected side, before the clinical worsening of obstructive and reflux nephropathy;</w:t>
      </w:r>
    </w:p>
    <w:p w:rsidR="003D6DDA" w:rsidRDefault="003D6DDA" w:rsidP="003D6DDA">
      <w:pPr>
        <w:pStyle w:val="LV2"/>
      </w:pPr>
      <w:r w:rsidRPr="003D6DDA">
        <w:t>having neurogenic bladder at the time of the clinical worsening of obstructive and reflux nephropathy;</w:t>
      </w:r>
    </w:p>
    <w:p w:rsidR="003D6DDA" w:rsidRDefault="003D6DDA" w:rsidP="003D6DDA">
      <w:pPr>
        <w:pStyle w:val="Note2"/>
      </w:pPr>
      <w:r w:rsidRPr="003D6DDA">
        <w:t xml:space="preserve">Note: </w:t>
      </w:r>
      <w:r w:rsidRPr="003D6DDA">
        <w:rPr>
          <w:b/>
          <w:i/>
        </w:rPr>
        <w:t>neurogenic bladder</w:t>
      </w:r>
      <w:r w:rsidRPr="003D6DDA">
        <w:t xml:space="preserve"> is defined in the Schedule 1 - Dictionary.</w:t>
      </w:r>
    </w:p>
    <w:p w:rsidR="007C7DEE" w:rsidRPr="008D1B8B" w:rsidRDefault="007C7DEE" w:rsidP="00253D7C">
      <w:pPr>
        <w:pStyle w:val="LV2"/>
      </w:pPr>
      <w:proofErr w:type="gramStart"/>
      <w:r w:rsidRPr="008D1B8B">
        <w:t>inability</w:t>
      </w:r>
      <w:proofErr w:type="gramEnd"/>
      <w:r w:rsidRPr="008D1B8B">
        <w:t xml:space="preserve"> to obtain appropriate clinical management for</w:t>
      </w:r>
      <w:bookmarkEnd w:id="27"/>
      <w:r w:rsidR="007A3989">
        <w:t xml:space="preserve"> </w:t>
      </w:r>
      <w:r w:rsidR="003D6DDA" w:rsidRPr="003D6DDA">
        <w:t>obstructive and reflux nephropathy</w:t>
      </w:r>
      <w:r w:rsidR="00D5620B" w:rsidRPr="008D1B8B">
        <w:t>.</w:t>
      </w:r>
      <w:bookmarkEnd w:id="28"/>
    </w:p>
    <w:p w:rsidR="000C21A3" w:rsidRPr="00684C0E" w:rsidRDefault="00D32F71" w:rsidP="00253D7C">
      <w:pPr>
        <w:pStyle w:val="LV1"/>
      </w:pPr>
      <w:bookmarkStart w:id="29" w:name="_Toc2931412"/>
      <w:bookmarkStart w:id="30" w:name="_Ref402530057"/>
      <w:r>
        <w:t>Relationship to s</w:t>
      </w:r>
      <w:r w:rsidR="000C21A3" w:rsidRPr="00684C0E">
        <w:t>ervice</w:t>
      </w:r>
      <w:bookmarkEnd w:id="29"/>
    </w:p>
    <w:p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rsidR="00CF2367" w:rsidRPr="00187DE1" w:rsidRDefault="00F03C06" w:rsidP="00253D7C">
      <w:pPr>
        <w:pStyle w:val="LV2"/>
      </w:pPr>
      <w:r w:rsidRPr="00187DE1">
        <w:t>The factor</w:t>
      </w:r>
      <w:r w:rsidR="00FF1D47">
        <w:t>s</w:t>
      </w:r>
      <w:r w:rsidRPr="00187DE1">
        <w:t xml:space="preserve"> set out in </w:t>
      </w:r>
      <w:r w:rsidR="009056AF">
        <w:t>subsections</w:t>
      </w:r>
      <w:r w:rsidR="00FF1D47">
        <w:t xml:space="preserve"> </w:t>
      </w:r>
      <w:r w:rsidR="00DA3996">
        <w:t>9</w:t>
      </w:r>
      <w:r w:rsidR="00FF1D47">
        <w:t>(</w:t>
      </w:r>
      <w:r w:rsidR="003D6DDA">
        <w:t>5</w:t>
      </w:r>
      <w:r w:rsidR="00FF1D47">
        <w:t>)</w:t>
      </w:r>
      <w:r w:rsidR="003D6DDA">
        <w:t xml:space="preserve"> to 9(9)</w:t>
      </w:r>
      <w:r w:rsidR="00FF1D47">
        <w:t xml:space="preserve"> </w:t>
      </w:r>
      <w:r w:rsidRPr="00187DE1">
        <w:t>appl</w:t>
      </w:r>
      <w:r w:rsidR="00FF1D47">
        <w:t>y</w:t>
      </w:r>
      <w:r w:rsidRPr="00187DE1">
        <w:t xml:space="preserve"> only to material contribution to, or aggravation of, </w:t>
      </w:r>
      <w:r w:rsidR="003D6DDA" w:rsidRPr="003D6DDA">
        <w:t>obstructive and reflux nephropathy</w:t>
      </w:r>
      <w:r w:rsidR="007A3989">
        <w:t xml:space="preserve"> </w:t>
      </w:r>
      <w:r w:rsidRPr="00187DE1">
        <w:t>where the person</w:t>
      </w:r>
      <w:r w:rsidR="00950C80">
        <w:t>'</w:t>
      </w:r>
      <w:r w:rsidRPr="00187DE1">
        <w:t xml:space="preserve">s </w:t>
      </w:r>
      <w:r w:rsidR="003D6DDA" w:rsidRPr="003D6DDA">
        <w:t>obstructive and reflux nephropathy</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31" w:name="_Toc2931413"/>
      <w:r w:rsidRPr="00301C54">
        <w:lastRenderedPageBreak/>
        <w:t>Factors referring to an injury or disea</w:t>
      </w:r>
      <w:r w:rsidR="008B2204">
        <w:t>se covered by another Statement</w:t>
      </w:r>
      <w:r w:rsidRPr="00301C54">
        <w:t xml:space="preserve"> of Principles</w:t>
      </w:r>
      <w:bookmarkEnd w:id="31"/>
    </w:p>
    <w:p w:rsidR="00F03C06" w:rsidRPr="00E64EE4" w:rsidRDefault="00F03C06" w:rsidP="00253D7C">
      <w:pPr>
        <w:pStyle w:val="PlainIndent"/>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2" w:name="opcAmSched"/>
      <w:bookmarkStart w:id="33" w:name="opcCurrentFind"/>
      <w:bookmarkStart w:id="34" w:name="_Toc2931414"/>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2931415"/>
      <w:r w:rsidRPr="00D97BB3">
        <w:t>Definitions</w:t>
      </w:r>
      <w:bookmarkEnd w:id="35"/>
      <w:bookmarkEnd w:id="36"/>
    </w:p>
    <w:p w:rsidR="00702C42" w:rsidRPr="00516768" w:rsidRDefault="00702C42" w:rsidP="00253D7C">
      <w:pPr>
        <w:pStyle w:val="SH2"/>
      </w:pPr>
      <w:r w:rsidRPr="00516768">
        <w:t>In this instrument:</w:t>
      </w:r>
    </w:p>
    <w:p w:rsidR="00885EAB" w:rsidRPr="009C404D" w:rsidRDefault="007B52F6" w:rsidP="004A1E0E">
      <w:pPr>
        <w:pStyle w:val="SH3"/>
      </w:pPr>
      <w:bookmarkStart w:id="37" w:name="_Ref402530810"/>
      <w:r w:rsidRPr="007B52F6">
        <w:tab/>
      </w:r>
      <w:r w:rsidR="00885EAB" w:rsidRPr="00E424C8">
        <w:rPr>
          <w:b/>
          <w:i/>
        </w:rPr>
        <w:t>MRCA</w:t>
      </w:r>
      <w:r w:rsidR="00885EAB" w:rsidRPr="00E424C8">
        <w:rPr>
          <w:b/>
        </w:rPr>
        <w:t xml:space="preserve"> </w:t>
      </w:r>
      <w:r w:rsidR="00885EAB" w:rsidRPr="00973808">
        <w:t>me</w:t>
      </w:r>
      <w:r w:rsidR="00885EAB" w:rsidRPr="00024911">
        <w:rPr>
          <w:rStyle w:val="SH3nospaceChar"/>
        </w:rPr>
        <w:t>a</w:t>
      </w:r>
      <w:r w:rsidR="00885EAB" w:rsidRPr="00973808">
        <w:t>ns</w:t>
      </w:r>
      <w:r w:rsidR="00885EAB" w:rsidRPr="009C404D">
        <w:t xml:space="preserve"> the </w:t>
      </w:r>
      <w:r w:rsidR="00885EAB" w:rsidRPr="00E424C8">
        <w:rPr>
          <w:i/>
        </w:rPr>
        <w:t>Military Rehabilitation and Compensation Act 2004</w:t>
      </w:r>
      <w:r w:rsidR="00885EAB" w:rsidRPr="009C404D">
        <w:t>.</w:t>
      </w:r>
    </w:p>
    <w:p w:rsidR="003D6DDA" w:rsidRDefault="003D6DDA" w:rsidP="003D6DDA">
      <w:pPr>
        <w:pStyle w:val="SH3"/>
      </w:pPr>
      <w:bookmarkStart w:id="38" w:name="_Ref402529607"/>
      <w:bookmarkEnd w:id="37"/>
      <w:r w:rsidRPr="003D6DDA">
        <w:rPr>
          <w:b/>
          <w:i/>
        </w:rPr>
        <w:t>neurogenic bladder</w:t>
      </w:r>
      <w:r w:rsidRPr="003D6DDA">
        <w:t xml:space="preserve"> means flaccid, spastic or mixed bladder dysfunction caused by neurological damage affecting the bladder. </w:t>
      </w:r>
      <w:r>
        <w:t xml:space="preserve"> </w:t>
      </w:r>
    </w:p>
    <w:p w:rsidR="003D6DDA" w:rsidRPr="003D6DDA" w:rsidRDefault="003D6DDA" w:rsidP="003D6DDA">
      <w:pPr>
        <w:pStyle w:val="ScheduleNote"/>
        <w:ind w:left="1276" w:hanging="425"/>
      </w:pPr>
      <w:r w:rsidRPr="003D6DDA">
        <w:t>Note: Examples of causes of neurogenic bladder include, but are not limited to, spinal cord injury</w:t>
      </w:r>
      <w:r>
        <w:t>,</w:t>
      </w:r>
      <w:r w:rsidRPr="003D6DDA">
        <w:t xml:space="preserve"> cerebrovascular accident</w:t>
      </w:r>
      <w:r>
        <w:t>,</w:t>
      </w:r>
      <w:r w:rsidRPr="003D6DDA">
        <w:t xml:space="preserve"> Parkinson's disease and diabetic autonomic neuropathy.</w:t>
      </w:r>
    </w:p>
    <w:p w:rsidR="003D6DDA" w:rsidRPr="00513D05" w:rsidRDefault="003D6DDA" w:rsidP="003D6DDA">
      <w:pPr>
        <w:pStyle w:val="SH3"/>
      </w:pPr>
      <w:proofErr w:type="gramStart"/>
      <w:r w:rsidRPr="003D6DDA">
        <w:rPr>
          <w:b/>
          <w:i/>
        </w:rPr>
        <w:t>obstructive</w:t>
      </w:r>
      <w:proofErr w:type="gramEnd"/>
      <w:r w:rsidRPr="003D6DDA">
        <w:rPr>
          <w:b/>
          <w:i/>
        </w:rPr>
        <w:t xml:space="preserve"> and reflux nephropathy</w:t>
      </w:r>
      <w:r w:rsidRPr="00513D05">
        <w:t>—see subsection</w:t>
      </w:r>
      <w:r>
        <w:t xml:space="preserve"> 7(2).</w:t>
      </w:r>
    </w:p>
    <w:p w:rsidR="0090262E" w:rsidRPr="0090262E" w:rsidRDefault="0090262E" w:rsidP="00576E99">
      <w:pPr>
        <w:pStyle w:val="SH3"/>
      </w:pPr>
      <w:r w:rsidRPr="00E424C8">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headerReference w:type="first" r:id="rId15"/>
          <w:footerReference w:type="first" r:id="rId16"/>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3D6DDA" w:rsidP="004A2007">
          <w:pPr>
            <w:spacing w:line="0" w:lineRule="atLeast"/>
            <w:jc w:val="center"/>
            <w:rPr>
              <w:i/>
              <w:sz w:val="18"/>
              <w:szCs w:val="18"/>
            </w:rPr>
          </w:pPr>
          <w:r w:rsidRPr="003D6DDA">
            <w:rPr>
              <w:i/>
              <w:sz w:val="18"/>
              <w:szCs w:val="18"/>
            </w:rPr>
            <w:t>Obstructive And Reflux Nephropathy</w:t>
          </w:r>
          <w:r w:rsidR="004A2007">
            <w:rPr>
              <w:i/>
              <w:sz w:val="18"/>
              <w:szCs w:val="18"/>
            </w:rPr>
            <w:t xml:space="preserve"> (Reasonable Hypothesis) </w:t>
          </w:r>
          <w:r w:rsidR="004A2007" w:rsidRPr="007C5CE0">
            <w:rPr>
              <w:i/>
              <w:sz w:val="18"/>
            </w:rPr>
            <w:t xml:space="preserve">(No. </w:t>
          </w:r>
          <w:r w:rsidR="00386836">
            <w:rPr>
              <w:i/>
              <w:sz w:val="18"/>
            </w:rPr>
            <w:t>85</w:t>
          </w:r>
          <w:r w:rsidR="004A2007" w:rsidRPr="007C5CE0">
            <w:rPr>
              <w:i/>
              <w:sz w:val="18"/>
              <w:szCs w:val="18"/>
            </w:rPr>
            <w:t xml:space="preserve"> of </w:t>
          </w:r>
          <w:r w:rsidRPr="003D6DDA">
            <w:rPr>
              <w:i/>
              <w:sz w:val="18"/>
              <w:szCs w:val="18"/>
            </w:rPr>
            <w:t>2019</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751E3">
            <w:rPr>
              <w:i/>
              <w:noProof/>
              <w:sz w:val="18"/>
            </w:rPr>
            <w:t>7</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8751E3">
            <w:rPr>
              <w:i/>
              <w:noProof/>
              <w:sz w:val="18"/>
            </w:rPr>
            <w:t>7</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3D6DDA" w:rsidP="004A2007">
          <w:pPr>
            <w:spacing w:line="0" w:lineRule="atLeast"/>
            <w:jc w:val="center"/>
            <w:rPr>
              <w:i/>
              <w:sz w:val="18"/>
              <w:szCs w:val="18"/>
            </w:rPr>
          </w:pPr>
          <w:r w:rsidRPr="003D6DDA">
            <w:rPr>
              <w:i/>
              <w:sz w:val="18"/>
              <w:szCs w:val="18"/>
            </w:rPr>
            <w:t>Obstructive And Reflux Nephropathy</w:t>
          </w:r>
          <w:r w:rsidR="004A2007">
            <w:rPr>
              <w:i/>
              <w:sz w:val="18"/>
              <w:szCs w:val="18"/>
            </w:rPr>
            <w:t xml:space="preserve"> (Reasonable Hypothesis) </w:t>
          </w:r>
          <w:r w:rsidR="004A2007" w:rsidRPr="007C5CE0">
            <w:rPr>
              <w:i/>
              <w:sz w:val="18"/>
            </w:rPr>
            <w:t xml:space="preserve">(No. </w:t>
          </w:r>
          <w:r w:rsidR="00386836">
            <w:rPr>
              <w:i/>
              <w:sz w:val="18"/>
              <w:szCs w:val="18"/>
            </w:rPr>
            <w:t>85</w:t>
          </w:r>
          <w:r w:rsidR="004A2007" w:rsidRPr="007C5CE0">
            <w:rPr>
              <w:i/>
              <w:sz w:val="18"/>
              <w:szCs w:val="18"/>
            </w:rPr>
            <w:t xml:space="preserve"> of </w:t>
          </w:r>
          <w:r w:rsidRPr="003D6DDA">
            <w:rPr>
              <w:i/>
              <w:sz w:val="18"/>
              <w:szCs w:val="18"/>
            </w:rPr>
            <w:t>2019</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751E3">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8751E3">
            <w:rPr>
              <w:i/>
              <w:noProof/>
              <w:sz w:val="18"/>
            </w:rPr>
            <w:t>7</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5C8" w:rsidRPr="00ED20B7" w:rsidRDefault="00D915C8"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245C"/>
    <w:rsid w:val="000437C1"/>
    <w:rsid w:val="00046E67"/>
    <w:rsid w:val="00051B75"/>
    <w:rsid w:val="0005365D"/>
    <w:rsid w:val="00054930"/>
    <w:rsid w:val="000614BF"/>
    <w:rsid w:val="00061E3E"/>
    <w:rsid w:val="00081B7C"/>
    <w:rsid w:val="00085567"/>
    <w:rsid w:val="0008674F"/>
    <w:rsid w:val="00097FDF"/>
    <w:rsid w:val="000A3D68"/>
    <w:rsid w:val="000A651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D74C5"/>
    <w:rsid w:val="002E35CD"/>
    <w:rsid w:val="002E3F4B"/>
    <w:rsid w:val="002E6552"/>
    <w:rsid w:val="002F5652"/>
    <w:rsid w:val="002F5948"/>
    <w:rsid w:val="002F77A1"/>
    <w:rsid w:val="00301C54"/>
    <w:rsid w:val="00304166"/>
    <w:rsid w:val="00304F8B"/>
    <w:rsid w:val="0032243F"/>
    <w:rsid w:val="003309B4"/>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86836"/>
    <w:rsid w:val="003A189F"/>
    <w:rsid w:val="003A2FFE"/>
    <w:rsid w:val="003A5C26"/>
    <w:rsid w:val="003B3E42"/>
    <w:rsid w:val="003C4C02"/>
    <w:rsid w:val="003C6231"/>
    <w:rsid w:val="003D0BFE"/>
    <w:rsid w:val="003D380A"/>
    <w:rsid w:val="003D5700"/>
    <w:rsid w:val="003D6DDA"/>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4BCA"/>
    <w:rsid w:val="004E063A"/>
    <w:rsid w:val="004E40C0"/>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A90"/>
    <w:rsid w:val="00576E99"/>
    <w:rsid w:val="00584811"/>
    <w:rsid w:val="00585784"/>
    <w:rsid w:val="00593AA6"/>
    <w:rsid w:val="00594161"/>
    <w:rsid w:val="00594749"/>
    <w:rsid w:val="005962C4"/>
    <w:rsid w:val="005B05D3"/>
    <w:rsid w:val="005B4067"/>
    <w:rsid w:val="005C3F41"/>
    <w:rsid w:val="005C74AC"/>
    <w:rsid w:val="005C7B57"/>
    <w:rsid w:val="005C7CC5"/>
    <w:rsid w:val="005D2D09"/>
    <w:rsid w:val="005E589B"/>
    <w:rsid w:val="005E7FC2"/>
    <w:rsid w:val="00600219"/>
    <w:rsid w:val="006013B7"/>
    <w:rsid w:val="00603D01"/>
    <w:rsid w:val="00603DC4"/>
    <w:rsid w:val="0060681C"/>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0BB7"/>
    <w:rsid w:val="0086173B"/>
    <w:rsid w:val="0086644D"/>
    <w:rsid w:val="00867ABD"/>
    <w:rsid w:val="00867B37"/>
    <w:rsid w:val="00873081"/>
    <w:rsid w:val="008751E3"/>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D6CF8"/>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1893"/>
    <w:rsid w:val="00947D5A"/>
    <w:rsid w:val="00950C80"/>
    <w:rsid w:val="009532A5"/>
    <w:rsid w:val="00956922"/>
    <w:rsid w:val="009612CF"/>
    <w:rsid w:val="009724F4"/>
    <w:rsid w:val="00973808"/>
    <w:rsid w:val="00982242"/>
    <w:rsid w:val="00984EE9"/>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54EA"/>
    <w:rsid w:val="00A36B1A"/>
    <w:rsid w:val="00A50A18"/>
    <w:rsid w:val="00A515BC"/>
    <w:rsid w:val="00A56C3D"/>
    <w:rsid w:val="00A6070D"/>
    <w:rsid w:val="00A64912"/>
    <w:rsid w:val="00A64BA1"/>
    <w:rsid w:val="00A70A74"/>
    <w:rsid w:val="00A77E0D"/>
    <w:rsid w:val="00A931D7"/>
    <w:rsid w:val="00AA64D6"/>
    <w:rsid w:val="00AA6D8B"/>
    <w:rsid w:val="00AC5296"/>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0C80"/>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261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4861"/>
    <w:rsid w:val="00CC7039"/>
    <w:rsid w:val="00CD6358"/>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80AEB"/>
    <w:rsid w:val="00D90653"/>
    <w:rsid w:val="00D915C8"/>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3270E"/>
    <w:rsid w:val="00E338EF"/>
    <w:rsid w:val="00E35C4E"/>
    <w:rsid w:val="00E424C8"/>
    <w:rsid w:val="00E443FF"/>
    <w:rsid w:val="00E544BB"/>
    <w:rsid w:val="00E55F66"/>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C44F3"/>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1363</Words>
  <Characters>7773</Characters>
  <Application>Microsoft Office Word</Application>
  <DocSecurity>0</DocSecurity>
  <PresentationFormat/>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2019-03-07T23:54:00Z</dcterms:created>
  <dcterms:modified xsi:type="dcterms:W3CDTF">2019-08-20T05:01:00Z</dcterms:modified>
  <cp:category/>
  <cp:contentStatus/>
  <dc:language/>
  <cp:version/>
</cp:coreProperties>
</file>