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D53EE3" w:rsidP="006647B7">
      <w:pPr>
        <w:pStyle w:val="Plainheader"/>
      </w:pPr>
      <w:bookmarkStart w:id="0" w:name="SoP_Name_Title"/>
      <w:r>
        <w:t xml:space="preserve">MACULAR </w:t>
      </w:r>
      <w:proofErr w:type="gramStart"/>
      <w:r>
        <w:t>DEGENERATION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91E02">
        <w:t>59</w:t>
      </w:r>
      <w:bookmarkEnd w:id="1"/>
      <w:r w:rsidRPr="00024911">
        <w:t xml:space="preserve"> of</w:t>
      </w:r>
      <w:r w:rsidR="00085567">
        <w:t xml:space="preserve"> </w:t>
      </w:r>
      <w:bookmarkStart w:id="2" w:name="year"/>
      <w:r w:rsidR="00D53EE3">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691E02" w:rsidP="00E65BB9">
      <w:pPr>
        <w:pStyle w:val="Plain"/>
        <w:rPr>
          <w:b w:val="0"/>
        </w:rPr>
      </w:pPr>
      <w:r w:rsidRPr="00691E02">
        <w:rPr>
          <w:b w:val="0"/>
        </w:rPr>
        <w:t>Dated</w:t>
      </w:r>
      <w:r>
        <w:rPr>
          <w:b w:val="0"/>
        </w:rPr>
        <w:tab/>
      </w:r>
      <w:r>
        <w:rPr>
          <w:b w:val="0"/>
        </w:rPr>
        <w:tab/>
      </w:r>
      <w:r>
        <w:rPr>
          <w:b w:val="0"/>
        </w:rPr>
        <w:tab/>
      </w:r>
      <w:r>
        <w:rPr>
          <w:b w:val="0"/>
        </w:rPr>
        <w:tab/>
        <w:t xml:space="preserve">    </w:t>
      </w:r>
      <w:r w:rsidRPr="00691E02">
        <w:rPr>
          <w:b w:val="0"/>
        </w:rPr>
        <w:tab/>
      </w:r>
      <w:r>
        <w:rPr>
          <w:b w:val="0"/>
        </w:rPr>
        <w:tab/>
      </w:r>
      <w:r w:rsidRPr="00691E02">
        <w:rPr>
          <w:b w:val="0"/>
        </w:rPr>
        <w:t>22 June 2018</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E495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E65BB9" w:rsidRDefault="00EE4950" w:rsidP="00E65BB9">
            <w:pPr>
              <w:pStyle w:val="Plain"/>
              <w:rPr>
                <w:b w:val="0"/>
              </w:rPr>
            </w:pPr>
            <w:r w:rsidRPr="00E65BB9">
              <w:rPr>
                <w:b w:val="0"/>
              </w:rPr>
              <w:t>The Common Seal of the</w:t>
            </w:r>
            <w:r w:rsidRPr="00E65BB9">
              <w:rPr>
                <w:b w:val="0"/>
              </w:rPr>
              <w:br/>
              <w:t>Repatriation Medical Authority</w:t>
            </w:r>
            <w:r w:rsidRPr="00E65BB9">
              <w:rPr>
                <w:b w:val="0"/>
              </w:rPr>
              <w:br/>
              <w:t>was affixed to this instrument</w:t>
            </w:r>
            <w:r w:rsidRPr="00E65BB9">
              <w:rPr>
                <w:b w:val="0"/>
              </w:rPr>
              <w:br/>
              <w:t>at the direction of:</w:t>
            </w:r>
          </w:p>
          <w:p w:rsidR="00EE4950" w:rsidRPr="00E65BB9" w:rsidRDefault="00EE4950" w:rsidP="00E65BB9">
            <w:pPr>
              <w:pStyle w:val="Plain"/>
              <w:rPr>
                <w:b w:val="0"/>
              </w:rPr>
            </w:pPr>
          </w:p>
        </w:tc>
      </w:tr>
      <w:tr w:rsidR="00EE4950" w:rsidTr="0034373D">
        <w:tc>
          <w:tcPr>
            <w:tcW w:w="4116" w:type="dxa"/>
          </w:tcPr>
          <w:p w:rsidR="00EE4950" w:rsidRPr="00E65BB9" w:rsidRDefault="00EE4950" w:rsidP="00E65BB9">
            <w:pPr>
              <w:pStyle w:val="Plain"/>
              <w:spacing w:before="0"/>
              <w:rPr>
                <w:b w:val="0"/>
              </w:rPr>
            </w:pPr>
          </w:p>
          <w:p w:rsidR="00EE4950" w:rsidRPr="00E65BB9" w:rsidRDefault="00D37063" w:rsidP="00E65BB9">
            <w:pPr>
              <w:pStyle w:val="Plain"/>
              <w:spacing w:before="0"/>
              <w:rPr>
                <w:b w:val="0"/>
              </w:rPr>
            </w:pPr>
            <w:r>
              <w:rPr>
                <w:noProof/>
              </w:rPr>
              <w:drawing>
                <wp:inline distT="0" distB="0" distL="0" distR="0" wp14:anchorId="56211CD7" wp14:editId="21007BBE">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EE4950" w:rsidRPr="00E65BB9" w:rsidRDefault="00EE4950" w:rsidP="00E65BB9">
            <w:pPr>
              <w:pStyle w:val="Plain"/>
              <w:spacing w:before="0"/>
              <w:rPr>
                <w:b w:val="0"/>
              </w:rPr>
            </w:pPr>
            <w:r w:rsidRPr="00E65BB9">
              <w:rPr>
                <w:b w:val="0"/>
              </w:rPr>
              <w:t>Professor Nicholas Saunders AO</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91E0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91E02">
        <w:rPr>
          <w:noProof/>
        </w:rPr>
        <w:t>1</w:t>
      </w:r>
      <w:r w:rsidR="00691E02">
        <w:rPr>
          <w:rFonts w:asciiTheme="minorHAnsi" w:eastAsiaTheme="minorEastAsia" w:hAnsiTheme="minorHAnsi" w:cstheme="minorBidi"/>
          <w:noProof/>
          <w:kern w:val="0"/>
          <w:sz w:val="22"/>
          <w:szCs w:val="22"/>
        </w:rPr>
        <w:tab/>
      </w:r>
      <w:r w:rsidR="00691E02">
        <w:rPr>
          <w:noProof/>
        </w:rPr>
        <w:t>Name</w:t>
      </w:r>
      <w:r w:rsidR="00691E02">
        <w:rPr>
          <w:noProof/>
        </w:rPr>
        <w:tab/>
      </w:r>
      <w:r w:rsidR="00691E02">
        <w:rPr>
          <w:noProof/>
        </w:rPr>
        <w:fldChar w:fldCharType="begin"/>
      </w:r>
      <w:r w:rsidR="00691E02">
        <w:rPr>
          <w:noProof/>
        </w:rPr>
        <w:instrText xml:space="preserve"> PAGEREF _Toc513815282 \h </w:instrText>
      </w:r>
      <w:r w:rsidR="00691E02">
        <w:rPr>
          <w:noProof/>
        </w:rPr>
      </w:r>
      <w:r w:rsidR="00691E02">
        <w:rPr>
          <w:noProof/>
        </w:rPr>
        <w:fldChar w:fldCharType="separate"/>
      </w:r>
      <w:r w:rsidR="00FA27B7">
        <w:rPr>
          <w:noProof/>
        </w:rPr>
        <w:t>3</w:t>
      </w:r>
      <w:r w:rsidR="00691E02">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_Toc513815283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_Toc513815284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_Toc513815285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_Toc513815286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_Toc513815287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_Toc513815288 \h </w:instrText>
      </w:r>
      <w:r>
        <w:rPr>
          <w:noProof/>
        </w:rPr>
      </w:r>
      <w:r>
        <w:rPr>
          <w:noProof/>
        </w:rPr>
        <w:fldChar w:fldCharType="separate"/>
      </w:r>
      <w:r w:rsidR="00FA27B7">
        <w:rPr>
          <w:noProof/>
        </w:rPr>
        <w:t>3</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_Toc513815289 \h </w:instrText>
      </w:r>
      <w:r>
        <w:rPr>
          <w:noProof/>
        </w:rPr>
      </w:r>
      <w:r>
        <w:rPr>
          <w:noProof/>
        </w:rPr>
        <w:fldChar w:fldCharType="separate"/>
      </w:r>
      <w:r w:rsidR="00FA27B7">
        <w:rPr>
          <w:noProof/>
        </w:rPr>
        <w:t>4</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_Toc513815290 \h </w:instrText>
      </w:r>
      <w:r>
        <w:rPr>
          <w:noProof/>
        </w:rPr>
      </w:r>
      <w:r>
        <w:rPr>
          <w:noProof/>
        </w:rPr>
        <w:fldChar w:fldCharType="separate"/>
      </w:r>
      <w:r w:rsidR="00FA27B7">
        <w:rPr>
          <w:noProof/>
        </w:rPr>
        <w:t>4</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_Toc513815291 \h </w:instrText>
      </w:r>
      <w:r>
        <w:rPr>
          <w:noProof/>
        </w:rPr>
      </w:r>
      <w:r>
        <w:rPr>
          <w:noProof/>
        </w:rPr>
        <w:fldChar w:fldCharType="separate"/>
      </w:r>
      <w:r w:rsidR="00FA27B7">
        <w:rPr>
          <w:noProof/>
        </w:rPr>
        <w:t>6</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_Toc513815292 \h </w:instrText>
      </w:r>
      <w:r>
        <w:rPr>
          <w:noProof/>
        </w:rPr>
      </w:r>
      <w:r>
        <w:rPr>
          <w:noProof/>
        </w:rPr>
        <w:fldChar w:fldCharType="separate"/>
      </w:r>
      <w:r w:rsidR="00FA27B7">
        <w:rPr>
          <w:noProof/>
        </w:rPr>
        <w:t>7</w:t>
      </w:r>
      <w:r>
        <w:rPr>
          <w:noProof/>
        </w:rPr>
        <w:fldChar w:fldCharType="end"/>
      </w:r>
    </w:p>
    <w:p w:rsidR="00691E02" w:rsidRDefault="00691E0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_Toc513815293 \h </w:instrText>
      </w:r>
      <w:r>
        <w:rPr>
          <w:noProof/>
        </w:rPr>
      </w:r>
      <w:r>
        <w:rPr>
          <w:noProof/>
        </w:rPr>
        <w:fldChar w:fldCharType="separate"/>
      </w:r>
      <w:r w:rsidR="00FA27B7">
        <w:rPr>
          <w:noProof/>
        </w:rPr>
        <w:t>8</w:t>
      </w:r>
      <w:r>
        <w:rPr>
          <w:noProof/>
        </w:rPr>
        <w:fldChar w:fldCharType="end"/>
      </w:r>
    </w:p>
    <w:p w:rsidR="00691E02" w:rsidRDefault="00691E0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_Toc513815294 \h </w:instrText>
      </w:r>
      <w:r>
        <w:rPr>
          <w:noProof/>
        </w:rPr>
      </w:r>
      <w:r>
        <w:rPr>
          <w:noProof/>
        </w:rPr>
        <w:fldChar w:fldCharType="separate"/>
      </w:r>
      <w:r w:rsidR="00FA27B7">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513815282"/>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53EE3">
        <w:rPr>
          <w:i/>
        </w:rPr>
        <w:t>macular degeneration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91E02">
        <w:t>59</w:t>
      </w:r>
      <w:r w:rsidR="00085567">
        <w:t xml:space="preserve"> </w:t>
      </w:r>
      <w:r w:rsidR="00E55F66" w:rsidRPr="00F97A62">
        <w:t>of</w:t>
      </w:r>
      <w:r w:rsidR="00085567">
        <w:t xml:space="preserve"> </w:t>
      </w:r>
      <w:r w:rsidR="00D53EE3">
        <w:t>2018</w:t>
      </w:r>
      <w:r w:rsidR="00E55F66" w:rsidRPr="00F97A62">
        <w:t>)</w:t>
      </w:r>
      <w:r w:rsidRPr="00F97A62">
        <w:t>.</w:t>
      </w:r>
    </w:p>
    <w:p w:rsidR="00F67B67" w:rsidRPr="00684C0E" w:rsidRDefault="00F67B67" w:rsidP="005D6D98">
      <w:pPr>
        <w:pStyle w:val="LV1"/>
      </w:pPr>
      <w:bookmarkStart w:id="7" w:name="_Toc513815283"/>
      <w:r w:rsidRPr="00684C0E">
        <w:t>Commencement</w:t>
      </w:r>
      <w:bookmarkEnd w:id="7"/>
    </w:p>
    <w:p w:rsidR="00F67B67" w:rsidRPr="007527C1" w:rsidRDefault="007527C1" w:rsidP="005D6D98">
      <w:pPr>
        <w:pStyle w:val="PlainIndent"/>
      </w:pPr>
      <w:r w:rsidRPr="007527C1">
        <w:tab/>
      </w:r>
      <w:r w:rsidR="00F67B67" w:rsidRPr="007527C1">
        <w:t xml:space="preserve">This instrument commences on </w:t>
      </w:r>
      <w:r w:rsidR="008C5428">
        <w:t>23 July 2018</w:t>
      </w:r>
      <w:r w:rsidR="00F67B67" w:rsidRPr="007527C1">
        <w:t>.</w:t>
      </w:r>
    </w:p>
    <w:p w:rsidR="00F67B67" w:rsidRPr="00684C0E" w:rsidRDefault="00F67B67" w:rsidP="005D6D98">
      <w:pPr>
        <w:pStyle w:val="LV1"/>
      </w:pPr>
      <w:bookmarkStart w:id="8" w:name="_Toc513815284"/>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513815285"/>
      <w:r>
        <w:t>Re</w:t>
      </w:r>
      <w:r w:rsidR="001D2F34">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D53EE3" w:rsidRPr="00D53EE3">
        <w:t>macular degeneration</w:t>
      </w:r>
      <w:r w:rsidRPr="00DA3996">
        <w:t xml:space="preserve"> No. </w:t>
      </w:r>
      <w:r w:rsidR="00D53EE3">
        <w:t>13</w:t>
      </w:r>
      <w:r w:rsidRPr="00DA3996">
        <w:t xml:space="preserve"> of </w:t>
      </w:r>
      <w:r w:rsidR="00D53EE3">
        <w:t>2009</w:t>
      </w:r>
      <w:r w:rsidR="001D2F34">
        <w:t xml:space="preserve"> (Federal Register of Legislation No. F</w:t>
      </w:r>
      <w:r w:rsidR="001D2F34" w:rsidRPr="001D2F34">
        <w:t>2012C00634</w:t>
      </w:r>
      <w:r w:rsidR="001D2F34">
        <w:t>)</w:t>
      </w:r>
      <w:r w:rsidRPr="00DA3996">
        <w:t xml:space="preserve"> made under subsections </w:t>
      </w:r>
      <w:proofErr w:type="gramStart"/>
      <w:r w:rsidRPr="00DA3996">
        <w:t>196B(</w:t>
      </w:r>
      <w:proofErr w:type="gramEnd"/>
      <w:r w:rsidRPr="00DA3996">
        <w:t xml:space="preserve">2) and (8) of the VEA </w:t>
      </w:r>
      <w:r>
        <w:t>i</w:t>
      </w:r>
      <w:r w:rsidRPr="007527C1">
        <w:t>s</w:t>
      </w:r>
      <w:r>
        <w:t xml:space="preserve"> re</w:t>
      </w:r>
      <w:r w:rsidR="001D2F34">
        <w:t>pealed</w:t>
      </w:r>
      <w:r>
        <w:t xml:space="preserve">. </w:t>
      </w:r>
    </w:p>
    <w:p w:rsidR="007C7DEE" w:rsidRPr="00684C0E" w:rsidRDefault="007C7DEE" w:rsidP="005D6D98">
      <w:pPr>
        <w:pStyle w:val="LV1"/>
      </w:pPr>
      <w:bookmarkStart w:id="10" w:name="_Toc513815286"/>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 xml:space="preserve">or </w:t>
      </w:r>
      <w:proofErr w:type="gramStart"/>
      <w:r w:rsidRPr="007527C1">
        <w:t>section</w:t>
      </w:r>
      <w:proofErr w:type="gramEnd"/>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513815287"/>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3" w:name="_Ref409687573"/>
      <w:bookmarkStart w:id="14" w:name="_Ref409687579"/>
      <w:bookmarkStart w:id="15" w:name="_Ref409687725"/>
      <w:bookmarkStart w:id="16" w:name="_Toc51381528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D6D98">
      <w:pPr>
        <w:pStyle w:val="LV2"/>
      </w:pPr>
      <w:bookmarkStart w:id="17" w:name="_Ref403053584"/>
      <w:r w:rsidRPr="00D5620B">
        <w:t xml:space="preserve">This Statement of Principles is </w:t>
      </w:r>
      <w:r w:rsidRPr="002F77A1">
        <w:t xml:space="preserve">about </w:t>
      </w:r>
      <w:r w:rsidR="00D53EE3" w:rsidRPr="00D53EE3">
        <w:t>macular degeneration</w:t>
      </w:r>
      <w:r w:rsidR="00D5620B" w:rsidRPr="002F77A1">
        <w:t xml:space="preserve"> </w:t>
      </w:r>
      <w:r w:rsidRPr="002F77A1">
        <w:t>and death</w:t>
      </w:r>
      <w:r w:rsidRPr="00D5620B">
        <w:t xml:space="preserve"> from</w:t>
      </w:r>
      <w:r w:rsidR="002F77A1">
        <w:t xml:space="preserve"> </w:t>
      </w:r>
      <w:r w:rsidR="00D53EE3" w:rsidRPr="00D53EE3">
        <w:t>macular degeneration</w:t>
      </w:r>
      <w:r w:rsidRPr="00D5620B">
        <w:t>.</w:t>
      </w:r>
      <w:bookmarkEnd w:id="17"/>
    </w:p>
    <w:p w:rsidR="00215860" w:rsidRPr="00C670B0" w:rsidRDefault="00215860" w:rsidP="00C670B0">
      <w:pPr>
        <w:pStyle w:val="LVtext"/>
      </w:pPr>
      <w:r w:rsidRPr="00C670B0">
        <w:t>Meaning of</w:t>
      </w:r>
      <w:r w:rsidR="00D60FC8" w:rsidRPr="00C670B0">
        <w:t xml:space="preserve"> </w:t>
      </w:r>
      <w:r w:rsidR="00D53EE3" w:rsidRPr="00D53EE3">
        <w:rPr>
          <w:b/>
        </w:rPr>
        <w:t>macular degeneration</w:t>
      </w:r>
    </w:p>
    <w:p w:rsidR="002716E4" w:rsidRPr="00237BAF" w:rsidRDefault="007C7DEE" w:rsidP="005D6D98">
      <w:pPr>
        <w:pStyle w:val="LV2"/>
      </w:pPr>
      <w:bookmarkStart w:id="18" w:name="_Ref409598124"/>
      <w:bookmarkStart w:id="19" w:name="_Ref402529683"/>
      <w:r w:rsidRPr="00237BAF">
        <w:t>For the purposes of this Statement of Principles,</w:t>
      </w:r>
      <w:r w:rsidR="002F77A1" w:rsidRPr="002F77A1">
        <w:t xml:space="preserve"> </w:t>
      </w:r>
      <w:r w:rsidR="00D53EE3" w:rsidRPr="00D53EE3">
        <w:t>macular degeneration</w:t>
      </w:r>
      <w:r w:rsidR="002716E4" w:rsidRPr="00237BAF">
        <w:t>:</w:t>
      </w:r>
      <w:bookmarkEnd w:id="18"/>
    </w:p>
    <w:bookmarkEnd w:id="19"/>
    <w:p w:rsidR="005D6D98" w:rsidRPr="008E76DC" w:rsidRDefault="005D6D98" w:rsidP="00D53EE3">
      <w:pPr>
        <w:pStyle w:val="LV3"/>
      </w:pPr>
      <w:r>
        <w:t xml:space="preserve">means </w:t>
      </w:r>
      <w:r w:rsidRPr="008E76DC">
        <w:t xml:space="preserve">a </w:t>
      </w:r>
      <w:r w:rsidR="00D53EE3" w:rsidRPr="00D53EE3">
        <w:t>group of degenerative diseases of the macula of the eye that may cause progressive, painless loss of central vision</w:t>
      </w:r>
      <w:r w:rsidRPr="008E76DC">
        <w:t>; and</w:t>
      </w:r>
    </w:p>
    <w:p w:rsidR="00D53EE3" w:rsidRDefault="005D6D98" w:rsidP="005D6D98">
      <w:pPr>
        <w:pStyle w:val="LV3"/>
      </w:pPr>
      <w:r w:rsidRPr="008E76DC">
        <w:t>includes</w:t>
      </w:r>
      <w:r w:rsidR="00D53EE3">
        <w:t>:</w:t>
      </w:r>
    </w:p>
    <w:p w:rsidR="00D53EE3" w:rsidRDefault="00D53EE3" w:rsidP="00D53EE3">
      <w:pPr>
        <w:pStyle w:val="LV4"/>
      </w:pPr>
      <w:r>
        <w:tab/>
        <w:t>early macular degeneration; and</w:t>
      </w:r>
    </w:p>
    <w:p w:rsidR="005D6D98" w:rsidRDefault="00D53EE3" w:rsidP="00D53EE3">
      <w:pPr>
        <w:pStyle w:val="LV4"/>
      </w:pPr>
      <w:r>
        <w:tab/>
        <w:t>late macular degeneration; and</w:t>
      </w:r>
    </w:p>
    <w:p w:rsidR="005D6D98" w:rsidRPr="00CC20AF" w:rsidRDefault="005D6D98" w:rsidP="00D53EE3">
      <w:pPr>
        <w:pStyle w:val="LV3"/>
      </w:pPr>
      <w:proofErr w:type="gramStart"/>
      <w:r w:rsidRPr="00CC20AF">
        <w:t>excludes</w:t>
      </w:r>
      <w:proofErr w:type="gramEnd"/>
      <w:r w:rsidRPr="00CC20AF">
        <w:t xml:space="preserve"> </w:t>
      </w:r>
      <w:r w:rsidR="00D53EE3" w:rsidRPr="00CC20AF">
        <w:t>toxic retinopathy</w:t>
      </w:r>
      <w:r w:rsidRPr="00CC20AF">
        <w:t>.</w:t>
      </w:r>
    </w:p>
    <w:p w:rsidR="00D53EE3" w:rsidRPr="00CC20AF" w:rsidRDefault="00D53EE3" w:rsidP="006F5C1C">
      <w:pPr>
        <w:pStyle w:val="Note2"/>
        <w:ind w:left="1985" w:hanging="567"/>
      </w:pPr>
      <w:r w:rsidRPr="00CC20AF">
        <w:t xml:space="preserve">Note: </w:t>
      </w:r>
      <w:r w:rsidR="001D2F34">
        <w:t xml:space="preserve"> </w:t>
      </w:r>
      <w:r w:rsidR="00E82B21" w:rsidRPr="00CC20AF">
        <w:t xml:space="preserve"> </w:t>
      </w:r>
      <w:r w:rsidRPr="00CC20AF">
        <w:rPr>
          <w:b/>
          <w:i/>
        </w:rPr>
        <w:t>early macular degeneration</w:t>
      </w:r>
      <w:r w:rsidRPr="00CC20AF">
        <w:t xml:space="preserve"> and </w:t>
      </w:r>
      <w:r w:rsidR="00287D82" w:rsidRPr="00CC20AF">
        <w:rPr>
          <w:b/>
          <w:i/>
        </w:rPr>
        <w:t>late</w:t>
      </w:r>
      <w:r w:rsidRPr="00CC20AF">
        <w:rPr>
          <w:b/>
          <w:i/>
        </w:rPr>
        <w:t xml:space="preserve"> macular degeneration</w:t>
      </w:r>
      <w:r w:rsidRPr="00CC20AF">
        <w:t xml:space="preserve"> are defined in the Schedule</w:t>
      </w:r>
      <w:r w:rsidR="00E82B21" w:rsidRPr="00CC20AF">
        <w:t> </w:t>
      </w:r>
      <w:r w:rsidRPr="00CC20AF">
        <w:t>1</w:t>
      </w:r>
      <w:r w:rsidR="00E82B21" w:rsidRPr="00CC20AF">
        <w:t> </w:t>
      </w:r>
      <w:r w:rsidRPr="00CC20AF">
        <w:t>–</w:t>
      </w:r>
      <w:r w:rsidR="00E82B21" w:rsidRPr="00CC20AF">
        <w:t> </w:t>
      </w:r>
      <w:r w:rsidRPr="00CC20AF">
        <w:t>Dictionary.</w:t>
      </w:r>
    </w:p>
    <w:p w:rsidR="00FD775E" w:rsidRDefault="00237BAF" w:rsidP="00E82B21">
      <w:pPr>
        <w:pStyle w:val="LVtext"/>
        <w:keepNext/>
      </w:pPr>
      <w:r w:rsidRPr="003A5C26">
        <w:lastRenderedPageBreak/>
        <w:t>Death from</w:t>
      </w:r>
      <w:r w:rsidR="008F572A" w:rsidRPr="00237BAF">
        <w:t xml:space="preserve"> </w:t>
      </w:r>
      <w:r w:rsidR="00D53EE3" w:rsidRPr="00D53EE3">
        <w:rPr>
          <w:b/>
        </w:rPr>
        <w:t>macular degeneration</w:t>
      </w:r>
    </w:p>
    <w:p w:rsidR="008F572A" w:rsidRPr="00237BAF" w:rsidRDefault="008F572A" w:rsidP="005D6D98">
      <w:pPr>
        <w:pStyle w:val="LV2"/>
      </w:pPr>
      <w:r w:rsidRPr="00237BAF">
        <w:t xml:space="preserve">For the purposes of this Statement of </w:t>
      </w:r>
      <w:r w:rsidR="00D5620B">
        <w:t xml:space="preserve">Principles, </w:t>
      </w:r>
      <w:r w:rsidR="00D53EE3" w:rsidRPr="00D53EE3">
        <w:t>macular degeneration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D53EE3" w:rsidRPr="00D53EE3">
        <w:t>macular degeneration</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0" w:name="_Toc513815289"/>
      <w:r w:rsidRPr="00A20CA1">
        <w:t>Basis for determining the factors</w:t>
      </w:r>
      <w:bookmarkEnd w:id="20"/>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53EE3" w:rsidRPr="00D53EE3">
        <w:t>macular degeneration</w:t>
      </w:r>
      <w:r>
        <w:t xml:space="preserve"> </w:t>
      </w:r>
      <w:r w:rsidRPr="00D5620B">
        <w:t>and death from</w:t>
      </w:r>
      <w:r>
        <w:t xml:space="preserve"> </w:t>
      </w:r>
      <w:r w:rsidR="00D53EE3" w:rsidRPr="00D53EE3">
        <w:t>macular degeneration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1" w:name="_Ref411946955"/>
      <w:bookmarkStart w:id="22" w:name="_Ref411946997"/>
      <w:bookmarkStart w:id="23" w:name="_Ref412032503"/>
      <w:bookmarkStart w:id="24" w:name="_Toc513815290"/>
      <w:r w:rsidRPr="00301C54">
        <w:t xml:space="preserve">Factors that must </w:t>
      </w:r>
      <w:r w:rsidR="00D32F71">
        <w:t>exist</w:t>
      </w:r>
      <w:bookmarkEnd w:id="21"/>
      <w:bookmarkEnd w:id="22"/>
      <w:bookmarkEnd w:id="23"/>
      <w:bookmarkEnd w:id="24"/>
    </w:p>
    <w:p w:rsidR="007C7DEE" w:rsidRPr="00AA6D8B" w:rsidRDefault="002716E4" w:rsidP="005D6D98">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53EE3" w:rsidRPr="00D53EE3">
        <w:t>macular degeneration</w:t>
      </w:r>
      <w:r w:rsidR="007A3989">
        <w:t xml:space="preserve"> </w:t>
      </w:r>
      <w:r w:rsidR="007C7DEE" w:rsidRPr="00AA6D8B">
        <w:t xml:space="preserve">or death from </w:t>
      </w:r>
      <w:r w:rsidR="00D53EE3" w:rsidRPr="00D53EE3">
        <w:t>macular degeneration</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5"/>
    </w:p>
    <w:p w:rsidR="005D6D98" w:rsidRPr="008E76DC" w:rsidRDefault="0076213D" w:rsidP="0076213D">
      <w:pPr>
        <w:pStyle w:val="LV2"/>
      </w:pPr>
      <w:bookmarkStart w:id="26" w:name="_Ref402530260"/>
      <w:bookmarkStart w:id="27" w:name="_Ref409598844"/>
      <w:r w:rsidRPr="0076213D">
        <w:t>smoking at least ten pack-years of cigarettes, or the equivalent thereof in other tobacco produ</w:t>
      </w:r>
      <w:r w:rsidR="00EE325D">
        <w:t xml:space="preserve">cts, before the clinical onset </w:t>
      </w:r>
      <w:r w:rsidRPr="0076213D">
        <w:t>of macular degeneration, and:</w:t>
      </w:r>
    </w:p>
    <w:p w:rsidR="005D6D98" w:rsidRPr="008E76DC" w:rsidRDefault="0076213D" w:rsidP="0076213D">
      <w:pPr>
        <w:pStyle w:val="LV3"/>
      </w:pPr>
      <w:r w:rsidRPr="0076213D">
        <w:t xml:space="preserve">smoking commenced at least five </w:t>
      </w:r>
      <w:r w:rsidR="00EE325D">
        <w:t>years before the clinical onset</w:t>
      </w:r>
      <w:r w:rsidRPr="0076213D">
        <w:t xml:space="preserve"> of macular degeneration; and</w:t>
      </w:r>
    </w:p>
    <w:p w:rsidR="005D6D98" w:rsidRPr="008E76DC" w:rsidRDefault="0076213D" w:rsidP="0076213D">
      <w:pPr>
        <w:pStyle w:val="LV3"/>
      </w:pPr>
      <w:r w:rsidRPr="0076213D">
        <w:t>where smoking has ceas</w:t>
      </w:r>
      <w:r w:rsidR="00EE325D">
        <w:t xml:space="preserve">ed, the clinical onset </w:t>
      </w:r>
      <w:r w:rsidRPr="0076213D">
        <w:t>of macular degeneration has occurred within 20 years of cessation</w:t>
      </w:r>
      <w:r w:rsidR="005D6D98" w:rsidRPr="008E76DC">
        <w:t>;</w:t>
      </w:r>
    </w:p>
    <w:p w:rsidR="005D6D98" w:rsidRPr="00046E67" w:rsidRDefault="005D6D98" w:rsidP="0076213D">
      <w:pPr>
        <w:pStyle w:val="NOTE"/>
      </w:pPr>
      <w:r w:rsidRPr="0076213D">
        <w:rPr>
          <w:rStyle w:val="Note2Char"/>
        </w:rPr>
        <w:t xml:space="preserve">Note: </w:t>
      </w:r>
      <w:r w:rsidR="0076213D" w:rsidRPr="0076213D">
        <w:rPr>
          <w:rStyle w:val="Note2Char"/>
          <w:b/>
          <w:i/>
        </w:rPr>
        <w:t>pack-years</w:t>
      </w:r>
      <w:r w:rsidR="0076213D" w:rsidRPr="0076213D">
        <w:rPr>
          <w:b/>
          <w:i/>
        </w:rPr>
        <w:t xml:space="preserve"> of cigarettes, or the equivalent thereof in other tobacco products</w:t>
      </w:r>
      <w:r w:rsidRPr="00046E67">
        <w:t xml:space="preserve"> </w:t>
      </w:r>
      <w:r>
        <w:t>is</w:t>
      </w:r>
      <w:r w:rsidRPr="00046E67">
        <w:t xml:space="preserve"> defined in the </w:t>
      </w:r>
      <w:r>
        <w:t xml:space="preserve">Schedule 1 - </w:t>
      </w:r>
      <w:r w:rsidRPr="00046E67">
        <w:t>Dictionary.</w:t>
      </w:r>
      <w:r w:rsidRPr="00046E67">
        <w:tab/>
      </w:r>
    </w:p>
    <w:p w:rsidR="0076213D" w:rsidRDefault="0076213D" w:rsidP="0076213D">
      <w:pPr>
        <w:pStyle w:val="LV2"/>
      </w:pPr>
      <w:r w:rsidRPr="0076213D">
        <w:t>being exposed to second-hand smoke:</w:t>
      </w:r>
    </w:p>
    <w:p w:rsidR="0076213D" w:rsidRDefault="00077529" w:rsidP="0076213D">
      <w:pPr>
        <w:pStyle w:val="LV3"/>
      </w:pPr>
      <w:r>
        <w:t>for at least 10 </w:t>
      </w:r>
      <w:r w:rsidR="0076213D">
        <w:t>000 hours before the clinica</w:t>
      </w:r>
      <w:r w:rsidR="00EE325D">
        <w:t xml:space="preserve">l onset </w:t>
      </w:r>
      <w:r w:rsidR="0076213D">
        <w:t xml:space="preserve">of macular degeneration; and </w:t>
      </w:r>
    </w:p>
    <w:p w:rsidR="0076213D" w:rsidRDefault="0076213D" w:rsidP="0076213D">
      <w:pPr>
        <w:pStyle w:val="LV3"/>
      </w:pPr>
      <w:r>
        <w:t xml:space="preserve">where the first exposure to second-hand smoke commenced at least five years before the clinical onset of macular degeneration; and </w:t>
      </w:r>
    </w:p>
    <w:p w:rsidR="0076213D" w:rsidRDefault="0076213D" w:rsidP="0076213D">
      <w:pPr>
        <w:pStyle w:val="LV3"/>
      </w:pPr>
      <w:r>
        <w:t>where the last exposure to second-hand smoke occurred within the 20 years before the clinical onset of macular degeneration;</w:t>
      </w:r>
    </w:p>
    <w:p w:rsidR="005D6D98" w:rsidRPr="008E76DC" w:rsidRDefault="005D6D98" w:rsidP="0076213D">
      <w:pPr>
        <w:pStyle w:val="Note2"/>
      </w:pPr>
      <w:r>
        <w:t xml:space="preserve">Note: </w:t>
      </w:r>
      <w:r w:rsidR="0076213D" w:rsidRPr="0076213D">
        <w:rPr>
          <w:b/>
          <w:i/>
        </w:rPr>
        <w:t>being exposed to second-hand smoke</w:t>
      </w:r>
      <w:r w:rsidRPr="0054161E">
        <w:t xml:space="preserve"> is defined in the Schedule 1 - Dictionary.</w:t>
      </w:r>
      <w:r w:rsidRPr="0054161E">
        <w:tab/>
      </w:r>
    </w:p>
    <w:p w:rsidR="0076213D" w:rsidRDefault="0076213D" w:rsidP="0076213D">
      <w:pPr>
        <w:pStyle w:val="LV2"/>
      </w:pPr>
      <w:r w:rsidRPr="0076213D">
        <w:t>consuming a cumulative total of at least 15 kilograms of alcohol in a continuous period of two years, within the five years before</w:t>
      </w:r>
      <w:r w:rsidR="00077529">
        <w:t xml:space="preserve"> </w:t>
      </w:r>
      <w:r w:rsidRPr="0076213D">
        <w:t>the clinical onset of macular degeneration;</w:t>
      </w:r>
    </w:p>
    <w:p w:rsidR="0076213D" w:rsidRDefault="0076213D" w:rsidP="00C93DA0">
      <w:pPr>
        <w:pStyle w:val="Note2"/>
        <w:ind w:left="1843" w:hanging="425"/>
      </w:pPr>
      <w:r w:rsidRPr="0076213D">
        <w:t>Note: Alcohol consumption is calculated utilising the Australian Standard of ten grams of alcohol per standard alcoholic drink.</w:t>
      </w:r>
    </w:p>
    <w:p w:rsidR="0076213D" w:rsidRDefault="0076213D" w:rsidP="0076213D">
      <w:pPr>
        <w:pStyle w:val="LV2"/>
      </w:pPr>
      <w:r w:rsidRPr="0076213D">
        <w:lastRenderedPageBreak/>
        <w:t>being obese for at least the five years before the clinical onset of macular degeneration</w:t>
      </w:r>
      <w:r>
        <w:t>;</w:t>
      </w:r>
    </w:p>
    <w:p w:rsidR="0076213D" w:rsidRDefault="0076213D" w:rsidP="0076213D">
      <w:pPr>
        <w:pStyle w:val="Note2"/>
      </w:pPr>
      <w:r>
        <w:t xml:space="preserve">Note: </w:t>
      </w:r>
      <w:r>
        <w:rPr>
          <w:b/>
          <w:i/>
        </w:rPr>
        <w:t>being obese</w:t>
      </w:r>
      <w:r w:rsidRPr="0054161E">
        <w:t xml:space="preserve"> is defined in the Schedule 1 - Dictionary.</w:t>
      </w:r>
      <w:r w:rsidRPr="0054161E">
        <w:tab/>
      </w:r>
    </w:p>
    <w:p w:rsidR="00357AFC" w:rsidRDefault="00357AFC" w:rsidP="00357AFC">
      <w:pPr>
        <w:pStyle w:val="LV2"/>
      </w:pPr>
      <w:r w:rsidRPr="00357AFC">
        <w:t>having chronic kidney disease within the five years before the clinical onset of macular degeneration;</w:t>
      </w:r>
    </w:p>
    <w:p w:rsidR="00357AFC" w:rsidRDefault="00357AFC" w:rsidP="00357AFC">
      <w:pPr>
        <w:pStyle w:val="Note2"/>
      </w:pPr>
      <w:r>
        <w:t xml:space="preserve">Note: </w:t>
      </w:r>
      <w:r>
        <w:rPr>
          <w:b/>
          <w:i/>
        </w:rPr>
        <w:t>chronic kidney disease</w:t>
      </w:r>
      <w:r w:rsidRPr="0054161E">
        <w:t xml:space="preserve"> is defined in the Schedule 1 - Dictionary.</w:t>
      </w:r>
      <w:r w:rsidRPr="0054161E">
        <w:tab/>
      </w:r>
    </w:p>
    <w:p w:rsidR="00357AFC" w:rsidRDefault="00EE325D" w:rsidP="00EE325D">
      <w:pPr>
        <w:pStyle w:val="LV2"/>
      </w:pPr>
      <w:r w:rsidRPr="00EE325D">
        <w:t xml:space="preserve">having a lipid profile as specified, within the five years before the clinical onset </w:t>
      </w:r>
      <w:r w:rsidR="00E62CAD">
        <w:t xml:space="preserve">of </w:t>
      </w:r>
      <w:r w:rsidRPr="00EE325D">
        <w:t>macular degeneration;</w:t>
      </w:r>
    </w:p>
    <w:p w:rsidR="00EE325D" w:rsidRDefault="00EE325D" w:rsidP="00EE325D">
      <w:pPr>
        <w:pStyle w:val="Note2"/>
      </w:pPr>
      <w:r>
        <w:t xml:space="preserve">Note: </w:t>
      </w:r>
      <w:r w:rsidRPr="00EE325D">
        <w:rPr>
          <w:b/>
          <w:i/>
        </w:rPr>
        <w:t xml:space="preserve">lipid profile as specified </w:t>
      </w:r>
      <w:r w:rsidRPr="0054161E">
        <w:t>is defined in the Schedule 1 - Dictionary.</w:t>
      </w:r>
      <w:r w:rsidRPr="0054161E">
        <w:tab/>
      </w:r>
    </w:p>
    <w:p w:rsidR="00EE325D" w:rsidRDefault="00EE325D" w:rsidP="00EE325D">
      <w:pPr>
        <w:pStyle w:val="LV2"/>
      </w:pPr>
      <w:r w:rsidRPr="00EE325D">
        <w:t xml:space="preserve">having diabetes mellitus at the time of the clinical onset </w:t>
      </w:r>
      <w:r w:rsidR="00E62CAD">
        <w:t xml:space="preserve">of </w:t>
      </w:r>
      <w:r w:rsidRPr="00EE325D">
        <w:t>macular degeneration;</w:t>
      </w:r>
    </w:p>
    <w:p w:rsidR="00EE325D" w:rsidRDefault="00EE325D" w:rsidP="00EE325D">
      <w:pPr>
        <w:pStyle w:val="LV2"/>
      </w:pPr>
      <w:r w:rsidRPr="00EE325D">
        <w:t>having hypertension at the time of the clinical onset of macular degeneration;</w:t>
      </w:r>
    </w:p>
    <w:p w:rsidR="00357AFC" w:rsidRDefault="00357AFC" w:rsidP="00357AFC">
      <w:pPr>
        <w:pStyle w:val="LV2"/>
      </w:pPr>
      <w:r w:rsidRPr="00357AFC">
        <w:t>for wet macular degeneration only, undergoing cataract surgery involving the affected eye within the five years before the clinical onset of macular degeneration;</w:t>
      </w:r>
    </w:p>
    <w:p w:rsidR="00357AFC" w:rsidRDefault="00357AFC" w:rsidP="00357AFC">
      <w:pPr>
        <w:pStyle w:val="Note2"/>
      </w:pPr>
      <w:r>
        <w:t xml:space="preserve">Note: </w:t>
      </w:r>
      <w:r w:rsidRPr="00357AFC">
        <w:rPr>
          <w:b/>
          <w:i/>
        </w:rPr>
        <w:t xml:space="preserve">wet macular degeneration </w:t>
      </w:r>
      <w:r w:rsidRPr="0054161E">
        <w:t>is defined in the Schedule 1 - Dictionary.</w:t>
      </w:r>
      <w:r w:rsidRPr="0054161E">
        <w:tab/>
      </w:r>
    </w:p>
    <w:p w:rsidR="00EE325D" w:rsidRPr="008E76DC" w:rsidRDefault="00EE325D" w:rsidP="00EE325D">
      <w:pPr>
        <w:pStyle w:val="LV2"/>
      </w:pPr>
      <w:r w:rsidRPr="0076213D">
        <w:t>smoking at least ten pack-years of cigarettes, or the equivalent thereof in other tobacco products, before the clinical worsening of macular degeneration, and:</w:t>
      </w:r>
    </w:p>
    <w:p w:rsidR="00EE325D" w:rsidRPr="008E76DC" w:rsidRDefault="00EE325D" w:rsidP="00EE325D">
      <w:pPr>
        <w:pStyle w:val="LV3"/>
      </w:pPr>
      <w:r w:rsidRPr="0076213D">
        <w:t>smoking commenced at least five years before the clinical worsening of macular degeneration; and</w:t>
      </w:r>
    </w:p>
    <w:p w:rsidR="00EE325D" w:rsidRPr="008E76DC" w:rsidRDefault="00EE325D" w:rsidP="00EE325D">
      <w:pPr>
        <w:pStyle w:val="LV3"/>
      </w:pPr>
      <w:r w:rsidRPr="0076213D">
        <w:t>where smoking has ceased, the clinical worsening of macular degeneration has occurred within 20 years of cessation</w:t>
      </w:r>
      <w:r w:rsidRPr="008E76DC">
        <w:t>;</w:t>
      </w:r>
    </w:p>
    <w:p w:rsidR="00EE325D" w:rsidRPr="00046E67" w:rsidRDefault="00EE325D" w:rsidP="00EE325D">
      <w:pPr>
        <w:pStyle w:val="NOTE"/>
      </w:pPr>
      <w:r w:rsidRPr="0076213D">
        <w:rPr>
          <w:rStyle w:val="Note2Char"/>
        </w:rPr>
        <w:t xml:space="preserve">Note: </w:t>
      </w:r>
      <w:r w:rsidRPr="0076213D">
        <w:rPr>
          <w:rStyle w:val="Note2Char"/>
          <w:b/>
          <w:i/>
        </w:rPr>
        <w:t>pack-years</w:t>
      </w:r>
      <w:r w:rsidRPr="0076213D">
        <w:rPr>
          <w:b/>
          <w:i/>
        </w:rPr>
        <w:t xml:space="preserve"> of cigarettes, or the equivalent thereof in other tobacco products</w:t>
      </w:r>
      <w:r w:rsidRPr="00046E67">
        <w:t xml:space="preserve"> </w:t>
      </w:r>
      <w:r>
        <w:t>is</w:t>
      </w:r>
      <w:r w:rsidRPr="00046E67">
        <w:t xml:space="preserve"> defined in the </w:t>
      </w:r>
      <w:r>
        <w:t xml:space="preserve">Schedule 1 - </w:t>
      </w:r>
      <w:r w:rsidRPr="00046E67">
        <w:t>Dictionary.</w:t>
      </w:r>
      <w:r w:rsidRPr="00046E67">
        <w:tab/>
      </w:r>
    </w:p>
    <w:p w:rsidR="00EE325D" w:rsidRDefault="00EE325D" w:rsidP="00EE325D">
      <w:pPr>
        <w:pStyle w:val="LV2"/>
      </w:pPr>
      <w:r w:rsidRPr="0076213D">
        <w:t>being exposed to second-hand smoke:</w:t>
      </w:r>
    </w:p>
    <w:p w:rsidR="00EE325D" w:rsidRDefault="00EE325D" w:rsidP="00EE325D">
      <w:pPr>
        <w:pStyle w:val="LV3"/>
      </w:pPr>
      <w:r>
        <w:t>for at least 10</w:t>
      </w:r>
      <w:r w:rsidR="00077529">
        <w:t> </w:t>
      </w:r>
      <w:r>
        <w:t xml:space="preserve">000 hours before the clinical worsening of macular degeneration; and </w:t>
      </w:r>
    </w:p>
    <w:p w:rsidR="00EE325D" w:rsidRDefault="00EE325D" w:rsidP="00EE325D">
      <w:pPr>
        <w:pStyle w:val="LV3"/>
      </w:pPr>
      <w:r>
        <w:t xml:space="preserve">where the first exposure to second-hand smoke commenced at least five years before the clinical worsening of macular degeneration; and </w:t>
      </w:r>
    </w:p>
    <w:p w:rsidR="00EE325D" w:rsidRDefault="00EE325D" w:rsidP="00EE325D">
      <w:pPr>
        <w:pStyle w:val="LV3"/>
      </w:pPr>
      <w:r>
        <w:t>where the last exposure to second-hand smoke occurred within the 20 years before the clinical worsening of macular degeneration;</w:t>
      </w:r>
    </w:p>
    <w:p w:rsidR="00EE325D" w:rsidRPr="008E76DC" w:rsidRDefault="00EE325D" w:rsidP="00EE325D">
      <w:pPr>
        <w:pStyle w:val="Note2"/>
      </w:pPr>
      <w:r>
        <w:t xml:space="preserve">Note: </w:t>
      </w:r>
      <w:r w:rsidRPr="0076213D">
        <w:rPr>
          <w:b/>
          <w:i/>
        </w:rPr>
        <w:t>being exposed to second-hand smoke</w:t>
      </w:r>
      <w:r w:rsidRPr="0054161E">
        <w:t xml:space="preserve"> is defined in the Schedule 1 - Dictionary.</w:t>
      </w:r>
      <w:r w:rsidRPr="0054161E">
        <w:tab/>
      </w:r>
    </w:p>
    <w:p w:rsidR="00EE325D" w:rsidRDefault="00EE325D" w:rsidP="00EE325D">
      <w:pPr>
        <w:pStyle w:val="LV2"/>
        <w:keepNext/>
      </w:pPr>
      <w:r w:rsidRPr="0076213D">
        <w:lastRenderedPageBreak/>
        <w:t>consuming a cumulative total of at least 15 kilograms of alcohol in a continuous period of two years, within the five years before the clinical worsening of macular degeneration;</w:t>
      </w:r>
    </w:p>
    <w:p w:rsidR="00EE325D" w:rsidRDefault="00EE325D" w:rsidP="00EE325D">
      <w:pPr>
        <w:pStyle w:val="Note2"/>
      </w:pPr>
      <w:r w:rsidRPr="0076213D">
        <w:t xml:space="preserve">Note: </w:t>
      </w:r>
      <w:r w:rsidR="00C93DA0">
        <w:t xml:space="preserve"> </w:t>
      </w:r>
      <w:r w:rsidRPr="0076213D">
        <w:t>Alcohol consumption is calculated utilising the Australian Standard of ten grams of alcohol per standard alcoholic drink.</w:t>
      </w:r>
    </w:p>
    <w:p w:rsidR="00EE325D" w:rsidRDefault="00EE325D" w:rsidP="00EE325D">
      <w:pPr>
        <w:pStyle w:val="LV2"/>
      </w:pPr>
      <w:r w:rsidRPr="0076213D">
        <w:t>being obese for at least the five years before the clinical worsening of macular degeneration</w:t>
      </w:r>
      <w:r>
        <w:t>;</w:t>
      </w:r>
    </w:p>
    <w:p w:rsidR="00EE325D" w:rsidRDefault="00EE325D" w:rsidP="00EE325D">
      <w:pPr>
        <w:pStyle w:val="Note2"/>
      </w:pPr>
      <w:r>
        <w:t xml:space="preserve">Note: </w:t>
      </w:r>
      <w:r>
        <w:rPr>
          <w:b/>
          <w:i/>
        </w:rPr>
        <w:t>being obese</w:t>
      </w:r>
      <w:r w:rsidRPr="0054161E">
        <w:t xml:space="preserve"> is defined in the Schedule 1 - Dictionary.</w:t>
      </w:r>
      <w:r w:rsidRPr="0054161E">
        <w:tab/>
      </w:r>
    </w:p>
    <w:p w:rsidR="00EE325D" w:rsidRDefault="00EE325D" w:rsidP="00EE325D">
      <w:pPr>
        <w:pStyle w:val="LV2"/>
      </w:pPr>
      <w:r w:rsidRPr="00357AFC">
        <w:t>having chronic kidney disease within the five years before the clinical worsening of macular degeneration;</w:t>
      </w:r>
    </w:p>
    <w:p w:rsidR="00EE325D" w:rsidRDefault="00EE325D" w:rsidP="00EE325D">
      <w:pPr>
        <w:pStyle w:val="Note2"/>
      </w:pPr>
      <w:r>
        <w:t xml:space="preserve">Note: </w:t>
      </w:r>
      <w:r>
        <w:rPr>
          <w:b/>
          <w:i/>
        </w:rPr>
        <w:t>chronic kidney disease</w:t>
      </w:r>
      <w:r w:rsidRPr="0054161E">
        <w:t xml:space="preserve"> is defined in the Schedule 1 - Dictionary.</w:t>
      </w:r>
      <w:r w:rsidRPr="0054161E">
        <w:tab/>
      </w:r>
    </w:p>
    <w:p w:rsidR="00EE325D" w:rsidRDefault="00EE325D" w:rsidP="00EE325D">
      <w:pPr>
        <w:pStyle w:val="LV2"/>
      </w:pPr>
      <w:r w:rsidRPr="00EE325D">
        <w:t xml:space="preserve">having a lipid profile as specified, within the five years before the clinical worsening </w:t>
      </w:r>
      <w:r w:rsidR="00E62CAD">
        <w:t xml:space="preserve">of </w:t>
      </w:r>
      <w:r w:rsidRPr="00EE325D">
        <w:t>macular degeneration;</w:t>
      </w:r>
    </w:p>
    <w:p w:rsidR="00EE325D" w:rsidRDefault="00EE325D" w:rsidP="00EE325D">
      <w:pPr>
        <w:pStyle w:val="Note2"/>
      </w:pPr>
      <w:r>
        <w:t xml:space="preserve">Note: </w:t>
      </w:r>
      <w:r w:rsidRPr="00EE325D">
        <w:rPr>
          <w:b/>
          <w:i/>
        </w:rPr>
        <w:t xml:space="preserve">lipid profile as specified </w:t>
      </w:r>
      <w:r w:rsidRPr="0054161E">
        <w:t>is defined in the Schedule 1 - Dictionary.</w:t>
      </w:r>
      <w:r w:rsidRPr="0054161E">
        <w:tab/>
      </w:r>
    </w:p>
    <w:p w:rsidR="00EE325D" w:rsidRDefault="00EE325D" w:rsidP="00EE325D">
      <w:pPr>
        <w:pStyle w:val="LV2"/>
      </w:pPr>
      <w:r w:rsidRPr="00EE325D">
        <w:t xml:space="preserve">having diabetes mellitus at the time of the clinical worsening </w:t>
      </w:r>
      <w:r w:rsidR="00E62CAD">
        <w:t xml:space="preserve">of </w:t>
      </w:r>
      <w:r w:rsidRPr="00EE325D">
        <w:t>macular degeneration;</w:t>
      </w:r>
    </w:p>
    <w:p w:rsidR="00EE325D" w:rsidRDefault="00EE325D" w:rsidP="00EE325D">
      <w:pPr>
        <w:pStyle w:val="LV2"/>
      </w:pPr>
      <w:r w:rsidRPr="00EE325D">
        <w:t>having hypertension at the time of the clinical worsening of macular degeneration;</w:t>
      </w:r>
    </w:p>
    <w:p w:rsidR="00EE325D" w:rsidRDefault="00EE325D" w:rsidP="00EE325D">
      <w:pPr>
        <w:pStyle w:val="LV2"/>
      </w:pPr>
      <w:r w:rsidRPr="00357AFC">
        <w:t>for wet macular degeneration only, undergoing cataract surgery involving the affected eye within the five years before the clinical worsening of macular degeneration;</w:t>
      </w:r>
    </w:p>
    <w:p w:rsidR="00EE325D" w:rsidRDefault="00EE325D" w:rsidP="00EE325D">
      <w:pPr>
        <w:pStyle w:val="Note2"/>
      </w:pPr>
      <w:r>
        <w:t xml:space="preserve">Note: </w:t>
      </w:r>
      <w:r w:rsidRPr="00357AFC">
        <w:rPr>
          <w:b/>
          <w:i/>
        </w:rPr>
        <w:t xml:space="preserve">wet macular degeneration </w:t>
      </w:r>
      <w:r w:rsidRPr="0054161E">
        <w:t>is defined in the Schedule 1 - Dictionary.</w:t>
      </w:r>
      <w:r w:rsidRPr="0054161E">
        <w:tab/>
      </w:r>
    </w:p>
    <w:p w:rsidR="00357AFC" w:rsidRDefault="00357AFC" w:rsidP="00357AFC">
      <w:pPr>
        <w:pStyle w:val="LV2"/>
      </w:pPr>
      <w:r w:rsidRPr="00357AFC">
        <w:t>for clinical worsening of wet macular degeneration manifesting as subretinal haemorrhage only, having anticoagulant therapy or thrombolytic therapy, within the seven days before the clinical worsening of macular degeneration;</w:t>
      </w:r>
    </w:p>
    <w:p w:rsidR="00357AFC" w:rsidRDefault="00357AFC" w:rsidP="00C93DA0">
      <w:pPr>
        <w:pStyle w:val="Note2"/>
        <w:ind w:left="1843" w:hanging="425"/>
      </w:pPr>
      <w:r>
        <w:t xml:space="preserve">Note: </w:t>
      </w:r>
      <w:r w:rsidRPr="00357AFC">
        <w:rPr>
          <w:b/>
          <w:i/>
        </w:rPr>
        <w:t xml:space="preserve">anticoagulant therapy </w:t>
      </w:r>
      <w:r w:rsidRPr="00EE325D">
        <w:t>and</w:t>
      </w:r>
      <w:r w:rsidRPr="00357AFC">
        <w:rPr>
          <w:b/>
          <w:i/>
        </w:rPr>
        <w:t xml:space="preserve"> thrombolytic therapy </w:t>
      </w:r>
      <w:r w:rsidR="00EE325D">
        <w:t>are</w:t>
      </w:r>
      <w:r w:rsidRPr="0054161E">
        <w:t xml:space="preserve"> defined in the Schedule</w:t>
      </w:r>
      <w:r w:rsidR="00C93DA0">
        <w:t> </w:t>
      </w:r>
      <w:r w:rsidRPr="0054161E">
        <w:t>1</w:t>
      </w:r>
      <w:r w:rsidR="00C93DA0">
        <w:t> </w:t>
      </w:r>
      <w:r w:rsidRPr="0054161E">
        <w:t>-</w:t>
      </w:r>
      <w:r w:rsidR="00C93DA0">
        <w:t> </w:t>
      </w:r>
      <w:r w:rsidRPr="0054161E">
        <w:t>Dictionary.</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6"/>
      <w:r w:rsidR="007A3989">
        <w:t xml:space="preserve"> </w:t>
      </w:r>
      <w:r w:rsidR="00D53EE3" w:rsidRPr="00D53EE3">
        <w:t>macular degeneration</w:t>
      </w:r>
      <w:r w:rsidR="00D5620B" w:rsidRPr="008D1B8B">
        <w:t>.</w:t>
      </w:r>
      <w:bookmarkEnd w:id="27"/>
    </w:p>
    <w:p w:rsidR="000C21A3" w:rsidRPr="00684C0E" w:rsidRDefault="00D32F71" w:rsidP="005D6D98">
      <w:pPr>
        <w:pStyle w:val="LV1"/>
      </w:pPr>
      <w:bookmarkStart w:id="28" w:name="_Toc513815291"/>
      <w:bookmarkStart w:id="29" w:name="_Ref402530057"/>
      <w:r>
        <w:t>Relationship to s</w:t>
      </w:r>
      <w:r w:rsidR="000C21A3" w:rsidRPr="00684C0E">
        <w:t>ervice</w:t>
      </w:r>
      <w:bookmarkEnd w:id="28"/>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5D6D98">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EE325D">
        <w:t>10</w:t>
      </w:r>
      <w:r w:rsidR="00FF1D47">
        <w:t>)</w:t>
      </w:r>
      <w:r w:rsidR="00EE325D">
        <w:t xml:space="preserve"> to 9(20)</w:t>
      </w:r>
      <w:r w:rsidR="00FF1D47">
        <w:t xml:space="preserve"> </w:t>
      </w:r>
      <w:r w:rsidRPr="00187DE1">
        <w:t>appl</w:t>
      </w:r>
      <w:r w:rsidR="00FF1D47">
        <w:t>y</w:t>
      </w:r>
      <w:r w:rsidRPr="00187DE1">
        <w:t xml:space="preserve"> only to material contribution to, or aggravation of, </w:t>
      </w:r>
      <w:r w:rsidR="00D53EE3" w:rsidRPr="00D53EE3">
        <w:t>macular degeneration</w:t>
      </w:r>
      <w:r w:rsidR="007A3989">
        <w:t xml:space="preserve"> </w:t>
      </w:r>
      <w:r w:rsidRPr="00187DE1">
        <w:t>where the person</w:t>
      </w:r>
      <w:r w:rsidR="002A3353">
        <w:t>'</w:t>
      </w:r>
      <w:r w:rsidRPr="00187DE1">
        <w:t xml:space="preserve">s </w:t>
      </w:r>
      <w:r w:rsidR="00D53EE3" w:rsidRPr="00D53EE3">
        <w:t>macular degeneration</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0" w:name="_Toc513815292"/>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1" w:name="opcAmSched"/>
      <w:bookmarkStart w:id="32" w:name="opcCurrentFind"/>
      <w:bookmarkStart w:id="33" w:name="_Toc51381529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3815294"/>
      <w:r w:rsidRPr="00D97BB3">
        <w:t>Definitions</w:t>
      </w:r>
      <w:bookmarkEnd w:id="34"/>
      <w:bookmarkEnd w:id="35"/>
    </w:p>
    <w:p w:rsidR="00702C42" w:rsidRPr="00516768" w:rsidRDefault="00702C42" w:rsidP="005D6D98">
      <w:pPr>
        <w:pStyle w:val="SH2"/>
      </w:pPr>
      <w:r w:rsidRPr="00516768">
        <w:t>In this instrument:</w:t>
      </w:r>
    </w:p>
    <w:p w:rsidR="00357AFC" w:rsidRDefault="00357AFC" w:rsidP="00357AFC">
      <w:pPr>
        <w:pStyle w:val="SH3"/>
        <w:ind w:left="851" w:hanging="851"/>
      </w:pPr>
      <w:bookmarkStart w:id="36" w:name="_Ref402530810"/>
      <w:r w:rsidRPr="00357AFC">
        <w:rPr>
          <w:b/>
          <w:i/>
        </w:rPr>
        <w:t>an abnormality of kidney structure or function</w:t>
      </w:r>
      <w:r>
        <w:t xml:space="preserve"> means: </w:t>
      </w:r>
    </w:p>
    <w:p w:rsidR="00357AFC" w:rsidRDefault="00357AFC" w:rsidP="00357AFC">
      <w:pPr>
        <w:pStyle w:val="SH4"/>
        <w:ind w:left="1418"/>
      </w:pPr>
      <w:r>
        <w:t>having a glomerular filtration rate of less than 60 mL/min/1.73 m</w:t>
      </w:r>
      <w:r w:rsidRPr="00357AFC">
        <w:rPr>
          <w:vertAlign w:val="superscript"/>
        </w:rPr>
        <w:t>2</w:t>
      </w:r>
      <w:r>
        <w:t xml:space="preserve">; or </w:t>
      </w:r>
    </w:p>
    <w:p w:rsidR="00357AFC" w:rsidRDefault="00357AFC" w:rsidP="00357AFC">
      <w:pPr>
        <w:pStyle w:val="SH4"/>
        <w:ind w:left="1418"/>
      </w:pPr>
      <w:r>
        <w:t>having kidney damage, as evidenced by renal biopsy, imaging studies, albuminuria, urinary sediment abnormalities or other markers of abnormal renal function; or</w:t>
      </w:r>
    </w:p>
    <w:p w:rsidR="00357AFC" w:rsidRPr="00357AFC" w:rsidRDefault="00357AFC" w:rsidP="00357AFC">
      <w:pPr>
        <w:pStyle w:val="SH4"/>
        <w:ind w:left="1418"/>
      </w:pPr>
      <w:proofErr w:type="gramStart"/>
      <w:r>
        <w:t>having</w:t>
      </w:r>
      <w:proofErr w:type="gramEnd"/>
      <w:r>
        <w:t xml:space="preserve"> had a kidney transplant.</w:t>
      </w:r>
    </w:p>
    <w:p w:rsidR="00EE325D" w:rsidRPr="00EE325D" w:rsidRDefault="00EE325D" w:rsidP="0076213D">
      <w:pPr>
        <w:pStyle w:val="SH3"/>
        <w:ind w:left="851" w:hanging="851"/>
      </w:pPr>
      <w:proofErr w:type="gramStart"/>
      <w:r w:rsidRPr="002B5A11">
        <w:rPr>
          <w:b/>
          <w:i/>
          <w:lang w:val="en-GB"/>
        </w:rPr>
        <w:t>anticoagulant</w:t>
      </w:r>
      <w:proofErr w:type="gramEnd"/>
      <w:r w:rsidRPr="002B5A11">
        <w:rPr>
          <w:b/>
          <w:i/>
          <w:lang w:val="en-GB"/>
        </w:rPr>
        <w:t xml:space="preserve"> therapy</w:t>
      </w:r>
      <w:r w:rsidRPr="002B5A11">
        <w:rPr>
          <w:lang w:val="en-GB"/>
        </w:rPr>
        <w:t xml:space="preserve"> means therapeutic administration of a pharmacological agent which suppresses, delays or nullifies blood coagulation (such as heparin, warfarin or dicumarol), but excludes antiplatelet therapy (such as aspirin, clopidogrel, ticlopidine or monoclonal antibodies and recombinant and chemically synthesised peptides that block platelet adhesion or aggregation).</w:t>
      </w:r>
    </w:p>
    <w:p w:rsidR="0076213D" w:rsidRPr="0076213D" w:rsidRDefault="0076213D" w:rsidP="0076213D">
      <w:pPr>
        <w:pStyle w:val="SH3"/>
        <w:ind w:left="851" w:hanging="851"/>
      </w:pPr>
      <w:proofErr w:type="gramStart"/>
      <w:r w:rsidRPr="0076213D">
        <w:rPr>
          <w:b/>
          <w:i/>
        </w:rPr>
        <w:t>being</w:t>
      </w:r>
      <w:proofErr w:type="gramEnd"/>
      <w:r w:rsidRPr="0076213D">
        <w:rPr>
          <w:b/>
          <w:i/>
        </w:rPr>
        <w:t xml:space="preserve"> exposed to second-hand smoke</w:t>
      </w:r>
      <w:r w:rsidRPr="0076213D">
        <w:t xml:space="preserve"> means being in an enclosed space and inhaling smoke from burning tobacco products or smoke that has been </w:t>
      </w:r>
      <w:r>
        <w:t>e</w:t>
      </w:r>
      <w:r w:rsidRPr="0076213D">
        <w:t>xhaled by a person who is smoking.</w:t>
      </w:r>
    </w:p>
    <w:p w:rsidR="00357AFC" w:rsidRDefault="00357AFC" w:rsidP="0076213D">
      <w:pPr>
        <w:pStyle w:val="SH3"/>
        <w:ind w:left="851"/>
      </w:pPr>
      <w:proofErr w:type="gramStart"/>
      <w:r w:rsidRPr="002B5A11">
        <w:rPr>
          <w:b/>
          <w:i/>
        </w:rPr>
        <w:t>being</w:t>
      </w:r>
      <w:proofErr w:type="gramEnd"/>
      <w:r w:rsidRPr="002B5A11">
        <w:rPr>
          <w:b/>
          <w:i/>
        </w:rPr>
        <w:t xml:space="preserve"> obese</w:t>
      </w:r>
      <w:r w:rsidRPr="002B5A11">
        <w:t xml:space="preserve"> means having a Body Mass Index (BMI) of 30 or greater.</w:t>
      </w:r>
    </w:p>
    <w:p w:rsidR="00357AFC" w:rsidRPr="00357AFC" w:rsidRDefault="00357AFC" w:rsidP="00357AFC">
      <w:pPr>
        <w:pStyle w:val="ScheduleNote"/>
      </w:pPr>
      <w:r>
        <w:t xml:space="preserve">Note: </w:t>
      </w:r>
      <w:r w:rsidRPr="00357AFC">
        <w:rPr>
          <w:b/>
          <w:i/>
        </w:rPr>
        <w:t>BMI</w:t>
      </w:r>
      <w:r>
        <w:t xml:space="preserve"> is also </w:t>
      </w:r>
      <w:r w:rsidRPr="007C627D">
        <w:t xml:space="preserve">defined </w:t>
      </w:r>
      <w:bookmarkStart w:id="37" w:name="_GoBack"/>
      <w:r w:rsidRPr="007C627D">
        <w:t>i</w:t>
      </w:r>
      <w:bookmarkEnd w:id="37"/>
      <w:r w:rsidRPr="007C627D">
        <w:t xml:space="preserve">n the Schedule 1 </w:t>
      </w:r>
      <w:r>
        <w:t>–</w:t>
      </w:r>
      <w:r w:rsidRPr="007C627D">
        <w:t xml:space="preserve"> Dictionary</w:t>
      </w:r>
      <w:r>
        <w:t>.</w:t>
      </w:r>
    </w:p>
    <w:p w:rsidR="00357AFC" w:rsidRDefault="00357AFC" w:rsidP="00357AFC">
      <w:pPr>
        <w:pStyle w:val="SH3"/>
        <w:ind w:left="851"/>
      </w:pPr>
      <w:r w:rsidRPr="00357AFC">
        <w:rPr>
          <w:b/>
          <w:i/>
        </w:rPr>
        <w:t xml:space="preserve">BMI </w:t>
      </w:r>
      <w:r>
        <w:t>means W/H</w:t>
      </w:r>
      <w:r w:rsidRPr="00357AFC">
        <w:rPr>
          <w:vertAlign w:val="superscript"/>
        </w:rPr>
        <w:t>2</w:t>
      </w:r>
      <w:r>
        <w:t xml:space="preserve"> where:</w:t>
      </w:r>
    </w:p>
    <w:p w:rsidR="00357AFC" w:rsidRDefault="00357AFC" w:rsidP="00357AFC">
      <w:pPr>
        <w:pStyle w:val="SH4"/>
        <w:numPr>
          <w:ilvl w:val="0"/>
          <w:numId w:val="0"/>
        </w:numPr>
        <w:ind w:left="1474" w:hanging="567"/>
      </w:pPr>
      <w:r>
        <w:t xml:space="preserve">W is the person's weight in kilograms; and </w:t>
      </w:r>
    </w:p>
    <w:p w:rsidR="00357AFC" w:rsidRPr="00357AFC" w:rsidRDefault="00357AFC" w:rsidP="00357AFC">
      <w:pPr>
        <w:pStyle w:val="SH4"/>
        <w:numPr>
          <w:ilvl w:val="0"/>
          <w:numId w:val="0"/>
        </w:numPr>
        <w:ind w:left="1474" w:hanging="567"/>
      </w:pPr>
      <w:r>
        <w:t>H is the person's height in metres.</w:t>
      </w:r>
    </w:p>
    <w:p w:rsidR="00357AFC" w:rsidRDefault="00357AFC" w:rsidP="0076213D">
      <w:pPr>
        <w:pStyle w:val="SH3"/>
        <w:ind w:left="851"/>
      </w:pPr>
      <w:proofErr w:type="gramStart"/>
      <w:r w:rsidRPr="0008085A">
        <w:rPr>
          <w:b/>
          <w:i/>
        </w:rPr>
        <w:t>chronic</w:t>
      </w:r>
      <w:proofErr w:type="gramEnd"/>
      <w:r w:rsidRPr="0008085A">
        <w:rPr>
          <w:b/>
          <w:i/>
        </w:rPr>
        <w:t xml:space="preserve"> kidney disease</w:t>
      </w:r>
      <w:r w:rsidRPr="0008085A">
        <w:t xml:space="preserve"> means an abnormality of kidney structure or function that has been present for at least three months.</w:t>
      </w:r>
    </w:p>
    <w:p w:rsidR="00357AFC" w:rsidRPr="00357AFC" w:rsidRDefault="00357AFC" w:rsidP="00357AFC">
      <w:pPr>
        <w:pStyle w:val="ScheduleNote"/>
      </w:pPr>
      <w:r>
        <w:t xml:space="preserve">Note: </w:t>
      </w:r>
      <w:r w:rsidRPr="00357AFC">
        <w:rPr>
          <w:b/>
          <w:i/>
        </w:rPr>
        <w:t>an abnormality of kidney structure or function</w:t>
      </w:r>
      <w:r>
        <w:t xml:space="preserve"> is also </w:t>
      </w:r>
      <w:r w:rsidRPr="007C627D">
        <w:t xml:space="preserve">defined in the Schedule 1 </w:t>
      </w:r>
      <w:r>
        <w:t>–</w:t>
      </w:r>
      <w:r w:rsidRPr="007C627D">
        <w:t xml:space="preserve"> Dictionary</w:t>
      </w:r>
      <w:r>
        <w:t>.</w:t>
      </w:r>
    </w:p>
    <w:p w:rsidR="00D53EE3" w:rsidRDefault="00D53EE3" w:rsidP="0076213D">
      <w:pPr>
        <w:pStyle w:val="SH3"/>
        <w:ind w:left="851"/>
      </w:pPr>
      <w:r w:rsidRPr="00D53EE3">
        <w:rPr>
          <w:b/>
          <w:i/>
        </w:rPr>
        <w:t>early macular degeneration</w:t>
      </w:r>
      <w:r>
        <w:t xml:space="preserve"> means:</w:t>
      </w:r>
    </w:p>
    <w:p w:rsidR="0076213D" w:rsidRDefault="0076213D" w:rsidP="0076213D">
      <w:pPr>
        <w:pStyle w:val="SH4"/>
        <w:ind w:left="1418"/>
      </w:pPr>
      <w:r>
        <w:t xml:space="preserve">drusen of at least medium size (≥63 </w:t>
      </w:r>
      <w:proofErr w:type="spellStart"/>
      <w:r>
        <w:t>μm</w:t>
      </w:r>
      <w:proofErr w:type="spellEnd"/>
      <w:r>
        <w:t>); or</w:t>
      </w:r>
    </w:p>
    <w:p w:rsidR="00D53EE3" w:rsidRDefault="00D53EE3" w:rsidP="0076213D">
      <w:pPr>
        <w:pStyle w:val="SH4"/>
        <w:ind w:left="1418"/>
      </w:pPr>
      <w:r>
        <w:t>retinal pigmentary abnormalities; or</w:t>
      </w:r>
    </w:p>
    <w:p w:rsidR="005D6D98" w:rsidRDefault="0076213D" w:rsidP="0076213D">
      <w:pPr>
        <w:pStyle w:val="SH4"/>
        <w:ind w:left="1418"/>
      </w:pPr>
      <w:proofErr w:type="gramStart"/>
      <w:r>
        <w:t>soft</w:t>
      </w:r>
      <w:proofErr w:type="gramEnd"/>
      <w:r>
        <w:t xml:space="preserve"> indistinct or reticular drusen</w:t>
      </w:r>
      <w:r w:rsidR="00D53EE3">
        <w:t>.</w:t>
      </w:r>
    </w:p>
    <w:p w:rsidR="00E82B21" w:rsidRPr="00CC20AF" w:rsidRDefault="00E82B21" w:rsidP="00E82B21">
      <w:pPr>
        <w:pStyle w:val="SH3"/>
      </w:pPr>
      <w:proofErr w:type="gramStart"/>
      <w:r w:rsidRPr="00CC20AF">
        <w:rPr>
          <w:b/>
          <w:i/>
        </w:rPr>
        <w:t>late</w:t>
      </w:r>
      <w:proofErr w:type="gramEnd"/>
      <w:r w:rsidRPr="00CC20AF">
        <w:rPr>
          <w:b/>
          <w:i/>
        </w:rPr>
        <w:t xml:space="preserve"> macular degeneration</w:t>
      </w:r>
      <w:r w:rsidRPr="00CC20AF">
        <w:t xml:space="preserve"> means dry macular degeneration (geographic atrophy) </w:t>
      </w:r>
      <w:r w:rsidR="000F2BF7" w:rsidRPr="00CC20AF">
        <w:t>or</w:t>
      </w:r>
      <w:r w:rsidRPr="00CC20AF">
        <w:t xml:space="preserve"> wet macular degeneration.</w:t>
      </w:r>
    </w:p>
    <w:p w:rsidR="00E82B21" w:rsidRPr="00CC20AF" w:rsidRDefault="00E82B21" w:rsidP="00E82B21">
      <w:pPr>
        <w:pStyle w:val="ScheduleNote"/>
      </w:pPr>
      <w:r w:rsidRPr="00CC20AF">
        <w:t xml:space="preserve">Note: </w:t>
      </w:r>
      <w:r w:rsidRPr="00CC20AF">
        <w:rPr>
          <w:b/>
          <w:i/>
        </w:rPr>
        <w:t xml:space="preserve">wet macular degeneration </w:t>
      </w:r>
      <w:r w:rsidRPr="00CC20AF">
        <w:t>is also defined in the Schedule 1 – Dictionary.</w:t>
      </w:r>
    </w:p>
    <w:p w:rsidR="00EE325D" w:rsidRPr="00EE325D" w:rsidRDefault="00EE325D" w:rsidP="0076213D">
      <w:pPr>
        <w:pStyle w:val="SH3"/>
        <w:ind w:left="851" w:hanging="851"/>
      </w:pPr>
      <w:proofErr w:type="gramStart"/>
      <w:r w:rsidRPr="002B5A11">
        <w:rPr>
          <w:b/>
          <w:i/>
        </w:rPr>
        <w:t>lipid</w:t>
      </w:r>
      <w:proofErr w:type="gramEnd"/>
      <w:r w:rsidRPr="002B5A11">
        <w:rPr>
          <w:b/>
          <w:i/>
        </w:rPr>
        <w:t xml:space="preserve"> profile as specified</w:t>
      </w:r>
      <w:r w:rsidRPr="002B5A11">
        <w:t xml:space="preserve"> means a high density lipoprotein cholesterol level greater than or equal to 1.7 mmol/L after the accurate evaluation of serum lipids following a 12 hour overnight fast, and estimated on a minimum of two occasions</w:t>
      </w:r>
      <w:r w:rsidRPr="00A67D3B">
        <w:t>.</w:t>
      </w:r>
    </w:p>
    <w:p w:rsidR="0076213D" w:rsidRPr="00513D05" w:rsidRDefault="0076213D" w:rsidP="0076213D">
      <w:pPr>
        <w:pStyle w:val="SH3"/>
        <w:ind w:left="851" w:hanging="851"/>
      </w:pPr>
      <w:proofErr w:type="gramStart"/>
      <w:r w:rsidRPr="00D53EE3">
        <w:rPr>
          <w:b/>
          <w:i/>
        </w:rPr>
        <w:t>macular</w:t>
      </w:r>
      <w:proofErr w:type="gramEnd"/>
      <w:r w:rsidRPr="00D53EE3">
        <w:rPr>
          <w:b/>
          <w:i/>
        </w:rPr>
        <w:t xml:space="preserve"> degeneration</w:t>
      </w:r>
      <w:r w:rsidRPr="00513D05">
        <w:t>—see subsection</w:t>
      </w:r>
      <w:r>
        <w:t xml:space="preserve"> 7(2).</w:t>
      </w:r>
    </w:p>
    <w:p w:rsidR="00885EAB" w:rsidRPr="009C404D" w:rsidRDefault="00885EAB" w:rsidP="00984EE9">
      <w:pPr>
        <w:pStyle w:val="SH3"/>
        <w:ind w:left="851" w:hanging="851"/>
      </w:pPr>
      <w:r w:rsidRPr="00973808">
        <w:rPr>
          <w:b/>
          <w:i/>
        </w:rPr>
        <w:lastRenderedPageBreak/>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EE325D" w:rsidRPr="0076213D" w:rsidRDefault="00EE325D" w:rsidP="00EE325D">
      <w:pPr>
        <w:pStyle w:val="SH3"/>
        <w:keepLines/>
        <w:ind w:left="851" w:hanging="851"/>
      </w:pPr>
      <w:bookmarkStart w:id="38" w:name="_Ref402529607"/>
      <w:bookmarkEnd w:id="36"/>
      <w:r w:rsidRPr="0076213D">
        <w:rPr>
          <w:b/>
          <w:i/>
        </w:rPr>
        <w:t>pack-years of cigarettes, or the equivalent thereof in other tobacco products</w:t>
      </w:r>
      <w:r w:rsidRPr="0076213D">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EE325D" w:rsidRPr="00EE325D" w:rsidRDefault="00EE325D" w:rsidP="00EE325D">
      <w:pPr>
        <w:pStyle w:val="SH3"/>
        <w:ind w:left="851"/>
      </w:pPr>
      <w:proofErr w:type="gramStart"/>
      <w:r w:rsidRPr="00EE325D">
        <w:rPr>
          <w:b/>
          <w:i/>
        </w:rPr>
        <w:t>thrombolytic</w:t>
      </w:r>
      <w:proofErr w:type="gramEnd"/>
      <w:r w:rsidRPr="00EE325D">
        <w:rPr>
          <w:b/>
          <w:i/>
        </w:rPr>
        <w:t xml:space="preserve"> therapy</w:t>
      </w:r>
      <w:r>
        <w:t xml:space="preserve"> means therapeutic administration of a pharmacological agent which breaks up or dissolves blood clots (such as streptokinase or tissue plasminogen activator).</w:t>
      </w:r>
    </w:p>
    <w:p w:rsidR="00225CBD"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76213D" w:rsidRPr="0019084F" w:rsidRDefault="0076213D" w:rsidP="00CC20AF">
      <w:pPr>
        <w:pStyle w:val="SH3"/>
        <w:ind w:left="851"/>
      </w:pPr>
      <w:proofErr w:type="gramStart"/>
      <w:r w:rsidRPr="0076213D">
        <w:rPr>
          <w:b/>
          <w:i/>
        </w:rPr>
        <w:t>wet</w:t>
      </w:r>
      <w:proofErr w:type="gramEnd"/>
      <w:r w:rsidRPr="0076213D">
        <w:rPr>
          <w:b/>
          <w:i/>
        </w:rPr>
        <w:t xml:space="preserve"> macular degeneration</w:t>
      </w:r>
      <w:r w:rsidRPr="0076213D">
        <w:t xml:space="preserve"> means choroidal neovascularisation and retinal angiomatous proliferation.  It is also known as neovascular or exudative macular degeneration.  Complications include subretinal haemorrhage</w:t>
      </w:r>
      <w:r>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53EE3" w:rsidP="00BE28AA">
          <w:pPr>
            <w:spacing w:line="0" w:lineRule="atLeast"/>
            <w:jc w:val="center"/>
            <w:rPr>
              <w:i/>
              <w:sz w:val="18"/>
              <w:szCs w:val="18"/>
            </w:rPr>
          </w:pPr>
          <w:r w:rsidRPr="00D53EE3">
            <w:rPr>
              <w:i/>
              <w:sz w:val="18"/>
              <w:szCs w:val="18"/>
            </w:rPr>
            <w:t>Macular Degeneration</w:t>
          </w:r>
          <w:r w:rsidR="00BE28AA">
            <w:rPr>
              <w:i/>
              <w:sz w:val="18"/>
              <w:szCs w:val="18"/>
            </w:rPr>
            <w:t xml:space="preserve"> (Reasonable Hypothesis) </w:t>
          </w:r>
          <w:r w:rsidR="00BE28AA" w:rsidRPr="007C5CE0">
            <w:rPr>
              <w:i/>
              <w:sz w:val="18"/>
            </w:rPr>
            <w:t xml:space="preserve">(No. </w:t>
          </w:r>
          <w:r w:rsidR="00691E02" w:rsidRPr="00691E02">
            <w:rPr>
              <w:i/>
              <w:sz w:val="18"/>
              <w:szCs w:val="18"/>
            </w:rPr>
            <w:t>59</w:t>
          </w:r>
          <w:r w:rsidR="00BE28AA" w:rsidRPr="007C5CE0">
            <w:rPr>
              <w:i/>
              <w:sz w:val="18"/>
              <w:szCs w:val="18"/>
            </w:rPr>
            <w:t xml:space="preserve"> of </w:t>
          </w:r>
          <w:r w:rsidRPr="00D53EE3">
            <w:rPr>
              <w:i/>
              <w:sz w:val="18"/>
              <w:szCs w:val="18"/>
            </w:rPr>
            <w:t>2018</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27B7">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A27B7">
            <w:rPr>
              <w:i/>
              <w:noProof/>
              <w:sz w:val="18"/>
            </w:rPr>
            <w:t>9</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53EE3" w:rsidP="00BE28AA">
          <w:pPr>
            <w:spacing w:line="0" w:lineRule="atLeast"/>
            <w:jc w:val="center"/>
            <w:rPr>
              <w:i/>
              <w:sz w:val="18"/>
              <w:szCs w:val="18"/>
            </w:rPr>
          </w:pPr>
          <w:r w:rsidRPr="00D53EE3">
            <w:rPr>
              <w:i/>
              <w:sz w:val="18"/>
              <w:szCs w:val="18"/>
            </w:rPr>
            <w:t>Macular Degeneration</w:t>
          </w:r>
          <w:r w:rsidR="00BE28AA">
            <w:rPr>
              <w:i/>
              <w:sz w:val="18"/>
              <w:szCs w:val="18"/>
            </w:rPr>
            <w:t xml:space="preserve"> (Reasonable Hypothesis) </w:t>
          </w:r>
          <w:r w:rsidR="00BE28AA" w:rsidRPr="007C5CE0">
            <w:rPr>
              <w:i/>
              <w:sz w:val="18"/>
            </w:rPr>
            <w:t xml:space="preserve">(No. </w:t>
          </w:r>
          <w:r w:rsidR="00691E02" w:rsidRPr="00691E02">
            <w:rPr>
              <w:i/>
              <w:sz w:val="18"/>
              <w:szCs w:val="18"/>
            </w:rPr>
            <w:t>59</w:t>
          </w:r>
          <w:r w:rsidR="00BE28AA" w:rsidRPr="007C5CE0">
            <w:rPr>
              <w:i/>
              <w:sz w:val="18"/>
              <w:szCs w:val="18"/>
            </w:rPr>
            <w:t xml:space="preserve"> of </w:t>
          </w:r>
          <w:r w:rsidRPr="00D53EE3">
            <w:rPr>
              <w:i/>
              <w:sz w:val="18"/>
              <w:szCs w:val="18"/>
            </w:rPr>
            <w:t>2018</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A27B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A27B7">
            <w:rPr>
              <w:i/>
              <w:noProof/>
              <w:sz w:val="18"/>
            </w:rPr>
            <w:t>9</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BE28AA" w:rsidRDefault="00997416" w:rsidP="00BE2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66A6F" w:rsidRDefault="00885EAB" w:rsidP="00A66A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E4950" w:rsidRDefault="00BE28AA" w:rsidP="001C0F98">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E67"/>
    <w:rsid w:val="00051B75"/>
    <w:rsid w:val="0005365D"/>
    <w:rsid w:val="000539B6"/>
    <w:rsid w:val="00054930"/>
    <w:rsid w:val="000614BF"/>
    <w:rsid w:val="00061E3E"/>
    <w:rsid w:val="00077529"/>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2BF7"/>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A3746"/>
    <w:rsid w:val="001B0F26"/>
    <w:rsid w:val="001C0F98"/>
    <w:rsid w:val="001C2AD2"/>
    <w:rsid w:val="001C61C5"/>
    <w:rsid w:val="001C69C4"/>
    <w:rsid w:val="001C77EE"/>
    <w:rsid w:val="001D2262"/>
    <w:rsid w:val="001D2F34"/>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7D8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57AFC"/>
    <w:rsid w:val="00360459"/>
    <w:rsid w:val="00365E25"/>
    <w:rsid w:val="003734C6"/>
    <w:rsid w:val="00375BB3"/>
    <w:rsid w:val="003802D6"/>
    <w:rsid w:val="00385187"/>
    <w:rsid w:val="003975F6"/>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B58FD"/>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589B"/>
    <w:rsid w:val="005E7FC2"/>
    <w:rsid w:val="00600219"/>
    <w:rsid w:val="006013B7"/>
    <w:rsid w:val="00603D01"/>
    <w:rsid w:val="00603DC4"/>
    <w:rsid w:val="00611636"/>
    <w:rsid w:val="00615B89"/>
    <w:rsid w:val="00616FF5"/>
    <w:rsid w:val="00617C4E"/>
    <w:rsid w:val="00620076"/>
    <w:rsid w:val="00626148"/>
    <w:rsid w:val="006314DD"/>
    <w:rsid w:val="0066266D"/>
    <w:rsid w:val="006647B7"/>
    <w:rsid w:val="00667A4E"/>
    <w:rsid w:val="00670EA1"/>
    <w:rsid w:val="00677CC2"/>
    <w:rsid w:val="006840B0"/>
    <w:rsid w:val="00684C0E"/>
    <w:rsid w:val="006905DE"/>
    <w:rsid w:val="00691E02"/>
    <w:rsid w:val="0069207B"/>
    <w:rsid w:val="0069220C"/>
    <w:rsid w:val="00695023"/>
    <w:rsid w:val="006B5789"/>
    <w:rsid w:val="006C30C5"/>
    <w:rsid w:val="006C4E18"/>
    <w:rsid w:val="006C7F8C"/>
    <w:rsid w:val="006D6CB3"/>
    <w:rsid w:val="006E212F"/>
    <w:rsid w:val="006E6246"/>
    <w:rsid w:val="006F318F"/>
    <w:rsid w:val="006F4226"/>
    <w:rsid w:val="006F513D"/>
    <w:rsid w:val="006F5C1C"/>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213D"/>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56D62"/>
    <w:rsid w:val="0086644D"/>
    <w:rsid w:val="00867ABD"/>
    <w:rsid w:val="00867B37"/>
    <w:rsid w:val="00873081"/>
    <w:rsid w:val="008754D0"/>
    <w:rsid w:val="00877AE3"/>
    <w:rsid w:val="008855C9"/>
    <w:rsid w:val="00885EAB"/>
    <w:rsid w:val="00886456"/>
    <w:rsid w:val="008A2062"/>
    <w:rsid w:val="008A46E1"/>
    <w:rsid w:val="008A4F43"/>
    <w:rsid w:val="008B170B"/>
    <w:rsid w:val="008B2204"/>
    <w:rsid w:val="008B2706"/>
    <w:rsid w:val="008C085A"/>
    <w:rsid w:val="008C5428"/>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3DA0"/>
    <w:rsid w:val="00C96667"/>
    <w:rsid w:val="00C9794D"/>
    <w:rsid w:val="00CA61BB"/>
    <w:rsid w:val="00CA7414"/>
    <w:rsid w:val="00CB1DCB"/>
    <w:rsid w:val="00CB2C8E"/>
    <w:rsid w:val="00CB602E"/>
    <w:rsid w:val="00CC20AF"/>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063"/>
    <w:rsid w:val="00D377E3"/>
    <w:rsid w:val="00D50484"/>
    <w:rsid w:val="00D51E58"/>
    <w:rsid w:val="00D527C9"/>
    <w:rsid w:val="00D52DC2"/>
    <w:rsid w:val="00D53BCC"/>
    <w:rsid w:val="00D53EE3"/>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2CAD"/>
    <w:rsid w:val="00E64EE4"/>
    <w:rsid w:val="00E65BB9"/>
    <w:rsid w:val="00E662CB"/>
    <w:rsid w:val="00E74DC7"/>
    <w:rsid w:val="00E8075A"/>
    <w:rsid w:val="00E82B21"/>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325D"/>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27B7"/>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1952</Words>
  <Characters>11132</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2017-12-20T23:45:00Z</dcterms:created>
  <dcterms:modified xsi:type="dcterms:W3CDTF">2018-06-18T00:32:00Z</dcterms:modified>
  <cp:category/>
  <cp:contentStatus/>
  <dc:language/>
  <cp:version/>
</cp:coreProperties>
</file>