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E65BB9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235DEF" w:rsidP="006647B7">
      <w:pPr>
        <w:pStyle w:val="Plainheader"/>
      </w:pPr>
      <w:bookmarkStart w:id="1" w:name="SoP_Name_Title"/>
      <w:r>
        <w:t>CONCUSSION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186048">
        <w:t>92</w:t>
      </w:r>
      <w:r w:rsidRPr="00024911">
        <w:t xml:space="preserve"> of</w:t>
      </w:r>
      <w:r w:rsidR="00085567">
        <w:t xml:space="preserve"> </w:t>
      </w:r>
      <w:bookmarkStart w:id="2" w:name="year"/>
      <w:r w:rsidR="00235DEF">
        <w:t>2018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ED5ED3">
        <w:rPr>
          <w:b w:val="0"/>
        </w:rPr>
        <w:t xml:space="preserve">   </w:t>
      </w:r>
      <w:r w:rsidR="00186048">
        <w:rPr>
          <w:b w:val="0"/>
        </w:rPr>
        <w:t>26 October</w:t>
      </w:r>
      <w:r w:rsidR="00ED5ED3">
        <w:rPr>
          <w:b w:val="0"/>
        </w:rPr>
        <w:t xml:space="preserve"> 2018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E4950">
      <w:pPr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rPr>
                <w:b w:val="0"/>
              </w:rPr>
            </w:pPr>
            <w:r w:rsidRPr="00E65BB9">
              <w:rPr>
                <w:b w:val="0"/>
              </w:rPr>
              <w:t>The Common Seal of the</w:t>
            </w:r>
            <w:r w:rsidRPr="00E65BB9">
              <w:rPr>
                <w:b w:val="0"/>
              </w:rPr>
              <w:br/>
              <w:t>Repatriation Medical Authority</w:t>
            </w:r>
            <w:r w:rsidRPr="00E65BB9">
              <w:rPr>
                <w:b w:val="0"/>
              </w:rPr>
              <w:br/>
              <w:t>was affixed to this instrument</w:t>
            </w:r>
            <w:r w:rsidRPr="00E65BB9">
              <w:rPr>
                <w:b w:val="0"/>
              </w:rPr>
              <w:br/>
              <w:t>at the direction of:</w:t>
            </w:r>
          </w:p>
          <w:p w:rsidR="00EE4950" w:rsidRPr="00E65BB9" w:rsidRDefault="00EE4950" w:rsidP="00E65BB9">
            <w:pPr>
              <w:pStyle w:val="Plain"/>
              <w:rPr>
                <w:b w:val="0"/>
              </w:rPr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67790F" w:rsidP="00E65BB9">
            <w:pPr>
              <w:pStyle w:val="Plain"/>
              <w:spacing w:before="0"/>
              <w:rPr>
                <w:b w:val="0"/>
              </w:rPr>
            </w:pPr>
            <w:r w:rsidRPr="005E4978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182245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015E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015EE">
        <w:rPr>
          <w:noProof/>
        </w:rPr>
        <w:t>1</w:t>
      </w:r>
      <w:r w:rsidR="000015E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015EE">
        <w:rPr>
          <w:noProof/>
        </w:rPr>
        <w:t>Name</w:t>
      </w:r>
      <w:r w:rsidR="000015EE">
        <w:rPr>
          <w:noProof/>
        </w:rPr>
        <w:tab/>
      </w:r>
      <w:r w:rsidR="000015EE">
        <w:rPr>
          <w:noProof/>
        </w:rPr>
        <w:fldChar w:fldCharType="begin"/>
      </w:r>
      <w:r w:rsidR="000015EE">
        <w:rPr>
          <w:noProof/>
        </w:rPr>
        <w:instrText xml:space="preserve"> PAGEREF _Toc527614438 \h </w:instrText>
      </w:r>
      <w:r w:rsidR="000015EE">
        <w:rPr>
          <w:noProof/>
        </w:rPr>
      </w:r>
      <w:r w:rsidR="000015EE">
        <w:rPr>
          <w:noProof/>
        </w:rPr>
        <w:fldChar w:fldCharType="separate"/>
      </w:r>
      <w:r w:rsidR="00DD6BA7">
        <w:rPr>
          <w:noProof/>
        </w:rPr>
        <w:t>3</w:t>
      </w:r>
      <w:r w:rsidR="000015EE"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_Toc527614439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_Toc527614440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_Toc527614441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_Toc527614442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_Toc527614443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_Toc527614444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3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_Toc527614445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4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_Toc527614446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4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_Toc527614447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4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_Toc527614448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4</w:t>
      </w:r>
      <w:r>
        <w:rPr>
          <w:noProof/>
        </w:rPr>
        <w:fldChar w:fldCharType="end"/>
      </w:r>
    </w:p>
    <w:p w:rsidR="000015EE" w:rsidRDefault="000015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_Toc527614449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5</w:t>
      </w:r>
      <w:r>
        <w:rPr>
          <w:noProof/>
        </w:rPr>
        <w:fldChar w:fldCharType="end"/>
      </w:r>
    </w:p>
    <w:p w:rsidR="000015EE" w:rsidRDefault="000015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_Toc527614450 \h </w:instrText>
      </w:r>
      <w:r>
        <w:rPr>
          <w:noProof/>
        </w:rPr>
      </w:r>
      <w:r>
        <w:rPr>
          <w:noProof/>
        </w:rPr>
        <w:fldChar w:fldCharType="separate"/>
      </w:r>
      <w:r w:rsidR="00DD6BA7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527614438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35DEF">
        <w:rPr>
          <w:i/>
        </w:rPr>
        <w:t>concussion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86048">
        <w:t>92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35DEF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527614439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86048">
        <w:t>26 November</w:t>
      </w:r>
      <w:r w:rsidR="00ED5ED3" w:rsidRPr="00ED5ED3">
        <w:t xml:space="preserve"> 2018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527614440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527614441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35DEF" w:rsidRPr="00235DEF">
        <w:t>concussion</w:t>
      </w:r>
      <w:r w:rsidR="00235DEF">
        <w:t xml:space="preserve"> No. 64</w:t>
      </w:r>
      <w:r w:rsidRPr="00DA3996">
        <w:t xml:space="preserve"> of </w:t>
      </w:r>
      <w:r w:rsidR="00235DEF">
        <w:t>2012</w:t>
      </w:r>
      <w:r w:rsidR="005E26FD">
        <w:t xml:space="preserve"> </w:t>
      </w:r>
      <w:r w:rsidR="00285992" w:rsidRPr="00786DAE">
        <w:t xml:space="preserve">(Federal Register of Legislation No. </w:t>
      </w:r>
      <w:r w:rsidR="00235DEF" w:rsidRPr="00235DEF">
        <w:t>F2012L01809</w:t>
      </w:r>
      <w:r w:rsidR="00285992" w:rsidRPr="00786DAE">
        <w:t xml:space="preserve">) </w:t>
      </w:r>
      <w:r w:rsidR="00285992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527614442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527614443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761444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235DEF" w:rsidRPr="00235DEF">
        <w:t>concussion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35DEF" w:rsidRPr="00235DEF">
        <w:t>concussion</w:t>
      </w:r>
      <w:r w:rsidRPr="00D5620B">
        <w:t>.</w:t>
      </w:r>
      <w:bookmarkEnd w:id="17"/>
    </w:p>
    <w:p w:rsidR="00215860" w:rsidRPr="00C670B0" w:rsidRDefault="00215860" w:rsidP="00D36C2F">
      <w:pPr>
        <w:pStyle w:val="LVtext"/>
        <w:ind w:left="851"/>
      </w:pPr>
      <w:r w:rsidRPr="00C670B0">
        <w:t>Meaning of</w:t>
      </w:r>
      <w:r w:rsidR="00D60FC8" w:rsidRPr="00C670B0">
        <w:t xml:space="preserve"> </w:t>
      </w:r>
      <w:r w:rsidR="00235DEF" w:rsidRPr="00235DEF">
        <w:rPr>
          <w:b/>
        </w:rPr>
        <w:t>concussion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235DEF" w:rsidRPr="00235DEF">
        <w:t>concussion</w:t>
      </w:r>
      <w:r w:rsidR="002716E4" w:rsidRPr="00237BAF">
        <w:t>:</w:t>
      </w:r>
      <w:bookmarkEnd w:id="18"/>
    </w:p>
    <w:bookmarkEnd w:id="19"/>
    <w:p w:rsidR="005D6D98" w:rsidRPr="008E76DC" w:rsidRDefault="005D6D98" w:rsidP="00235DEF">
      <w:pPr>
        <w:pStyle w:val="LV3"/>
      </w:pPr>
      <w:r>
        <w:t xml:space="preserve">means </w:t>
      </w:r>
      <w:r w:rsidR="00235DEF" w:rsidRPr="00235DEF">
        <w:t>a mild traumatic brain injury resulting from the transfer of kinetic energy to the brain from external physical forces, which is manifested by a temporary disturbance in neurological function that does not meet the criteria for moderate to severe traumatic brain injury; and</w:t>
      </w:r>
    </w:p>
    <w:p w:rsidR="005D6D98" w:rsidRDefault="005D6D98" w:rsidP="00235DEF">
      <w:pPr>
        <w:pStyle w:val="LV3"/>
      </w:pPr>
      <w:r w:rsidRPr="008E76DC">
        <w:t xml:space="preserve">excludes </w:t>
      </w:r>
      <w:r w:rsidR="00235DEF" w:rsidRPr="00235DEF">
        <w:t xml:space="preserve">injury from radiation, electricity, heat </w:t>
      </w:r>
      <w:r w:rsidR="000015EE">
        <w:t>and</w:t>
      </w:r>
      <w:r w:rsidR="00235DEF" w:rsidRPr="00235DEF">
        <w:t xml:space="preserve"> surgery.</w:t>
      </w:r>
    </w:p>
    <w:p w:rsidR="005D6D98" w:rsidRPr="008E76DC" w:rsidRDefault="005D6D98" w:rsidP="000015EE">
      <w:pPr>
        <w:pStyle w:val="Note2"/>
      </w:pPr>
      <w:r>
        <w:t>Note</w:t>
      </w:r>
      <w:r w:rsidR="00B67C50">
        <w:t>:</w:t>
      </w:r>
      <w:r w:rsidR="00D178DD">
        <w:t xml:space="preserve"> </w:t>
      </w:r>
      <w:r w:rsidR="00235DEF">
        <w:t xml:space="preserve"> </w:t>
      </w:r>
      <w:r w:rsidR="00235DEF" w:rsidRPr="00235DEF">
        <w:t xml:space="preserve">This Statement of Principles applies to concussion only.  Trauma to the brain can cause other diseases or injuries, and these are covered by a range of other Statements of Principles in which trauma to the brain (variously worded) is listed as a risk factor.  The relevant Statements of Principles include but are not limited to: accommodation disorder, anosmia, arachnoid cyst, dementia </w:t>
      </w:r>
      <w:proofErr w:type="spellStart"/>
      <w:r w:rsidR="00235DEF" w:rsidRPr="00235DEF">
        <w:t>pugilistica</w:t>
      </w:r>
      <w:proofErr w:type="spellEnd"/>
      <w:r w:rsidR="00235DEF" w:rsidRPr="00235DEF">
        <w:t xml:space="preserve">, epilepsy, epileptic seizure, hypopituitarism, narcolepsy, schizophrenia and subdural haematoma.  </w:t>
      </w:r>
    </w:p>
    <w:p w:rsidR="00FD775E" w:rsidRDefault="00237BAF" w:rsidP="00D36C2F">
      <w:pPr>
        <w:pStyle w:val="LVtext"/>
        <w:ind w:left="851"/>
      </w:pPr>
      <w:r w:rsidRPr="003A5C26">
        <w:lastRenderedPageBreak/>
        <w:t>Death from</w:t>
      </w:r>
      <w:r w:rsidR="008F572A" w:rsidRPr="00237BAF">
        <w:t xml:space="preserve"> </w:t>
      </w:r>
      <w:r w:rsidR="00235DEF" w:rsidRPr="00235DEF">
        <w:rPr>
          <w:b/>
        </w:rPr>
        <w:t>concussion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35DEF" w:rsidRPr="00235DEF">
        <w:t>concussion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235DEF" w:rsidRPr="00235DEF">
        <w:t>concussion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527614445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235DEF" w:rsidRPr="00235DEF">
        <w:t>concussion</w:t>
      </w:r>
      <w:r>
        <w:t xml:space="preserve"> </w:t>
      </w:r>
      <w:r w:rsidRPr="00D5620B">
        <w:t>and death from</w:t>
      </w:r>
      <w:r>
        <w:t xml:space="preserve"> </w:t>
      </w:r>
      <w:r w:rsidR="00235DEF" w:rsidRPr="00235DEF">
        <w:t>concussion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761444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35DEF" w:rsidRPr="00235DEF">
        <w:t>concussion</w:t>
      </w:r>
      <w:r w:rsidR="007A3989">
        <w:t xml:space="preserve"> </w:t>
      </w:r>
      <w:r w:rsidR="007C7DEE" w:rsidRPr="00AA6D8B">
        <w:t xml:space="preserve">or death from </w:t>
      </w:r>
      <w:r w:rsidR="00235DEF" w:rsidRPr="00235DEF">
        <w:t>concussion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8D1B8B" w:rsidRDefault="0094288C" w:rsidP="0094288C">
      <w:pPr>
        <w:pStyle w:val="LV2"/>
      </w:pPr>
      <w:bookmarkStart w:id="26" w:name="_Ref402530260"/>
      <w:bookmarkStart w:id="27" w:name="_Ref409598844"/>
      <w:r w:rsidRPr="0094288C">
        <w:t>experiencing a specified event at the time of the clinical onset of concussion;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94288C" w:rsidRPr="0094288C">
        <w:rPr>
          <w:b/>
          <w:i/>
        </w:rPr>
        <w:t>specified event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235DEF" w:rsidRPr="00235DEF">
        <w:t>concussion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52761444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94288C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235DEF" w:rsidRPr="00235DEF">
        <w:t>concussion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235DEF" w:rsidRPr="00235DEF">
        <w:t>concussion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52761444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761444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7614450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94288C" w:rsidRPr="00513D05" w:rsidRDefault="0094288C" w:rsidP="0094288C">
      <w:pPr>
        <w:pStyle w:val="SH3"/>
      </w:pPr>
      <w:bookmarkStart w:id="36" w:name="_Ref402530810"/>
      <w:r w:rsidRPr="0094288C">
        <w:rPr>
          <w:b/>
          <w:i/>
        </w:rPr>
        <w:t>concussion</w:t>
      </w:r>
      <w:r w:rsidRPr="00513D05">
        <w:t>—see subsection</w:t>
      </w:r>
      <w:r>
        <w:t xml:space="preserve"> 7(2).</w:t>
      </w:r>
    </w:p>
    <w:p w:rsidR="00885EAB" w:rsidRPr="009C404D" w:rsidRDefault="00885EAB" w:rsidP="0094288C">
      <w:pPr>
        <w:pStyle w:val="SH3"/>
      </w:pPr>
      <w:r w:rsidRPr="0094288C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4288C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4288C">
      <w:pPr>
        <w:pStyle w:val="SH3"/>
      </w:pPr>
      <w:bookmarkStart w:id="37" w:name="_Ref402529607"/>
      <w:bookmarkEnd w:id="36"/>
      <w:r w:rsidRPr="0094288C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94288C" w:rsidRDefault="0094288C" w:rsidP="0094288C">
      <w:pPr>
        <w:pStyle w:val="SH3"/>
      </w:pPr>
      <w:r w:rsidRPr="0094288C">
        <w:rPr>
          <w:b/>
          <w:i/>
        </w:rPr>
        <w:t>specified event</w:t>
      </w:r>
      <w:r>
        <w:t xml:space="preserve"> means: </w:t>
      </w:r>
    </w:p>
    <w:p w:rsidR="0094288C" w:rsidRDefault="0094288C" w:rsidP="0094288C">
      <w:pPr>
        <w:pStyle w:val="SH4"/>
        <w:ind w:left="1418"/>
      </w:pPr>
      <w:r>
        <w:t xml:space="preserve">the head being struck by an object; </w:t>
      </w:r>
    </w:p>
    <w:p w:rsidR="0094288C" w:rsidRDefault="0094288C" w:rsidP="0094288C">
      <w:pPr>
        <w:pStyle w:val="SH4"/>
        <w:ind w:left="1418"/>
      </w:pPr>
      <w:r>
        <w:t xml:space="preserve">the head striking an object; </w:t>
      </w:r>
    </w:p>
    <w:p w:rsidR="0094288C" w:rsidRDefault="0094288C" w:rsidP="0094288C">
      <w:pPr>
        <w:pStyle w:val="SH4"/>
        <w:ind w:left="1418"/>
      </w:pPr>
      <w:r>
        <w:t xml:space="preserve">the brain undergoing an acceleration or deceleration movement without direct external trauma to the head; or </w:t>
      </w:r>
    </w:p>
    <w:p w:rsidR="0094288C" w:rsidRPr="0094288C" w:rsidRDefault="0094288C" w:rsidP="0094288C">
      <w:pPr>
        <w:pStyle w:val="SH4"/>
        <w:ind w:left="1418"/>
      </w:pPr>
      <w:r>
        <w:t>an explosion or explosive blast.</w:t>
      </w:r>
    </w:p>
    <w:p w:rsidR="00885EAB" w:rsidRPr="009C404D" w:rsidRDefault="00054930" w:rsidP="0094288C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4288C">
      <w:pPr>
        <w:pStyle w:val="SH3"/>
      </w:pPr>
      <w:r w:rsidRPr="0094288C">
        <w:rPr>
          <w:b/>
          <w:i/>
        </w:rPr>
        <w:t>VEA</w:t>
      </w:r>
      <w:r w:rsidRPr="0019084F">
        <w:t xml:space="preserve"> means the </w:t>
      </w:r>
      <w:r w:rsidRPr="0094288C">
        <w:rPr>
          <w:i/>
        </w:rPr>
        <w:t>Veterans</w:t>
      </w:r>
      <w:r w:rsidR="00D0417B" w:rsidRPr="0094288C">
        <w:rPr>
          <w:i/>
        </w:rPr>
        <w:t>'</w:t>
      </w:r>
      <w:r w:rsidRPr="0094288C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235DEF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35DEF">
            <w:rPr>
              <w:i/>
              <w:sz w:val="18"/>
              <w:szCs w:val="18"/>
            </w:rPr>
            <w:t>Concussion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186048">
            <w:rPr>
              <w:i/>
              <w:sz w:val="18"/>
              <w:szCs w:val="18"/>
            </w:rPr>
            <w:t>92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235DEF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E6C39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E6C3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235DEF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35DEF">
            <w:rPr>
              <w:i/>
              <w:sz w:val="18"/>
              <w:szCs w:val="18"/>
            </w:rPr>
            <w:t>Concussion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186048">
            <w:rPr>
              <w:i/>
              <w:sz w:val="18"/>
              <w:szCs w:val="18"/>
            </w:rPr>
            <w:t>92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235DEF">
            <w:rPr>
              <w:i/>
              <w:sz w:val="18"/>
              <w:szCs w:val="18"/>
            </w:rPr>
            <w:t>2018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E6C3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E6C3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C088D2C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5EE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6048"/>
    <w:rsid w:val="00187DE1"/>
    <w:rsid w:val="0019084F"/>
    <w:rsid w:val="001939E1"/>
    <w:rsid w:val="00194C3E"/>
    <w:rsid w:val="00195382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5DEF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45E9E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90F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288C"/>
    <w:rsid w:val="00947D5A"/>
    <w:rsid w:val="009532A5"/>
    <w:rsid w:val="00956922"/>
    <w:rsid w:val="009612CF"/>
    <w:rsid w:val="0096673D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67C50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4880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C39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178DD"/>
    <w:rsid w:val="00D268C6"/>
    <w:rsid w:val="00D32F65"/>
    <w:rsid w:val="00D32F71"/>
    <w:rsid w:val="00D36C2F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6BA7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5ED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4288C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4288C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5289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2018-06-18T05:31:00Z</dcterms:created>
  <dcterms:modified xsi:type="dcterms:W3CDTF">2018-10-23T00:28:00Z</dcterms:modified>
  <cp:category/>
  <cp:contentStatus/>
  <dc:language/>
  <cp:version/>
</cp:coreProperties>
</file>