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E6773D" w:rsidP="006647B7">
      <w:pPr>
        <w:pStyle w:val="Plainheader"/>
      </w:pPr>
      <w:r>
        <w:t>GUILLAIN-BARRE SYNDROME</w:t>
      </w:r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0208F0">
        <w:t>24</w:t>
      </w:r>
      <w:r w:rsidRPr="00024911">
        <w:t xml:space="preserve"> of</w:t>
      </w:r>
      <w:r w:rsidR="00085567">
        <w:t xml:space="preserve"> </w:t>
      </w:r>
      <w:r w:rsidR="00E6773D">
        <w:t>2018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EC7941" w:rsidRDefault="00EC7941" w:rsidP="00EC7941">
      <w:pPr>
        <w:pStyle w:val="Plain"/>
        <w:tabs>
          <w:tab w:val="clear" w:pos="567"/>
          <w:tab w:val="left" w:pos="851"/>
        </w:tabs>
      </w:pPr>
      <w:r w:rsidRPr="007527C1">
        <w:t>Dated</w:t>
      </w:r>
      <w:r>
        <w:tab/>
      </w:r>
      <w:r>
        <w:tab/>
      </w:r>
      <w:r>
        <w:tab/>
      </w:r>
      <w:r>
        <w:tab/>
        <w:t xml:space="preserve"> 2 March 2018</w:t>
      </w:r>
    </w:p>
    <w:p w:rsidR="00EC7941" w:rsidRDefault="00EC7941" w:rsidP="00EC7941">
      <w:pPr>
        <w:pStyle w:val="Plain"/>
      </w:pPr>
    </w:p>
    <w:p w:rsidR="00EC7941" w:rsidRDefault="00EC7941" w:rsidP="00EC7941">
      <w:pPr>
        <w:pStyle w:val="Plain"/>
      </w:pPr>
    </w:p>
    <w:p w:rsidR="00EC7941" w:rsidRDefault="00EC7941" w:rsidP="00EC7941">
      <w:pPr>
        <w:pStyle w:val="Plain"/>
      </w:pPr>
    </w:p>
    <w:p w:rsidR="00EC7941" w:rsidRDefault="00EC7941" w:rsidP="00EC7941">
      <w:pPr>
        <w:pStyle w:val="Plain"/>
      </w:pPr>
    </w:p>
    <w:p w:rsidR="00EC7941" w:rsidRPr="007527C1" w:rsidRDefault="00EC7941" w:rsidP="00EC7941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C7941" w:rsidTr="00A62E07">
        <w:tc>
          <w:tcPr>
            <w:tcW w:w="4116" w:type="dxa"/>
          </w:tcPr>
          <w:p w:rsidR="00EC7941" w:rsidRDefault="00EC7941" w:rsidP="00A62E07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EC7941" w:rsidRDefault="00EC7941" w:rsidP="00A62E07">
            <w:pPr>
              <w:pStyle w:val="Plain"/>
            </w:pPr>
          </w:p>
        </w:tc>
      </w:tr>
      <w:tr w:rsidR="00EC7941" w:rsidTr="00A62E07">
        <w:tc>
          <w:tcPr>
            <w:tcW w:w="4116" w:type="dxa"/>
          </w:tcPr>
          <w:p w:rsidR="00EC7941" w:rsidRDefault="00EC7941" w:rsidP="00A62E07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CB6553" wp14:editId="27FAEDF5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7941" w:rsidRDefault="00EC7941" w:rsidP="00A62E07">
            <w:pPr>
              <w:pStyle w:val="Plain"/>
            </w:pPr>
          </w:p>
          <w:p w:rsidR="00EC7941" w:rsidRPr="007527C1" w:rsidRDefault="00EC7941" w:rsidP="00A62E07">
            <w:pPr>
              <w:pStyle w:val="Plain"/>
            </w:pPr>
            <w:r w:rsidRPr="007527C1">
              <w:t>Professor Nicholas Saunders AO</w:t>
            </w:r>
          </w:p>
          <w:p w:rsidR="00EC7941" w:rsidRDefault="00EC7941" w:rsidP="00A62E07">
            <w:pPr>
              <w:pStyle w:val="Plain"/>
            </w:pPr>
            <w:r w:rsidRPr="007527C1">
              <w:t>Chairperson</w:t>
            </w:r>
          </w:p>
          <w:p w:rsidR="00EC7941" w:rsidRDefault="00EC7941" w:rsidP="00A62E07"/>
        </w:tc>
      </w:tr>
    </w:tbl>
    <w:p w:rsidR="00EC7941" w:rsidRPr="00FA33FB" w:rsidRDefault="00EC7941" w:rsidP="00EC7941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bookmarkStart w:id="0" w:name="_GoBack"/>
      <w:bookmarkEnd w:id="0"/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4E59D1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E59D1">
        <w:rPr>
          <w:noProof/>
        </w:rPr>
        <w:t>1</w:t>
      </w:r>
      <w:r w:rsidR="004E59D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E59D1">
        <w:rPr>
          <w:noProof/>
        </w:rPr>
        <w:t>Name</w:t>
      </w:r>
      <w:r w:rsidR="004E59D1">
        <w:rPr>
          <w:noProof/>
        </w:rPr>
        <w:tab/>
      </w:r>
      <w:r w:rsidR="004E59D1">
        <w:rPr>
          <w:noProof/>
        </w:rPr>
        <w:fldChar w:fldCharType="begin"/>
      </w:r>
      <w:r w:rsidR="004E59D1">
        <w:rPr>
          <w:noProof/>
        </w:rPr>
        <w:instrText xml:space="preserve"> PAGEREF _Toc432151334 \h </w:instrText>
      </w:r>
      <w:r w:rsidR="004E59D1">
        <w:rPr>
          <w:noProof/>
        </w:rPr>
      </w:r>
      <w:r w:rsidR="004E59D1">
        <w:rPr>
          <w:noProof/>
        </w:rPr>
        <w:fldChar w:fldCharType="separate"/>
      </w:r>
      <w:r w:rsidR="003600C5">
        <w:rPr>
          <w:noProof/>
        </w:rPr>
        <w:t>3</w:t>
      </w:r>
      <w:r w:rsidR="004E59D1"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_Toc432151335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3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_Toc432151336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3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_Toc432151337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3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_Toc432151338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3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_Toc432151339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3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_Toc432151340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3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_Toc432151341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4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_Toc432151342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4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_Toc432151343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5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_Toc432151344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5</w:t>
      </w:r>
      <w:r>
        <w:rPr>
          <w:noProof/>
        </w:rPr>
        <w:fldChar w:fldCharType="end"/>
      </w:r>
    </w:p>
    <w:p w:rsidR="004E59D1" w:rsidRDefault="004E59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_Toc432151345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6</w:t>
      </w:r>
      <w:r>
        <w:rPr>
          <w:noProof/>
        </w:rPr>
        <w:fldChar w:fldCharType="end"/>
      </w:r>
    </w:p>
    <w:p w:rsidR="004E59D1" w:rsidRDefault="004E59D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_Toc432151346 \h </w:instrText>
      </w:r>
      <w:r>
        <w:rPr>
          <w:noProof/>
        </w:rPr>
      </w:r>
      <w:r>
        <w:rPr>
          <w:noProof/>
        </w:rPr>
        <w:fldChar w:fldCharType="separate"/>
      </w:r>
      <w:r w:rsidR="003600C5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432151334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E6773D">
        <w:rPr>
          <w:i/>
        </w:rPr>
        <w:t>Guillain-Barre syndrome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0208F0">
        <w:t>24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6773D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432151335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208F0">
        <w:t>2 April 2018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5" w:name="_Toc432151336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432151337"/>
      <w:r>
        <w:t>Revocation</w:t>
      </w:r>
      <w:bookmarkEnd w:id="6"/>
    </w:p>
    <w:p w:rsidR="007959B9" w:rsidRPr="007527C1" w:rsidRDefault="007959B9" w:rsidP="00DF65CF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E6773D">
        <w:t>Guillain-Barre syndrome</w:t>
      </w:r>
      <w:r>
        <w:t xml:space="preserve"> No. </w:t>
      </w:r>
      <w:r w:rsidR="0090400E">
        <w:t>60</w:t>
      </w:r>
      <w:r>
        <w:t xml:space="preserve"> of </w:t>
      </w:r>
      <w:r w:rsidR="0090400E">
        <w:t>2013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7" w:name="_Toc432151338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432151339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4321513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E6773D">
        <w:t>Guillain-Barre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6773D">
        <w:t>Guillain-Barre syndrome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6773D">
        <w:rPr>
          <w:b/>
        </w:rPr>
        <w:t>Guillain-Barre syndrome</w:t>
      </w:r>
    </w:p>
    <w:p w:rsidR="007F3134" w:rsidRDefault="007F3134" w:rsidP="007F3134">
      <w:pPr>
        <w:pStyle w:val="LV2"/>
      </w:pPr>
      <w:r w:rsidRPr="007F3134">
        <w:tab/>
        <w:t>For the purposes of this Statement of Principles, Guillain-Barre syndrome:</w:t>
      </w:r>
    </w:p>
    <w:p w:rsidR="00DC7B1B" w:rsidRPr="008E76DC" w:rsidRDefault="00DC7B1B" w:rsidP="00DC7B1B">
      <w:pPr>
        <w:pStyle w:val="LV3"/>
      </w:pPr>
      <w:r w:rsidRPr="002C19C1">
        <w:tab/>
        <w:t>means an acute or subacute immune-mediated disorder of the peripheral nervous system producing symptoms and signs of impaired motor, sensory or autonomic functioning; and</w:t>
      </w:r>
    </w:p>
    <w:p w:rsidR="00DC7B1B" w:rsidRDefault="00DC7B1B" w:rsidP="00DC7B1B">
      <w:pPr>
        <w:pStyle w:val="LV3"/>
      </w:pPr>
      <w:r>
        <w:t>i</w:t>
      </w:r>
      <w:r w:rsidRPr="008E76DC">
        <w:t>ncludes</w:t>
      </w:r>
      <w:r>
        <w:t>:</w:t>
      </w:r>
    </w:p>
    <w:p w:rsidR="00DC7B1B" w:rsidRPr="002C19C1" w:rsidRDefault="00DC7B1B" w:rsidP="00DC7B1B">
      <w:pPr>
        <w:pStyle w:val="LV4"/>
      </w:pPr>
      <w:r w:rsidRPr="002C19C1">
        <w:t>acute inflammatory demyelinating polyneuropathy;</w:t>
      </w:r>
    </w:p>
    <w:p w:rsidR="00DC7B1B" w:rsidRPr="002C19C1" w:rsidRDefault="00DC7B1B" w:rsidP="00DC7B1B">
      <w:pPr>
        <w:pStyle w:val="LV4"/>
      </w:pPr>
      <w:r w:rsidRPr="002C19C1">
        <w:t>acute motor axonal neuropathy;</w:t>
      </w:r>
    </w:p>
    <w:p w:rsidR="00DC7B1B" w:rsidRPr="002C19C1" w:rsidRDefault="00DC7B1B" w:rsidP="00DC7B1B">
      <w:pPr>
        <w:pStyle w:val="LV4"/>
      </w:pPr>
      <w:r w:rsidRPr="002C19C1">
        <w:t xml:space="preserve">acute motor sensory axonal neuropathy; </w:t>
      </w:r>
    </w:p>
    <w:p w:rsidR="00DC7B1B" w:rsidRPr="002C19C1" w:rsidRDefault="00DC7B1B" w:rsidP="00DC7B1B">
      <w:pPr>
        <w:pStyle w:val="LV4"/>
      </w:pPr>
      <w:r w:rsidRPr="002C19C1">
        <w:t>Miller Fisher syndrome; and</w:t>
      </w:r>
    </w:p>
    <w:p w:rsidR="00DC7B1B" w:rsidRPr="002C19C1" w:rsidRDefault="00DC7B1B" w:rsidP="00DC7B1B">
      <w:pPr>
        <w:pStyle w:val="LV4"/>
      </w:pPr>
      <w:r w:rsidRPr="002C19C1">
        <w:t>other variant forms of Guillain-Barre syndrome; and</w:t>
      </w:r>
    </w:p>
    <w:p w:rsidR="00DC7B1B" w:rsidRDefault="00DC7B1B" w:rsidP="00DC7B1B">
      <w:pPr>
        <w:pStyle w:val="LV3"/>
      </w:pPr>
      <w:r w:rsidRPr="008E76DC">
        <w:t xml:space="preserve">excludes </w:t>
      </w:r>
      <w:r w:rsidRPr="002C19C1">
        <w:t>chronic inflammatory demyelinating polyneuropathy.</w:t>
      </w:r>
    </w:p>
    <w:p w:rsidR="00DC7B1B" w:rsidRDefault="00DC7B1B" w:rsidP="007F3134">
      <w:pPr>
        <w:pStyle w:val="Note2"/>
        <w:ind w:left="2042" w:hanging="624"/>
      </w:pPr>
      <w:r w:rsidRPr="002C19C1">
        <w:lastRenderedPageBreak/>
        <w:t>Note</w:t>
      </w:r>
      <w:r w:rsidR="00BC5B71">
        <w:t xml:space="preserve"> </w:t>
      </w:r>
      <w:r w:rsidRPr="002C19C1">
        <w:t>1:</w:t>
      </w:r>
      <w:r w:rsidRPr="002C19C1">
        <w:tab/>
        <w:t>The most common variant of Guillain-Barre syndrome is acute inflammatory demyelinating polyneuropathy, which is characterised by rapidly progressive symmetrical limb weakness, loss of tendon reflexes, mild sensory signs and variable autonomic dysfunction.</w:t>
      </w:r>
    </w:p>
    <w:p w:rsidR="00DC7B1B" w:rsidRPr="008E76DC" w:rsidRDefault="00DC7B1B" w:rsidP="007F3134">
      <w:pPr>
        <w:pStyle w:val="Note2"/>
        <w:ind w:left="2042" w:hanging="624"/>
      </w:pPr>
      <w:r w:rsidRPr="002C19C1">
        <w:t>Note 2:</w:t>
      </w:r>
      <w:r w:rsidRPr="002C19C1">
        <w:tab/>
        <w:t xml:space="preserve">The diagnosis of Guillain-Barre syndrome is normally confirmed by </w:t>
      </w:r>
      <w:proofErr w:type="spellStart"/>
      <w:r w:rsidRPr="002C19C1">
        <w:t>electrodiagnostic</w:t>
      </w:r>
      <w:proofErr w:type="spellEnd"/>
      <w:r w:rsidRPr="002C19C1">
        <w:t xml:space="preserve"> testing or elevated protein concentration in cerebrospinal fluid without an elevated white cell count (</w:t>
      </w:r>
      <w:proofErr w:type="spellStart"/>
      <w:r w:rsidRPr="002C19C1">
        <w:t>cytoalbuminologic</w:t>
      </w:r>
      <w:proofErr w:type="spellEnd"/>
      <w:r w:rsidRPr="002C19C1">
        <w:t xml:space="preserve"> dissociation).</w:t>
      </w:r>
    </w:p>
    <w:p w:rsidR="00DC7B1B" w:rsidRPr="00237BAF" w:rsidRDefault="00DC7B1B" w:rsidP="00DC7B1B">
      <w:pPr>
        <w:pStyle w:val="LV2"/>
      </w:pPr>
      <w:r w:rsidRPr="00237BAF">
        <w:t xml:space="preserve">While </w:t>
      </w:r>
      <w:r>
        <w:t xml:space="preserve">Guillain-Barre syndrome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E36768">
        <w:t>G61.0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Guillain-Barre syndrome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6773D">
        <w:rPr>
          <w:b/>
        </w:rPr>
        <w:t>Guillain-Barre syndrome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6773D">
        <w:t>Guillain-Barre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E6773D">
        <w:t>Guillain-Barre syndrome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15" w:name="_Toc432151341"/>
      <w:r w:rsidRPr="00A20CA1">
        <w:t>Basis for determining the factors</w:t>
      </w:r>
      <w:bookmarkEnd w:id="15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6773D">
        <w:t>Guillain-Barre syndrome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6773D">
        <w:t>Guillain-Barre syndrome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6" w:name="_Ref411946955"/>
      <w:bookmarkStart w:id="17" w:name="_Ref411946997"/>
      <w:bookmarkStart w:id="18" w:name="_Ref412032503"/>
      <w:bookmarkStart w:id="19" w:name="_Toc432151342"/>
      <w:r w:rsidRPr="00301C54">
        <w:t xml:space="preserve">Factors that must </w:t>
      </w:r>
      <w:r w:rsidR="00D32F71">
        <w:t>exist</w:t>
      </w:r>
      <w:bookmarkEnd w:id="16"/>
      <w:bookmarkEnd w:id="17"/>
      <w:bookmarkEnd w:id="18"/>
      <w:bookmarkEnd w:id="19"/>
    </w:p>
    <w:p w:rsidR="007C7DEE" w:rsidRPr="00AA6D8B" w:rsidRDefault="002716E4" w:rsidP="00DF65CF">
      <w:pPr>
        <w:pStyle w:val="PlainIndent"/>
      </w:pPr>
      <w:bookmarkStart w:id="20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6773D">
        <w:t>Guillain-Barre syndrome</w:t>
      </w:r>
      <w:r w:rsidR="007A3989">
        <w:t xml:space="preserve"> </w:t>
      </w:r>
      <w:r w:rsidR="007C7DEE" w:rsidRPr="00AA6D8B">
        <w:t xml:space="preserve">or death from </w:t>
      </w:r>
      <w:r w:rsidR="00E6773D">
        <w:t>Guillain-Barre syndrome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0"/>
    </w:p>
    <w:p w:rsidR="00D35A1B" w:rsidRPr="008D1B8B" w:rsidRDefault="00D35A1B" w:rsidP="00D35A1B">
      <w:pPr>
        <w:pStyle w:val="LV2"/>
      </w:pPr>
      <w:bookmarkStart w:id="21" w:name="_Ref402530260"/>
      <w:bookmarkStart w:id="22" w:name="_Ref409598844"/>
      <w:r w:rsidRPr="00E36768">
        <w:t>having an infection with an organism from the specified list of infections, where that infection has been acquired within the two months before the clinical onset of Guillain-Barre syndrome;</w:t>
      </w:r>
    </w:p>
    <w:p w:rsidR="00D35A1B" w:rsidRPr="00046E67" w:rsidRDefault="00D35A1B" w:rsidP="00D35A1B">
      <w:pPr>
        <w:pStyle w:val="Note2"/>
      </w:pPr>
      <w:r>
        <w:t xml:space="preserve">Note: </w:t>
      </w:r>
      <w:r>
        <w:rPr>
          <w:b/>
          <w:i/>
        </w:rPr>
        <w:t>specified list of infections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D35A1B" w:rsidRDefault="00D35A1B" w:rsidP="00D35A1B">
      <w:pPr>
        <w:pStyle w:val="LV2"/>
      </w:pPr>
      <w:r w:rsidRPr="0066426B">
        <w:t>being infected with human immunodeficiency virus at the time of the clinical onset of Guillain-Barre syndrome;</w:t>
      </w:r>
    </w:p>
    <w:p w:rsidR="00D35A1B" w:rsidRDefault="00D35A1B" w:rsidP="00D35A1B">
      <w:pPr>
        <w:pStyle w:val="LV2"/>
      </w:pPr>
      <w:r w:rsidRPr="0066426B">
        <w:lastRenderedPageBreak/>
        <w:t>having a clinically apparent herpes zoster infection in the two months before the clinical onset of Guillain-Barre syndrome;</w:t>
      </w:r>
    </w:p>
    <w:p w:rsidR="00BA2F1F" w:rsidRDefault="00AA7299" w:rsidP="00AA7299">
      <w:pPr>
        <w:pStyle w:val="LV2"/>
      </w:pPr>
      <w:r w:rsidRPr="00AA7299">
        <w:tab/>
        <w:t>having a symptomatic gastrointestinal or respiratory tract infection in the two months before the clinical onset of Guillain-Barre syndrome;</w:t>
      </w:r>
    </w:p>
    <w:p w:rsidR="00D35A1B" w:rsidRDefault="00D35A1B" w:rsidP="00D35A1B">
      <w:pPr>
        <w:pStyle w:val="LV2"/>
      </w:pPr>
      <w:r w:rsidRPr="0066426B">
        <w:t>receiving an influenza vaccine or a nerve tissue</w:t>
      </w:r>
      <w:r w:rsidR="00BA2F1F">
        <w:t xml:space="preserve"> </w:t>
      </w:r>
      <w:r w:rsidRPr="0066426B">
        <w:t>derived rabies vaccine within the two months before the clinical onset of Guillain-Barre syndrome;</w:t>
      </w:r>
    </w:p>
    <w:p w:rsidR="00D35A1B" w:rsidRDefault="00D35A1B" w:rsidP="00D35A1B">
      <w:pPr>
        <w:pStyle w:val="LV2"/>
      </w:pPr>
      <w:r w:rsidRPr="0066426B">
        <w:t>having a malignant neoplasm, other than non-melanotic malignant neoplasm of the skin, at the time of the clinical onset of Guillain-Barre syndrome;</w:t>
      </w:r>
    </w:p>
    <w:p w:rsidR="00D35A1B" w:rsidRDefault="00D35A1B" w:rsidP="00D35A1B">
      <w:pPr>
        <w:pStyle w:val="LV2"/>
      </w:pPr>
      <w:r w:rsidRPr="0066426B">
        <w:t>having a solid organ or stem cell transplant before the clinical onset of Guillain-Barre syndrome;</w:t>
      </w:r>
    </w:p>
    <w:p w:rsidR="00D35A1B" w:rsidRDefault="00D35A1B" w:rsidP="00D35A1B">
      <w:pPr>
        <w:pStyle w:val="LV2"/>
      </w:pPr>
      <w:r w:rsidRPr="0066426B">
        <w:t>being treated with a tumour necrosis factor-α inhibitor in the two months before the clinical onset of Guillain-Barre syndrome;</w:t>
      </w:r>
    </w:p>
    <w:p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1"/>
      <w:r w:rsidR="007A3989">
        <w:t xml:space="preserve"> </w:t>
      </w:r>
      <w:r w:rsidR="00E6773D">
        <w:t>Guillain-Barre syndrome</w:t>
      </w:r>
      <w:r w:rsidR="00D5620B" w:rsidRPr="008D1B8B">
        <w:t>.</w:t>
      </w:r>
      <w:bookmarkEnd w:id="22"/>
    </w:p>
    <w:p w:rsidR="000C21A3" w:rsidRPr="00684C0E" w:rsidRDefault="00D32F71" w:rsidP="00C96667">
      <w:pPr>
        <w:pStyle w:val="LV1"/>
      </w:pPr>
      <w:bookmarkStart w:id="23" w:name="_Toc432151343"/>
      <w:bookmarkStart w:id="24" w:name="_Ref402530057"/>
      <w:r>
        <w:t>Relationship to s</w:t>
      </w:r>
      <w:r w:rsidR="000C21A3" w:rsidRPr="00684C0E">
        <w:t>ervice</w:t>
      </w:r>
      <w:bookmarkEnd w:id="23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4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D35A1B">
        <w:t>(</w:t>
      </w:r>
      <w:r w:rsidR="00BA2F1F">
        <w:t>9</w:t>
      </w:r>
      <w:r w:rsidR="00FF1D47">
        <w:t xml:space="preserve">) </w:t>
      </w:r>
      <w:r w:rsidRPr="00187DE1">
        <w:t xml:space="preserve">applies only to material contribution to, or aggravation of, </w:t>
      </w:r>
      <w:r w:rsidR="00E6773D">
        <w:t>Guillain-Barre syndrome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E6773D">
        <w:t>Guillain-Barre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5" w:name="_Toc4321513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5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782F4E" w:rsidRPr="00E64EE4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6" w:name="opcAmSched"/>
      <w:bookmarkStart w:id="27" w:name="opcCurrentFind"/>
      <w:bookmarkStart w:id="28" w:name="_Toc4321513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6"/>
      <w:bookmarkEnd w:id="27"/>
      <w:bookmarkEnd w:id="28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29" w:name="_Toc405472918"/>
      <w:bookmarkStart w:id="30" w:name="_Toc432151346"/>
      <w:r w:rsidRPr="00D97BB3">
        <w:t>Definitions</w:t>
      </w:r>
      <w:bookmarkEnd w:id="29"/>
      <w:bookmarkEnd w:id="30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D35A1B" w:rsidRPr="00513D05" w:rsidRDefault="00D35A1B" w:rsidP="00D35A1B">
      <w:pPr>
        <w:pStyle w:val="SH3"/>
        <w:ind w:left="0" w:firstLine="851"/>
      </w:pPr>
      <w:r w:rsidRPr="00E36768">
        <w:rPr>
          <w:b/>
          <w:i/>
        </w:rPr>
        <w:t>Guillain-Barre syndrome</w:t>
      </w:r>
      <w:r w:rsidRPr="00513D05">
        <w:t>—see subsection</w:t>
      </w:r>
      <w:r>
        <w:t xml:space="preserve"> 7(2).</w:t>
      </w:r>
    </w:p>
    <w:p w:rsidR="00D35A1B" w:rsidRPr="009C404D" w:rsidRDefault="00D35A1B" w:rsidP="00D35A1B">
      <w:pPr>
        <w:pStyle w:val="SH3"/>
        <w:ind w:left="0" w:firstLine="851"/>
      </w:pPr>
      <w:r w:rsidRPr="00E3676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D35A1B">
        <w:rPr>
          <w:i/>
        </w:rPr>
        <w:t>Military Rehabilitation and Compensation Act 2004</w:t>
      </w:r>
      <w:r w:rsidRPr="009C404D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1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D35A1B" w:rsidRDefault="00D35A1B" w:rsidP="00D35A1B">
      <w:pPr>
        <w:pStyle w:val="SH3"/>
        <w:ind w:left="0" w:firstLine="851"/>
      </w:pPr>
      <w:r w:rsidRPr="00E36768">
        <w:rPr>
          <w:b/>
          <w:i/>
        </w:rPr>
        <w:t>specified list of infections</w:t>
      </w:r>
      <w:r>
        <w:t xml:space="preserve"> means:</w:t>
      </w:r>
    </w:p>
    <w:p w:rsidR="00D35A1B" w:rsidRDefault="00D35A1B" w:rsidP="00D35A1B">
      <w:pPr>
        <w:pStyle w:val="SH4"/>
        <w:ind w:left="1418"/>
      </w:pPr>
      <w:r w:rsidRPr="00650A27">
        <w:rPr>
          <w:i/>
        </w:rPr>
        <w:t>Campylobacter jejuni</w:t>
      </w:r>
      <w:r>
        <w:t>;</w:t>
      </w:r>
    </w:p>
    <w:p w:rsidR="00D35A1B" w:rsidRDefault="00D35A1B" w:rsidP="00D35A1B">
      <w:pPr>
        <w:pStyle w:val="SH4"/>
        <w:ind w:left="1418"/>
      </w:pPr>
      <w:r>
        <w:t>Chikungunya virus;</w:t>
      </w:r>
    </w:p>
    <w:p w:rsidR="00D35A1B" w:rsidRDefault="00D35A1B" w:rsidP="00D35A1B">
      <w:pPr>
        <w:pStyle w:val="SH4"/>
        <w:ind w:left="1418"/>
      </w:pPr>
      <w:r>
        <w:t xml:space="preserve">cytomegalovirus; </w:t>
      </w:r>
    </w:p>
    <w:p w:rsidR="00D35A1B" w:rsidRDefault="00D35A1B" w:rsidP="00D35A1B">
      <w:pPr>
        <w:pStyle w:val="SH4"/>
        <w:ind w:left="1418"/>
      </w:pPr>
      <w:r>
        <w:t xml:space="preserve">dengue virus; </w:t>
      </w:r>
    </w:p>
    <w:p w:rsidR="00D35A1B" w:rsidRDefault="00D35A1B" w:rsidP="00D35A1B">
      <w:pPr>
        <w:pStyle w:val="SH4"/>
        <w:ind w:left="1418"/>
      </w:pPr>
      <w:r>
        <w:t xml:space="preserve">Epstein-Barr virus; </w:t>
      </w:r>
    </w:p>
    <w:p w:rsidR="00D35A1B" w:rsidRPr="0011617C" w:rsidRDefault="00D35A1B" w:rsidP="00D35A1B">
      <w:pPr>
        <w:pStyle w:val="SH4"/>
        <w:ind w:left="1418"/>
      </w:pPr>
      <w:r w:rsidRPr="0011617C">
        <w:t>hepatitis A virus;</w:t>
      </w:r>
    </w:p>
    <w:p w:rsidR="00D35A1B" w:rsidRDefault="00D35A1B" w:rsidP="00D35A1B">
      <w:pPr>
        <w:pStyle w:val="SH4"/>
        <w:ind w:left="1418"/>
      </w:pPr>
      <w:r>
        <w:t xml:space="preserve">hepatitis E virus; </w:t>
      </w:r>
    </w:p>
    <w:p w:rsidR="00D35A1B" w:rsidRDefault="00D35A1B" w:rsidP="00D35A1B">
      <w:pPr>
        <w:pStyle w:val="SH4"/>
        <w:ind w:left="1418"/>
      </w:pPr>
      <w:r>
        <w:t>influenza virus;</w:t>
      </w:r>
    </w:p>
    <w:p w:rsidR="00D35A1B" w:rsidRDefault="00D35A1B" w:rsidP="00D35A1B">
      <w:pPr>
        <w:pStyle w:val="SH4"/>
        <w:ind w:left="1418"/>
      </w:pPr>
      <w:r>
        <w:t>Japanese encephalitis virus</w:t>
      </w:r>
      <w:r w:rsidR="00650A27">
        <w:t>;</w:t>
      </w:r>
      <w:r>
        <w:t xml:space="preserve"> </w:t>
      </w:r>
    </w:p>
    <w:p w:rsidR="00D35A1B" w:rsidRDefault="00D35A1B" w:rsidP="00D35A1B">
      <w:pPr>
        <w:pStyle w:val="SH4"/>
        <w:ind w:left="1418"/>
      </w:pPr>
      <w:r w:rsidRPr="00650A27">
        <w:rPr>
          <w:i/>
        </w:rPr>
        <w:t>Mycoplasma pneumoniae</w:t>
      </w:r>
      <w:r>
        <w:t xml:space="preserve">; </w:t>
      </w:r>
    </w:p>
    <w:p w:rsidR="00D35A1B" w:rsidRDefault="00D35A1B" w:rsidP="00D35A1B">
      <w:pPr>
        <w:pStyle w:val="SH4"/>
        <w:ind w:left="1418"/>
      </w:pPr>
      <w:r w:rsidRPr="00650A27">
        <w:rPr>
          <w:i/>
        </w:rPr>
        <w:t>Orientia tsutsugamushi</w:t>
      </w:r>
      <w:r>
        <w:t xml:space="preserve"> </w:t>
      </w:r>
      <w:r w:rsidRPr="007C2466">
        <w:t>(scrub typhus)</w:t>
      </w:r>
      <w:r>
        <w:t>;</w:t>
      </w:r>
    </w:p>
    <w:p w:rsidR="00D35A1B" w:rsidRDefault="00D35A1B" w:rsidP="00D35A1B">
      <w:pPr>
        <w:pStyle w:val="SH4"/>
        <w:ind w:left="1418"/>
      </w:pPr>
      <w:r>
        <w:t>West Nile virus</w:t>
      </w:r>
      <w:r w:rsidR="00650A27">
        <w:t>;</w:t>
      </w:r>
      <w:r>
        <w:t xml:space="preserve"> or</w:t>
      </w:r>
    </w:p>
    <w:p w:rsidR="00D35A1B" w:rsidRPr="00E36768" w:rsidRDefault="00D35A1B" w:rsidP="00D35A1B">
      <w:pPr>
        <w:pStyle w:val="SH4"/>
        <w:ind w:left="1418"/>
      </w:pPr>
      <w:r>
        <w:t>Zika virus.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1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773D" w:rsidRDefault="00E6773D" w:rsidP="00E6773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E6773D" w:rsidRDefault="007F3134" w:rsidP="00E6773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</w:t>
          </w:r>
          <w:r w:rsidR="00E6773D">
            <w:rPr>
              <w:i/>
              <w:sz w:val="18"/>
              <w:szCs w:val="18"/>
            </w:rPr>
            <w:t xml:space="preserve">yndrome (Balance of Probabilities) </w:t>
          </w:r>
          <w:r w:rsidR="00E6773D" w:rsidRPr="007C5CE0">
            <w:rPr>
              <w:i/>
              <w:sz w:val="18"/>
            </w:rPr>
            <w:t xml:space="preserve">(No. </w:t>
          </w:r>
          <w:r w:rsidR="000208F0">
            <w:rPr>
              <w:i/>
              <w:sz w:val="18"/>
              <w:szCs w:val="18"/>
            </w:rPr>
            <w:t>24</w:t>
          </w:r>
          <w:r w:rsidR="00E6773D" w:rsidRPr="007C5CE0">
            <w:rPr>
              <w:i/>
              <w:sz w:val="18"/>
              <w:szCs w:val="18"/>
            </w:rPr>
            <w:t xml:space="preserve"> of </w:t>
          </w:r>
          <w:r w:rsidR="00E6773D">
            <w:rPr>
              <w:i/>
              <w:sz w:val="18"/>
              <w:szCs w:val="18"/>
            </w:rPr>
            <w:t>2018</w:t>
          </w:r>
          <w:r w:rsidR="00E6773D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E6773D" w:rsidP="00E6773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25B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25B2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F3134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Guillain-Barre S</w:t>
          </w:r>
          <w:r w:rsidR="00E6773D">
            <w:rPr>
              <w:i/>
              <w:sz w:val="18"/>
              <w:szCs w:val="18"/>
            </w:rPr>
            <w:t>yndrome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0208F0">
            <w:rPr>
              <w:i/>
              <w:sz w:val="18"/>
              <w:szCs w:val="18"/>
            </w:rPr>
            <w:t>24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E6773D">
            <w:rPr>
              <w:i/>
              <w:sz w:val="18"/>
              <w:szCs w:val="18"/>
            </w:rPr>
            <w:t>2018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25B2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25B2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08F0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25B20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0C5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0A27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7F3134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00E"/>
    <w:rsid w:val="00904761"/>
    <w:rsid w:val="009056AF"/>
    <w:rsid w:val="00912B55"/>
    <w:rsid w:val="009146FF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0800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A7299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2F1F"/>
    <w:rsid w:val="00BA3A57"/>
    <w:rsid w:val="00BA691F"/>
    <w:rsid w:val="00BB4E1A"/>
    <w:rsid w:val="00BB78C9"/>
    <w:rsid w:val="00BC015E"/>
    <w:rsid w:val="00BC5B71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5A1B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C7B1B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773D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C7941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744AE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6910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2017-12-18T03:30:00Z</dcterms:created>
  <dcterms:modified xsi:type="dcterms:W3CDTF">2018-02-27T01:41:00Z</dcterms:modified>
  <cp:category/>
  <cp:contentStatus/>
  <dc:language/>
  <cp:version/>
</cp:coreProperties>
</file>