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043F9A" w:rsidP="006647B7">
      <w:pPr>
        <w:pStyle w:val="Plainheader"/>
      </w:pPr>
      <w:bookmarkStart w:id="1" w:name="SoP_Name_Title"/>
      <w:r>
        <w:t>TENSION-TYPE HEADACHE</w:t>
      </w:r>
      <w:bookmarkEnd w:id="1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2" w:name="BP"/>
      <w:r w:rsidR="005B5798">
        <w:t>38</w:t>
      </w:r>
      <w:bookmarkEnd w:id="2"/>
      <w:r w:rsidRPr="00024911">
        <w:t xml:space="preserve"> of</w:t>
      </w:r>
      <w:r w:rsidR="00085567">
        <w:t xml:space="preserve"> </w:t>
      </w:r>
      <w:bookmarkStart w:id="3" w:name="year"/>
      <w:r w:rsidR="00043F9A">
        <w:t>2018</w:t>
      </w:r>
      <w:bookmarkEnd w:id="3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5B5798">
        <w:t>27 April 2018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C123F1" w:rsidRPr="00781DD2" w:rsidRDefault="00C123F1" w:rsidP="00C123F1">
      <w:pPr>
        <w:pStyle w:val="Plain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C123F1" w:rsidRPr="00781DD2" w:rsidTr="007E4E0D">
        <w:tc>
          <w:tcPr>
            <w:tcW w:w="4116" w:type="dxa"/>
          </w:tcPr>
          <w:p w:rsidR="00C123F1" w:rsidRPr="00781DD2" w:rsidRDefault="00C123F1" w:rsidP="007E4E0D">
            <w:pPr>
              <w:pStyle w:val="Plain"/>
              <w:rPr>
                <w:b/>
              </w:rPr>
            </w:pPr>
            <w:r w:rsidRPr="00781DD2">
              <w:t>The Common Seal of the</w:t>
            </w:r>
            <w:r w:rsidRPr="00781DD2">
              <w:br/>
              <w:t>Repatriation Medical Authority</w:t>
            </w:r>
            <w:r w:rsidRPr="00781DD2">
              <w:br/>
              <w:t>was affixed to this instrument</w:t>
            </w:r>
            <w:r w:rsidRPr="00781DD2">
              <w:br/>
              <w:t>at the direction of:</w:t>
            </w:r>
          </w:p>
          <w:p w:rsidR="00C123F1" w:rsidRPr="00781DD2" w:rsidRDefault="00C123F1" w:rsidP="007E4E0D">
            <w:pPr>
              <w:pStyle w:val="Plain"/>
              <w:rPr>
                <w:b/>
              </w:rPr>
            </w:pPr>
          </w:p>
        </w:tc>
      </w:tr>
      <w:tr w:rsidR="00C123F1" w:rsidRPr="00781DD2" w:rsidTr="007E4E0D">
        <w:tc>
          <w:tcPr>
            <w:tcW w:w="4116" w:type="dxa"/>
          </w:tcPr>
          <w:p w:rsidR="00C123F1" w:rsidRPr="00781DD2" w:rsidRDefault="00C123F1" w:rsidP="007E4E0D">
            <w:pPr>
              <w:pStyle w:val="Plain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A38A70D" wp14:editId="0A6D556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176530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123F1" w:rsidRPr="00781DD2" w:rsidRDefault="00C123F1" w:rsidP="007E4E0D">
            <w:pPr>
              <w:pStyle w:val="Plain"/>
              <w:rPr>
                <w:b/>
              </w:rPr>
            </w:pPr>
          </w:p>
          <w:p w:rsidR="00C123F1" w:rsidRPr="00781DD2" w:rsidRDefault="00C123F1" w:rsidP="007E4E0D">
            <w:pPr>
              <w:pStyle w:val="Plain"/>
              <w:rPr>
                <w:b/>
              </w:rPr>
            </w:pPr>
            <w:r w:rsidRPr="00781DD2">
              <w:t>Professor Nicholas Saunders AO</w:t>
            </w:r>
          </w:p>
          <w:p w:rsidR="00C123F1" w:rsidRPr="00781DD2" w:rsidRDefault="00C123F1" w:rsidP="007E4E0D">
            <w:pPr>
              <w:pStyle w:val="Plain"/>
              <w:rPr>
                <w:b/>
              </w:rPr>
            </w:pPr>
            <w:r w:rsidRPr="00781DD2">
              <w:t>Chairperson</w:t>
            </w:r>
          </w:p>
          <w:p w:rsidR="00C123F1" w:rsidRPr="00781DD2" w:rsidRDefault="00C123F1" w:rsidP="007E4E0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5B5798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B5798">
        <w:rPr>
          <w:noProof/>
        </w:rPr>
        <w:t>1</w:t>
      </w:r>
      <w:r w:rsidR="005B5798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B5798">
        <w:rPr>
          <w:noProof/>
        </w:rPr>
        <w:t>Name</w:t>
      </w:r>
      <w:r w:rsidR="005B5798">
        <w:rPr>
          <w:noProof/>
        </w:rPr>
        <w:tab/>
      </w:r>
      <w:r w:rsidR="005B5798">
        <w:rPr>
          <w:noProof/>
        </w:rPr>
        <w:fldChar w:fldCharType="begin"/>
      </w:r>
      <w:r w:rsidR="005B5798">
        <w:rPr>
          <w:noProof/>
        </w:rPr>
        <w:instrText xml:space="preserve"> PAGEREF _Toc508969963 \h </w:instrText>
      </w:r>
      <w:r w:rsidR="005B5798">
        <w:rPr>
          <w:noProof/>
        </w:rPr>
      </w:r>
      <w:r w:rsidR="005B5798">
        <w:rPr>
          <w:noProof/>
        </w:rPr>
        <w:fldChar w:fldCharType="separate"/>
      </w:r>
      <w:r w:rsidR="008340B0">
        <w:rPr>
          <w:noProof/>
        </w:rPr>
        <w:t>3</w:t>
      </w:r>
      <w:r w:rsidR="005B5798">
        <w:rPr>
          <w:noProof/>
        </w:rPr>
        <w:fldChar w:fldCharType="end"/>
      </w:r>
    </w:p>
    <w:p w:rsidR="005B5798" w:rsidRDefault="005B579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_Toc508969964 \h </w:instrText>
      </w:r>
      <w:r>
        <w:rPr>
          <w:noProof/>
        </w:rPr>
      </w:r>
      <w:r>
        <w:rPr>
          <w:noProof/>
        </w:rPr>
        <w:fldChar w:fldCharType="separate"/>
      </w:r>
      <w:r w:rsidR="008340B0">
        <w:rPr>
          <w:noProof/>
        </w:rPr>
        <w:t>3</w:t>
      </w:r>
      <w:r>
        <w:rPr>
          <w:noProof/>
        </w:rPr>
        <w:fldChar w:fldCharType="end"/>
      </w:r>
    </w:p>
    <w:p w:rsidR="005B5798" w:rsidRDefault="005B579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_Toc508969965 \h </w:instrText>
      </w:r>
      <w:r>
        <w:rPr>
          <w:noProof/>
        </w:rPr>
      </w:r>
      <w:r>
        <w:rPr>
          <w:noProof/>
        </w:rPr>
        <w:fldChar w:fldCharType="separate"/>
      </w:r>
      <w:r w:rsidR="008340B0">
        <w:rPr>
          <w:noProof/>
        </w:rPr>
        <w:t>3</w:t>
      </w:r>
      <w:r>
        <w:rPr>
          <w:noProof/>
        </w:rPr>
        <w:fldChar w:fldCharType="end"/>
      </w:r>
    </w:p>
    <w:p w:rsidR="005B5798" w:rsidRDefault="005B579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_Toc508969966 \h </w:instrText>
      </w:r>
      <w:r>
        <w:rPr>
          <w:noProof/>
        </w:rPr>
      </w:r>
      <w:r>
        <w:rPr>
          <w:noProof/>
        </w:rPr>
        <w:fldChar w:fldCharType="separate"/>
      </w:r>
      <w:r w:rsidR="008340B0">
        <w:rPr>
          <w:noProof/>
        </w:rPr>
        <w:t>3</w:t>
      </w:r>
      <w:r>
        <w:rPr>
          <w:noProof/>
        </w:rPr>
        <w:fldChar w:fldCharType="end"/>
      </w:r>
    </w:p>
    <w:p w:rsidR="005B5798" w:rsidRDefault="005B579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_Toc508969967 \h </w:instrText>
      </w:r>
      <w:r>
        <w:rPr>
          <w:noProof/>
        </w:rPr>
      </w:r>
      <w:r>
        <w:rPr>
          <w:noProof/>
        </w:rPr>
        <w:fldChar w:fldCharType="separate"/>
      </w:r>
      <w:r w:rsidR="008340B0">
        <w:rPr>
          <w:noProof/>
        </w:rPr>
        <w:t>3</w:t>
      </w:r>
      <w:r>
        <w:rPr>
          <w:noProof/>
        </w:rPr>
        <w:fldChar w:fldCharType="end"/>
      </w:r>
    </w:p>
    <w:p w:rsidR="005B5798" w:rsidRDefault="005B579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_Toc508969968 \h </w:instrText>
      </w:r>
      <w:r>
        <w:rPr>
          <w:noProof/>
        </w:rPr>
      </w:r>
      <w:r>
        <w:rPr>
          <w:noProof/>
        </w:rPr>
        <w:fldChar w:fldCharType="separate"/>
      </w:r>
      <w:r w:rsidR="008340B0">
        <w:rPr>
          <w:noProof/>
        </w:rPr>
        <w:t>3</w:t>
      </w:r>
      <w:r>
        <w:rPr>
          <w:noProof/>
        </w:rPr>
        <w:fldChar w:fldCharType="end"/>
      </w:r>
    </w:p>
    <w:p w:rsidR="005B5798" w:rsidRDefault="005B579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_Toc508969969 \h </w:instrText>
      </w:r>
      <w:r>
        <w:rPr>
          <w:noProof/>
        </w:rPr>
      </w:r>
      <w:r>
        <w:rPr>
          <w:noProof/>
        </w:rPr>
        <w:fldChar w:fldCharType="separate"/>
      </w:r>
      <w:r w:rsidR="008340B0">
        <w:rPr>
          <w:noProof/>
        </w:rPr>
        <w:t>3</w:t>
      </w:r>
      <w:r>
        <w:rPr>
          <w:noProof/>
        </w:rPr>
        <w:fldChar w:fldCharType="end"/>
      </w:r>
    </w:p>
    <w:p w:rsidR="005B5798" w:rsidRDefault="005B579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_Toc508969970 \h </w:instrText>
      </w:r>
      <w:r>
        <w:rPr>
          <w:noProof/>
        </w:rPr>
      </w:r>
      <w:r>
        <w:rPr>
          <w:noProof/>
        </w:rPr>
        <w:fldChar w:fldCharType="separate"/>
      </w:r>
      <w:r w:rsidR="008340B0">
        <w:rPr>
          <w:noProof/>
        </w:rPr>
        <w:t>4</w:t>
      </w:r>
      <w:r>
        <w:rPr>
          <w:noProof/>
        </w:rPr>
        <w:fldChar w:fldCharType="end"/>
      </w:r>
    </w:p>
    <w:p w:rsidR="005B5798" w:rsidRDefault="005B579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_Toc508969971 \h </w:instrText>
      </w:r>
      <w:r>
        <w:rPr>
          <w:noProof/>
        </w:rPr>
      </w:r>
      <w:r>
        <w:rPr>
          <w:noProof/>
        </w:rPr>
        <w:fldChar w:fldCharType="separate"/>
      </w:r>
      <w:r w:rsidR="008340B0">
        <w:rPr>
          <w:noProof/>
        </w:rPr>
        <w:t>5</w:t>
      </w:r>
      <w:r>
        <w:rPr>
          <w:noProof/>
        </w:rPr>
        <w:fldChar w:fldCharType="end"/>
      </w:r>
    </w:p>
    <w:p w:rsidR="005B5798" w:rsidRDefault="005B579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_Toc508969972 \h </w:instrText>
      </w:r>
      <w:r>
        <w:rPr>
          <w:noProof/>
        </w:rPr>
      </w:r>
      <w:r>
        <w:rPr>
          <w:noProof/>
        </w:rPr>
        <w:fldChar w:fldCharType="separate"/>
      </w:r>
      <w:r w:rsidR="008340B0">
        <w:rPr>
          <w:noProof/>
        </w:rPr>
        <w:t>5</w:t>
      </w:r>
      <w:r>
        <w:rPr>
          <w:noProof/>
        </w:rPr>
        <w:fldChar w:fldCharType="end"/>
      </w:r>
    </w:p>
    <w:p w:rsidR="005B5798" w:rsidRDefault="005B579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_Toc508969973 \h </w:instrText>
      </w:r>
      <w:r>
        <w:rPr>
          <w:noProof/>
        </w:rPr>
      </w:r>
      <w:r>
        <w:rPr>
          <w:noProof/>
        </w:rPr>
        <w:fldChar w:fldCharType="separate"/>
      </w:r>
      <w:r w:rsidR="008340B0">
        <w:rPr>
          <w:noProof/>
        </w:rPr>
        <w:t>5</w:t>
      </w:r>
      <w:r>
        <w:rPr>
          <w:noProof/>
        </w:rPr>
        <w:fldChar w:fldCharType="end"/>
      </w:r>
    </w:p>
    <w:p w:rsidR="005B5798" w:rsidRDefault="005B579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_Toc508969974 \h </w:instrText>
      </w:r>
      <w:r>
        <w:rPr>
          <w:noProof/>
        </w:rPr>
      </w:r>
      <w:r>
        <w:rPr>
          <w:noProof/>
        </w:rPr>
        <w:fldChar w:fldCharType="separate"/>
      </w:r>
      <w:r w:rsidR="008340B0">
        <w:rPr>
          <w:noProof/>
        </w:rPr>
        <w:t>6</w:t>
      </w:r>
      <w:r>
        <w:rPr>
          <w:noProof/>
        </w:rPr>
        <w:fldChar w:fldCharType="end"/>
      </w:r>
    </w:p>
    <w:p w:rsidR="005B5798" w:rsidRDefault="005B5798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_Toc508969975 \h </w:instrText>
      </w:r>
      <w:r>
        <w:rPr>
          <w:noProof/>
        </w:rPr>
      </w:r>
      <w:r>
        <w:rPr>
          <w:noProof/>
        </w:rPr>
        <w:fldChar w:fldCharType="separate"/>
      </w:r>
      <w:r w:rsidR="008340B0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508969963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043F9A">
        <w:rPr>
          <w:i/>
        </w:rPr>
        <w:t>tension-type headache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5B5798">
        <w:t>38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43F9A">
        <w:t>2018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508969964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>This instrument commences on</w:t>
      </w:r>
      <w:r w:rsidR="005B5798">
        <w:t xml:space="preserve"> 28 May 2018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508969965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508969966"/>
      <w:r>
        <w:t>Revocation</w:t>
      </w:r>
      <w:bookmarkEnd w:id="10"/>
    </w:p>
    <w:p w:rsidR="007959B9" w:rsidRPr="007527C1" w:rsidRDefault="007959B9" w:rsidP="00DF65CF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043F9A" w:rsidRPr="00043F9A">
        <w:t>tension-type headache</w:t>
      </w:r>
      <w:r>
        <w:t xml:space="preserve"> No. </w:t>
      </w:r>
      <w:r w:rsidR="00EF2449">
        <w:t>2</w:t>
      </w:r>
      <w:r>
        <w:t xml:space="preserve"> of </w:t>
      </w:r>
      <w:r w:rsidR="00EF2449">
        <w:t>2010</w:t>
      </w:r>
      <w:r w:rsidRPr="000B755A">
        <w:t xml:space="preserve"> made under subsection 196B(3) of the </w:t>
      </w:r>
      <w:r w:rsidRPr="007E3C68">
        <w:t>VEA</w:t>
      </w:r>
      <w:r w:rsidRPr="000B755A">
        <w:t xml:space="preserve"> is </w:t>
      </w:r>
      <w:r>
        <w:t>revoked.</w:t>
      </w:r>
    </w:p>
    <w:p w:rsidR="007C7DEE" w:rsidRPr="00684C0E" w:rsidRDefault="007C7DEE" w:rsidP="00C96667">
      <w:pPr>
        <w:pStyle w:val="LV1"/>
      </w:pPr>
      <w:bookmarkStart w:id="11" w:name="_Toc508969967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508969968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08969969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043F9A" w:rsidRPr="00043F9A">
        <w:t>tension-type headache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043F9A" w:rsidRPr="00043F9A">
        <w:t>tension-type headache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043F9A" w:rsidRPr="00043F9A">
        <w:rPr>
          <w:b/>
        </w:rPr>
        <w:t>tension-type headache</w:t>
      </w:r>
    </w:p>
    <w:p w:rsidR="002716E4" w:rsidRPr="00237BAF" w:rsidRDefault="007C7DEE" w:rsidP="00DF65CF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043F9A" w:rsidRPr="00043F9A">
        <w:t>tension-type headache</w:t>
      </w:r>
      <w:r w:rsidR="002716E4" w:rsidRPr="00237BAF">
        <w:t>:</w:t>
      </w:r>
      <w:bookmarkEnd w:id="19"/>
    </w:p>
    <w:bookmarkEnd w:id="20"/>
    <w:p w:rsidR="00EF2449" w:rsidRPr="008E76DC" w:rsidRDefault="00EF2449" w:rsidP="00EF2449">
      <w:pPr>
        <w:pStyle w:val="LV3"/>
      </w:pPr>
      <w:r w:rsidRPr="003D09B0">
        <w:tab/>
        <w:t>means a condition in which within a 12 month period, there are episodes of headache lasting at least 30 minutes, occurring on at least one day per month for at least three consecutive months, and a minimum of ten episodes occur within that 12 month period; and</w:t>
      </w:r>
      <w:r w:rsidRPr="008E76DC">
        <w:t xml:space="preserve"> </w:t>
      </w:r>
    </w:p>
    <w:p w:rsidR="00EF2449" w:rsidRDefault="00EF2449" w:rsidP="00EF2449">
      <w:pPr>
        <w:pStyle w:val="LV3"/>
      </w:pPr>
      <w:r w:rsidRPr="003D09B0">
        <w:tab/>
        <w:t>has at least two of the following characteristics</w:t>
      </w:r>
      <w:r>
        <w:t>:</w:t>
      </w:r>
    </w:p>
    <w:p w:rsidR="00EF2449" w:rsidRDefault="00EF2449" w:rsidP="00EF2449">
      <w:pPr>
        <w:pStyle w:val="LV4"/>
      </w:pPr>
      <w:r>
        <w:t>bilateral location;</w:t>
      </w:r>
    </w:p>
    <w:p w:rsidR="00EF2449" w:rsidRDefault="00EF2449" w:rsidP="00EF2449">
      <w:pPr>
        <w:pStyle w:val="LV4"/>
      </w:pPr>
      <w:r>
        <w:t>pressing/tightening (</w:t>
      </w:r>
      <w:proofErr w:type="spellStart"/>
      <w:r>
        <w:t>nonpulsating</w:t>
      </w:r>
      <w:proofErr w:type="spellEnd"/>
      <w:r>
        <w:t>) quality;</w:t>
      </w:r>
    </w:p>
    <w:p w:rsidR="00EF2449" w:rsidRDefault="00EF2449" w:rsidP="00EF2449">
      <w:pPr>
        <w:pStyle w:val="LV4"/>
      </w:pPr>
      <w:r>
        <w:t>mild or moderate intensity;</w:t>
      </w:r>
    </w:p>
    <w:p w:rsidR="00EF2449" w:rsidRDefault="00EF2449" w:rsidP="00EF2449">
      <w:pPr>
        <w:pStyle w:val="LV4"/>
      </w:pPr>
      <w:r>
        <w:t>not aggravated by routine physical activity (such as walking or climbing stairs); and</w:t>
      </w:r>
    </w:p>
    <w:p w:rsidR="00EF2449" w:rsidRDefault="00EF2449" w:rsidP="00EF2449">
      <w:pPr>
        <w:pStyle w:val="LV3"/>
      </w:pPr>
      <w:r w:rsidRPr="003D09B0">
        <w:lastRenderedPageBreak/>
        <w:tab/>
        <w:t>causes clinically significant distress or impairment of social, occupational, educational, or other important areas of functioning; and</w:t>
      </w:r>
    </w:p>
    <w:p w:rsidR="00EF2449" w:rsidRDefault="00EF2449" w:rsidP="00EF2449">
      <w:pPr>
        <w:pStyle w:val="LV3"/>
      </w:pPr>
      <w:r>
        <w:t>e</w:t>
      </w:r>
      <w:r w:rsidRPr="008E76DC">
        <w:t>xcludes</w:t>
      </w:r>
      <w:r>
        <w:t>:</w:t>
      </w:r>
    </w:p>
    <w:p w:rsidR="00EF2449" w:rsidRDefault="00EF2449" w:rsidP="00EF2449">
      <w:pPr>
        <w:pStyle w:val="LV4"/>
      </w:pPr>
      <w:r>
        <w:t xml:space="preserve">cluster headache;  </w:t>
      </w:r>
    </w:p>
    <w:p w:rsidR="00EF2449" w:rsidRDefault="00EF2449" w:rsidP="00EF2449">
      <w:pPr>
        <w:pStyle w:val="LV4"/>
      </w:pPr>
      <w:r>
        <w:t xml:space="preserve">migraine; </w:t>
      </w:r>
    </w:p>
    <w:p w:rsidR="00EF2449" w:rsidRDefault="00EF2449" w:rsidP="00EF2449">
      <w:pPr>
        <w:pStyle w:val="LV4"/>
      </w:pPr>
      <w:r>
        <w:t xml:space="preserve">headache attributable to structural abnormalities or inflammatory disorders of the head and neck; </w:t>
      </w:r>
    </w:p>
    <w:p w:rsidR="00EF2449" w:rsidRDefault="00EF2449" w:rsidP="00EF2449">
      <w:pPr>
        <w:pStyle w:val="LV4"/>
      </w:pPr>
      <w:r>
        <w:t>headache attributable to systemic disease; and</w:t>
      </w:r>
    </w:p>
    <w:p w:rsidR="00DF65CF" w:rsidRDefault="00EF2449" w:rsidP="00EF2449">
      <w:pPr>
        <w:pStyle w:val="LV4"/>
      </w:pPr>
      <w:r>
        <w:t>headache that results from normal physiological stress such as exercise, or the temporary effect of extraneous agents.</w:t>
      </w:r>
    </w:p>
    <w:p w:rsidR="008F572A" w:rsidRPr="00237BAF" w:rsidRDefault="008F572A" w:rsidP="00EF2449">
      <w:pPr>
        <w:pStyle w:val="LV2"/>
      </w:pPr>
      <w:r w:rsidRPr="00237BAF">
        <w:t xml:space="preserve">While </w:t>
      </w:r>
      <w:r w:rsidR="00043F9A" w:rsidRPr="00043F9A">
        <w:t>tension-type headache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EF2449" w:rsidRPr="00EF2449">
        <w:t>G44.2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043F9A" w:rsidRPr="00043F9A">
        <w:t>tension-type headache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043F9A" w:rsidRPr="00043F9A">
        <w:rPr>
          <w:b/>
        </w:rPr>
        <w:t>tension-type headache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043F9A" w:rsidRPr="00043F9A">
        <w:t>tension-type headache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043F9A" w:rsidRPr="00043F9A">
        <w:t>tension-type headache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C96667">
      <w:pPr>
        <w:pStyle w:val="LV1"/>
      </w:pPr>
      <w:bookmarkStart w:id="21" w:name="_Toc508969970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043F9A" w:rsidRPr="00043F9A">
        <w:t>tension-type headache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043F9A" w:rsidRPr="00043F9A">
        <w:t>tension-type headache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BF4A8C">
      <w:pPr>
        <w:pStyle w:val="LV1"/>
        <w:keepNext/>
        <w:keepLines/>
      </w:pPr>
      <w:bookmarkStart w:id="22" w:name="_Ref411946955"/>
      <w:bookmarkStart w:id="23" w:name="_Ref411946997"/>
      <w:bookmarkStart w:id="24" w:name="_Ref412032503"/>
      <w:bookmarkStart w:id="25" w:name="_Toc508969971"/>
      <w:r w:rsidRPr="00301C54">
        <w:lastRenderedPageBreak/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BF4A8C">
      <w:pPr>
        <w:pStyle w:val="PlainIndent"/>
        <w:keepNext/>
        <w:keepLines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043F9A" w:rsidRPr="00043F9A">
        <w:t>tension-type headache</w:t>
      </w:r>
      <w:r w:rsidR="007A3989">
        <w:t xml:space="preserve"> </w:t>
      </w:r>
      <w:r w:rsidR="007C7DEE" w:rsidRPr="00AA6D8B">
        <w:t xml:space="preserve">or death from </w:t>
      </w:r>
      <w:r w:rsidR="00043F9A" w:rsidRPr="00043F9A">
        <w:t>tension-type headache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EF2449" w:rsidRPr="008D1B8B" w:rsidRDefault="00EF2449" w:rsidP="00EF2449">
      <w:pPr>
        <w:pStyle w:val="LV2"/>
        <w:numPr>
          <w:ilvl w:val="1"/>
          <w:numId w:val="4"/>
        </w:numPr>
        <w:ind w:left="1418"/>
      </w:pPr>
      <w:bookmarkStart w:id="27" w:name="_Ref402530260"/>
      <w:bookmarkStart w:id="28" w:name="_Ref409598844"/>
      <w:r w:rsidRPr="003D09B0">
        <w:t>for chronic tension-type headache in migraine and cluster headache sufferers only, taking a drug as specified, for at least the three months before the clinical onset of tension-type headache;</w:t>
      </w:r>
    </w:p>
    <w:p w:rsidR="00EF2449" w:rsidRPr="00046E67" w:rsidRDefault="00EF2449" w:rsidP="008B338F">
      <w:pPr>
        <w:pStyle w:val="Note2"/>
        <w:ind w:left="1843" w:hanging="425"/>
      </w:pPr>
      <w:r>
        <w:t xml:space="preserve">Note: </w:t>
      </w:r>
      <w:r w:rsidRPr="00D348DE">
        <w:rPr>
          <w:b/>
          <w:i/>
        </w:rPr>
        <w:t>chronic tension-type headache</w:t>
      </w:r>
      <w:r>
        <w:rPr>
          <w:b/>
          <w:i/>
        </w:rPr>
        <w:t xml:space="preserve"> </w:t>
      </w:r>
      <w:r w:rsidRPr="00D348DE">
        <w:t>and</w:t>
      </w:r>
      <w:r>
        <w:rPr>
          <w:b/>
          <w:i/>
        </w:rPr>
        <w:t xml:space="preserve"> t</w:t>
      </w:r>
      <w:r w:rsidRPr="003D09B0">
        <w:rPr>
          <w:b/>
          <w:i/>
        </w:rPr>
        <w:t>aking a drug as specified</w:t>
      </w:r>
      <w:r w:rsidRPr="00046E67">
        <w:t xml:space="preserve"> </w:t>
      </w:r>
      <w:r>
        <w:t>are</w:t>
      </w:r>
      <w:r w:rsidRPr="00046E67">
        <w:t xml:space="preserve">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EF2449" w:rsidRDefault="00EF2449" w:rsidP="00EF2449">
      <w:pPr>
        <w:pStyle w:val="LV2"/>
        <w:numPr>
          <w:ilvl w:val="1"/>
          <w:numId w:val="4"/>
        </w:numPr>
        <w:ind w:left="1418"/>
      </w:pPr>
      <w:r w:rsidRPr="006474DE">
        <w:t>taking a drug as specified</w:t>
      </w:r>
      <w:r>
        <w:t>,</w:t>
      </w:r>
      <w:r w:rsidRPr="006474DE">
        <w:t xml:space="preserve"> for at least the three months before the clinical worsening of tension-type headache;</w:t>
      </w:r>
    </w:p>
    <w:p w:rsidR="00EF2449" w:rsidRDefault="00EF2449" w:rsidP="00EF2449">
      <w:pPr>
        <w:pStyle w:val="Note2"/>
      </w:pPr>
      <w:r>
        <w:t xml:space="preserve">Note: </w:t>
      </w:r>
      <w:r>
        <w:rPr>
          <w:b/>
          <w:i/>
        </w:rPr>
        <w:t>t</w:t>
      </w:r>
      <w:r w:rsidRPr="003D09B0">
        <w:rPr>
          <w:b/>
          <w:i/>
        </w:rPr>
        <w:t>aking a drug as specified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EF2449" w:rsidRDefault="00EF2449" w:rsidP="00EF2449">
      <w:pPr>
        <w:pStyle w:val="LV2"/>
        <w:numPr>
          <w:ilvl w:val="1"/>
          <w:numId w:val="4"/>
        </w:numPr>
        <w:ind w:left="1418"/>
      </w:pPr>
      <w:r w:rsidRPr="006474DE">
        <w:t>undergoing treatment with a nitric oxide donor, at the time of the clinical worsening of tension-type headache;</w:t>
      </w:r>
    </w:p>
    <w:p w:rsidR="00EF2449" w:rsidRDefault="00EF2449" w:rsidP="00EF2449">
      <w:pPr>
        <w:pStyle w:val="Note2"/>
      </w:pPr>
      <w:r>
        <w:t xml:space="preserve">Note: </w:t>
      </w:r>
      <w:r w:rsidRPr="006474DE">
        <w:rPr>
          <w:b/>
          <w:i/>
        </w:rPr>
        <w:t>nitric oxide donor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 xml:space="preserve">Schedule 1 - </w:t>
      </w:r>
      <w:r w:rsidRPr="002717B2">
        <w:t>Dictionary</w:t>
      </w:r>
      <w:r w:rsidRPr="00046E67">
        <w:t>.</w:t>
      </w:r>
      <w:r w:rsidRPr="00046E67">
        <w:tab/>
      </w:r>
    </w:p>
    <w:p w:rsidR="007C7DEE" w:rsidRPr="008D1B8B" w:rsidRDefault="007C7DEE" w:rsidP="00DF65CF">
      <w:pPr>
        <w:pStyle w:val="LV2"/>
      </w:pPr>
      <w:r w:rsidRPr="008D1B8B">
        <w:t>inability to obtain appropriate clinical management for</w:t>
      </w:r>
      <w:bookmarkEnd w:id="27"/>
      <w:r w:rsidR="007A3989">
        <w:t xml:space="preserve"> </w:t>
      </w:r>
      <w:r w:rsidR="00043F9A" w:rsidRPr="00043F9A">
        <w:t>tension-type headache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508969972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EF2449">
        <w:t>2</w:t>
      </w:r>
      <w:r w:rsidR="00FF1D47">
        <w:t xml:space="preserve">) </w:t>
      </w:r>
      <w:r w:rsidR="00EF2449">
        <w:t xml:space="preserve">to 9(4)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043F9A" w:rsidRPr="00043F9A">
        <w:t>tension-type headache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043F9A" w:rsidRPr="00043F9A">
        <w:t>tension-type headache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508969973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508969974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508969975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EF2449" w:rsidRPr="00EF2449" w:rsidRDefault="00EF2449" w:rsidP="00984EE9">
      <w:pPr>
        <w:pStyle w:val="SH3"/>
        <w:ind w:left="851" w:hanging="851"/>
      </w:pPr>
      <w:bookmarkStart w:id="37" w:name="_Ref402530810"/>
      <w:r w:rsidRPr="00D348DE">
        <w:rPr>
          <w:b/>
          <w:i/>
        </w:rPr>
        <w:t>chronic tension-type headache</w:t>
      </w:r>
      <w:r w:rsidRPr="00D348DE">
        <w:t xml:space="preserve"> means tension-type headache that lasts for hours or may be continuous, occurring on at least 15 days per month on average, for more than three months.</w:t>
      </w:r>
    </w:p>
    <w:p w:rsidR="00EF2449" w:rsidRPr="00EF2449" w:rsidRDefault="00EF2449" w:rsidP="00984EE9">
      <w:pPr>
        <w:pStyle w:val="SH3"/>
        <w:ind w:left="851" w:hanging="851"/>
      </w:pPr>
      <w:r w:rsidRPr="00D348DE">
        <w:rPr>
          <w:b/>
          <w:i/>
        </w:rPr>
        <w:t>combination analgesic medication</w:t>
      </w:r>
      <w:r w:rsidRPr="00D348DE">
        <w:t xml:space="preserve"> means medication containing a simple analgesic combined with an opioid, </w:t>
      </w:r>
      <w:proofErr w:type="spellStart"/>
      <w:r w:rsidRPr="00D348DE">
        <w:t>butalbital</w:t>
      </w:r>
      <w:proofErr w:type="spellEnd"/>
      <w:r w:rsidRPr="00D348DE">
        <w:t xml:space="preserve"> or caffeine.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662DDF" w:rsidRPr="00662DDF" w:rsidRDefault="00662DDF" w:rsidP="00F047B7">
      <w:pPr>
        <w:pStyle w:val="SH3"/>
        <w:ind w:left="851" w:hanging="851"/>
      </w:pPr>
      <w:r w:rsidRPr="00662DDF">
        <w:rPr>
          <w:b/>
          <w:i/>
        </w:rPr>
        <w:t>nitric oxide donor</w:t>
      </w:r>
      <w:r w:rsidRPr="006474DE">
        <w:t xml:space="preserve"> means a pharmacologically active substance that releases nitric oxide </w:t>
      </w:r>
      <w:r w:rsidRPr="005B5798">
        <w:rPr>
          <w:i/>
        </w:rPr>
        <w:t>in vivo</w:t>
      </w:r>
      <w:r w:rsidRPr="006474DE">
        <w:t xml:space="preserve"> or </w:t>
      </w:r>
      <w:r w:rsidRPr="005B5798">
        <w:rPr>
          <w:i/>
        </w:rPr>
        <w:t>in vitro</w:t>
      </w:r>
      <w:r w:rsidRPr="006474DE">
        <w:t xml:space="preserve"> and includes amyl nitrate, glyceryl trinitrate, isosorbide mononitrate, isosorbide </w:t>
      </w:r>
      <w:proofErr w:type="spellStart"/>
      <w:r w:rsidRPr="006474DE">
        <w:t>dinitrate</w:t>
      </w:r>
      <w:proofErr w:type="spellEnd"/>
      <w:r w:rsidRPr="006474DE">
        <w:t xml:space="preserve">, sodium nitroprusside, mannitol </w:t>
      </w:r>
      <w:proofErr w:type="spellStart"/>
      <w:r w:rsidRPr="006474DE">
        <w:t>hexanitrate</w:t>
      </w:r>
      <w:proofErr w:type="spellEnd"/>
      <w:r w:rsidRPr="006474DE">
        <w:t xml:space="preserve"> and nitrous oxide.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662DDF" w:rsidRDefault="00662DDF" w:rsidP="00662DDF">
      <w:pPr>
        <w:pStyle w:val="SH3"/>
        <w:ind w:left="851"/>
      </w:pPr>
      <w:r w:rsidRPr="00D348DE">
        <w:rPr>
          <w:b/>
          <w:i/>
        </w:rPr>
        <w:t>taking a drug as specified</w:t>
      </w:r>
      <w:r>
        <w:t xml:space="preserve"> means: </w:t>
      </w:r>
    </w:p>
    <w:p w:rsidR="00662DDF" w:rsidRDefault="00662DDF" w:rsidP="00662DDF">
      <w:pPr>
        <w:pStyle w:val="SH4"/>
        <w:ind w:left="1418"/>
      </w:pPr>
      <w:r>
        <w:t xml:space="preserve">taking a simple analgesic on at least three days per week; or </w:t>
      </w:r>
    </w:p>
    <w:p w:rsidR="00662DDF" w:rsidRDefault="00662DDF" w:rsidP="00662DDF">
      <w:pPr>
        <w:pStyle w:val="SH4"/>
        <w:ind w:left="1418"/>
      </w:pPr>
      <w:r>
        <w:t xml:space="preserve">taking a </w:t>
      </w:r>
      <w:proofErr w:type="spellStart"/>
      <w:r>
        <w:t>triptan</w:t>
      </w:r>
      <w:proofErr w:type="spellEnd"/>
      <w:r>
        <w:t>, ergotamine, an opioid, or a combination analgesic medication on at least two days per week.</w:t>
      </w:r>
    </w:p>
    <w:p w:rsidR="00662DDF" w:rsidRDefault="00662DDF" w:rsidP="00662DDF">
      <w:pPr>
        <w:pStyle w:val="ScheduleNote"/>
      </w:pPr>
      <w:r>
        <w:t xml:space="preserve">Note: </w:t>
      </w:r>
      <w:r w:rsidRPr="00D348DE">
        <w:rPr>
          <w:b/>
          <w:i/>
        </w:rPr>
        <w:t>combination analgesic medication</w:t>
      </w:r>
      <w:r>
        <w:t xml:space="preserve"> and </w:t>
      </w:r>
      <w:proofErr w:type="spellStart"/>
      <w:r w:rsidRPr="00D348DE">
        <w:rPr>
          <w:b/>
          <w:i/>
        </w:rPr>
        <w:t>triptan</w:t>
      </w:r>
      <w:proofErr w:type="spellEnd"/>
      <w:r>
        <w:t xml:space="preserve"> are also defined in the Schedule 1 – Dictionary. </w:t>
      </w:r>
    </w:p>
    <w:p w:rsidR="00885EAB" w:rsidRPr="00513D05" w:rsidRDefault="00043F9A" w:rsidP="00984EE9">
      <w:pPr>
        <w:pStyle w:val="SH3"/>
        <w:ind w:left="851" w:hanging="851"/>
      </w:pPr>
      <w:r w:rsidRPr="00043F9A">
        <w:rPr>
          <w:b/>
          <w:i/>
        </w:rPr>
        <w:t>tension-type headache</w:t>
      </w:r>
      <w:r w:rsidR="00DF6D11" w:rsidRPr="00513D05">
        <w:t>—see subsection</w:t>
      </w:r>
      <w:r w:rsidR="009056AF">
        <w:t xml:space="preserve"> </w:t>
      </w:r>
      <w:r w:rsidR="007959B9">
        <w:t>7</w:t>
      </w:r>
      <w:r w:rsidR="009056AF">
        <w:t>(2)</w:t>
      </w:r>
      <w:r w:rsidR="00051B75"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662DDF" w:rsidRPr="00662DDF" w:rsidRDefault="00662DDF" w:rsidP="00984EE9">
      <w:pPr>
        <w:pStyle w:val="SH3"/>
        <w:ind w:left="851" w:hanging="851"/>
      </w:pPr>
      <w:proofErr w:type="spellStart"/>
      <w:r w:rsidRPr="00D348DE">
        <w:rPr>
          <w:b/>
          <w:i/>
        </w:rPr>
        <w:t>triptan</w:t>
      </w:r>
      <w:proofErr w:type="spellEnd"/>
      <w:r w:rsidRPr="00D348DE">
        <w:t xml:space="preserve"> means a 5-hydroxytryptamine receptor agonist.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043F9A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43F9A">
            <w:rPr>
              <w:i/>
              <w:sz w:val="18"/>
              <w:szCs w:val="18"/>
            </w:rPr>
            <w:t>Tension-Type Headache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5B5798" w:rsidRPr="005B5798">
            <w:rPr>
              <w:i/>
              <w:sz w:val="18"/>
              <w:szCs w:val="18"/>
            </w:rPr>
            <w:t>38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043F9A">
            <w:rPr>
              <w:i/>
              <w:sz w:val="18"/>
              <w:szCs w:val="18"/>
            </w:rPr>
            <w:t>2018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340B0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340B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043F9A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43F9A">
            <w:rPr>
              <w:i/>
              <w:sz w:val="18"/>
              <w:szCs w:val="18"/>
            </w:rPr>
            <w:t>Tension-Type Headache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5B5798" w:rsidRPr="005B5798">
            <w:rPr>
              <w:i/>
              <w:sz w:val="18"/>
              <w:szCs w:val="18"/>
            </w:rPr>
            <w:t>38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043F9A">
            <w:rPr>
              <w:i/>
              <w:sz w:val="18"/>
              <w:szCs w:val="18"/>
            </w:rPr>
            <w:t>2018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340B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340B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3F9A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16B22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7A2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B5798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2DDF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40B0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338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4A8C"/>
    <w:rsid w:val="00BF525F"/>
    <w:rsid w:val="00C01863"/>
    <w:rsid w:val="00C11D03"/>
    <w:rsid w:val="00C123F1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449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1226</Words>
  <Characters>6993</Characters>
  <Application>Microsoft Office Word</Application>
  <DocSecurity>0</DocSecurity>
  <PresentationFormat/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2018-02-23T04:58:00Z</dcterms:created>
  <dcterms:modified xsi:type="dcterms:W3CDTF">2018-04-26T02:00:00Z</dcterms:modified>
  <cp:category/>
  <cp:contentStatus/>
  <dc:language/>
  <cp:version/>
</cp:coreProperties>
</file>