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601F06" w:rsidP="006647B7">
      <w:pPr>
        <w:pStyle w:val="Plainheader"/>
      </w:pPr>
      <w:bookmarkStart w:id="0" w:name="SoP_Name_Title"/>
      <w:r>
        <w:t xml:space="preserve">TOXIC </w:t>
      </w:r>
      <w:r w:rsidR="00FC0672">
        <w:t>RETINOPATHY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B3299">
        <w:t>19</w:t>
      </w:r>
      <w:r w:rsidRPr="00024911">
        <w:t xml:space="preserve"> of</w:t>
      </w:r>
      <w:r w:rsidR="00085567">
        <w:t xml:space="preserve"> </w:t>
      </w:r>
      <w:bookmarkStart w:id="1" w:name="year"/>
      <w:r w:rsidR="00601F06">
        <w:t>2018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9E7876" w:rsidRPr="009E7876" w:rsidRDefault="009E7876" w:rsidP="009E787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Dated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bookmarkStart w:id="2" w:name="_GoBack"/>
      <w:bookmarkEnd w:id="2"/>
      <w:r w:rsidRPr="009E7876">
        <w:rPr>
          <w:sz w:val="24"/>
          <w:szCs w:val="24"/>
        </w:rPr>
        <w:t>2 March 2018</w:t>
      </w:r>
    </w:p>
    <w:p w:rsidR="009E7876" w:rsidRPr="009E7876" w:rsidRDefault="009E7876" w:rsidP="009E7876">
      <w:pPr>
        <w:rPr>
          <w:sz w:val="24"/>
          <w:szCs w:val="24"/>
        </w:rPr>
      </w:pPr>
    </w:p>
    <w:p w:rsidR="009E7876" w:rsidRPr="009E7876" w:rsidRDefault="009E7876" w:rsidP="009E7876">
      <w:pPr>
        <w:rPr>
          <w:sz w:val="24"/>
          <w:szCs w:val="24"/>
        </w:rPr>
      </w:pPr>
    </w:p>
    <w:p w:rsidR="009E7876" w:rsidRPr="009E7876" w:rsidRDefault="009E7876" w:rsidP="009E7876">
      <w:pPr>
        <w:rPr>
          <w:sz w:val="24"/>
          <w:szCs w:val="24"/>
        </w:rPr>
      </w:pPr>
    </w:p>
    <w:p w:rsidR="009E7876" w:rsidRPr="009E7876" w:rsidRDefault="009E7876" w:rsidP="009E7876">
      <w:pPr>
        <w:rPr>
          <w:sz w:val="24"/>
          <w:szCs w:val="24"/>
        </w:rPr>
      </w:pPr>
    </w:p>
    <w:p w:rsidR="009E7876" w:rsidRPr="009E7876" w:rsidRDefault="009E7876" w:rsidP="009E787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9E7876" w:rsidRPr="009E7876" w:rsidTr="009E7876">
        <w:tc>
          <w:tcPr>
            <w:tcW w:w="4116" w:type="dxa"/>
          </w:tcPr>
          <w:p w:rsidR="009E7876" w:rsidRPr="009E7876" w:rsidRDefault="009E7876" w:rsidP="009E7876">
            <w:pPr>
              <w:rPr>
                <w:sz w:val="24"/>
                <w:szCs w:val="24"/>
              </w:rPr>
            </w:pPr>
            <w:r w:rsidRPr="009E7876">
              <w:rPr>
                <w:sz w:val="24"/>
                <w:szCs w:val="24"/>
              </w:rPr>
              <w:t>The Common Seal of the</w:t>
            </w:r>
            <w:r w:rsidRPr="009E7876">
              <w:rPr>
                <w:sz w:val="24"/>
                <w:szCs w:val="24"/>
              </w:rPr>
              <w:br/>
              <w:t>Repatriation Medical Authority</w:t>
            </w:r>
            <w:r w:rsidRPr="009E7876">
              <w:rPr>
                <w:sz w:val="24"/>
                <w:szCs w:val="24"/>
              </w:rPr>
              <w:br/>
              <w:t>was affixed to this instrument</w:t>
            </w:r>
            <w:r w:rsidRPr="009E7876">
              <w:rPr>
                <w:sz w:val="24"/>
                <w:szCs w:val="24"/>
              </w:rPr>
              <w:br/>
              <w:t>at the direction of:</w:t>
            </w:r>
          </w:p>
          <w:p w:rsidR="009E7876" w:rsidRPr="009E7876" w:rsidRDefault="009E7876" w:rsidP="009E7876">
            <w:pPr>
              <w:rPr>
                <w:sz w:val="24"/>
                <w:szCs w:val="24"/>
              </w:rPr>
            </w:pPr>
          </w:p>
        </w:tc>
      </w:tr>
      <w:tr w:rsidR="009E7876" w:rsidRPr="009E7876" w:rsidTr="009E7876">
        <w:tc>
          <w:tcPr>
            <w:tcW w:w="4116" w:type="dxa"/>
          </w:tcPr>
          <w:p w:rsidR="009E7876" w:rsidRPr="009E7876" w:rsidRDefault="009E7876" w:rsidP="009E7876">
            <w:pPr>
              <w:rPr>
                <w:sz w:val="24"/>
                <w:szCs w:val="24"/>
              </w:rPr>
            </w:pPr>
            <w:r w:rsidRPr="009E7876">
              <w:rPr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876" w:rsidRPr="009E7876" w:rsidRDefault="009E7876" w:rsidP="009E7876">
            <w:pPr>
              <w:rPr>
                <w:sz w:val="24"/>
                <w:szCs w:val="24"/>
              </w:rPr>
            </w:pPr>
          </w:p>
          <w:p w:rsidR="009E7876" w:rsidRPr="009E7876" w:rsidRDefault="009E7876" w:rsidP="009E7876">
            <w:pPr>
              <w:rPr>
                <w:sz w:val="24"/>
                <w:szCs w:val="24"/>
              </w:rPr>
            </w:pPr>
            <w:r w:rsidRPr="009E7876">
              <w:rPr>
                <w:sz w:val="24"/>
                <w:szCs w:val="24"/>
              </w:rPr>
              <w:t>Professor Nicholas Saunders AO</w:t>
            </w:r>
          </w:p>
          <w:p w:rsidR="009E7876" w:rsidRPr="009E7876" w:rsidRDefault="009E7876" w:rsidP="009E7876">
            <w:pPr>
              <w:rPr>
                <w:sz w:val="24"/>
                <w:szCs w:val="24"/>
              </w:rPr>
            </w:pPr>
            <w:r w:rsidRPr="009E7876">
              <w:rPr>
                <w:sz w:val="24"/>
                <w:szCs w:val="24"/>
              </w:rPr>
              <w:t>Chairperson</w:t>
            </w:r>
          </w:p>
          <w:p w:rsidR="009E7876" w:rsidRPr="009E7876" w:rsidRDefault="009E7876" w:rsidP="009E7876">
            <w:pPr>
              <w:rPr>
                <w:sz w:val="24"/>
                <w:szCs w:val="24"/>
              </w:rPr>
            </w:pPr>
          </w:p>
        </w:tc>
      </w:tr>
    </w:tbl>
    <w:p w:rsidR="009E7876" w:rsidRPr="009E7876" w:rsidRDefault="009E7876" w:rsidP="009E7876">
      <w:pPr>
        <w:rPr>
          <w:sz w:val="24"/>
          <w:szCs w:val="24"/>
        </w:rPr>
      </w:pPr>
    </w:p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601F0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01F06">
        <w:rPr>
          <w:noProof/>
        </w:rPr>
        <w:t>1</w:t>
      </w:r>
      <w:r w:rsidR="00601F0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01F06">
        <w:rPr>
          <w:noProof/>
        </w:rPr>
        <w:t>Name</w:t>
      </w:r>
      <w:r w:rsidR="00601F06">
        <w:rPr>
          <w:noProof/>
        </w:rPr>
        <w:tab/>
      </w:r>
      <w:r w:rsidR="00601F06">
        <w:rPr>
          <w:noProof/>
        </w:rPr>
        <w:fldChar w:fldCharType="begin"/>
      </w:r>
      <w:r w:rsidR="00601F06">
        <w:rPr>
          <w:noProof/>
        </w:rPr>
        <w:instrText xml:space="preserve"> PAGEREF _Toc501102818 \h </w:instrText>
      </w:r>
      <w:r w:rsidR="00601F06">
        <w:rPr>
          <w:noProof/>
        </w:rPr>
      </w:r>
      <w:r w:rsidR="00601F06">
        <w:rPr>
          <w:noProof/>
        </w:rPr>
        <w:fldChar w:fldCharType="separate"/>
      </w:r>
      <w:r w:rsidR="00A92418">
        <w:rPr>
          <w:noProof/>
        </w:rPr>
        <w:t>3</w:t>
      </w:r>
      <w:r w:rsidR="00601F06"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_Toc501102819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_Toc501102820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_Toc501102821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_Toc501102822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_Toc501102823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_Toc501102824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3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_Toc501102825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4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_Toc501102826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4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_Toc501102827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6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_Toc501102828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6</w:t>
      </w:r>
      <w:r>
        <w:rPr>
          <w:noProof/>
        </w:rPr>
        <w:fldChar w:fldCharType="end"/>
      </w:r>
    </w:p>
    <w:p w:rsidR="00601F06" w:rsidRDefault="00601F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_Toc501102829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7</w:t>
      </w:r>
      <w:r>
        <w:rPr>
          <w:noProof/>
        </w:rPr>
        <w:fldChar w:fldCharType="end"/>
      </w:r>
    </w:p>
    <w:p w:rsidR="00601F06" w:rsidRDefault="00601F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_Toc501102830 \h </w:instrText>
      </w:r>
      <w:r>
        <w:rPr>
          <w:noProof/>
        </w:rPr>
      </w:r>
      <w:r>
        <w:rPr>
          <w:noProof/>
        </w:rPr>
        <w:fldChar w:fldCharType="separate"/>
      </w:r>
      <w:r w:rsidR="00A92418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501102818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601F06">
        <w:rPr>
          <w:i/>
        </w:rPr>
        <w:t xml:space="preserve">toxic </w:t>
      </w:r>
      <w:r w:rsidR="00FC0672">
        <w:rPr>
          <w:i/>
        </w:rPr>
        <w:t>retinopathy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B3299">
        <w:t>19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01F06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501102819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B3299">
        <w:t>2 April 2018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501102820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501102821"/>
      <w:r>
        <w:t>Revocation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01F06" w:rsidRPr="00601F06">
        <w:t xml:space="preserve">toxic </w:t>
      </w:r>
      <w:r w:rsidR="00FC0672">
        <w:t>maculopathy</w:t>
      </w:r>
      <w:r w:rsidRPr="00DA3996">
        <w:t xml:space="preserve"> No. </w:t>
      </w:r>
      <w:r w:rsidR="009A170B">
        <w:t>39</w:t>
      </w:r>
      <w:r w:rsidRPr="00DA3996">
        <w:t xml:space="preserve"> of </w:t>
      </w:r>
      <w:r w:rsidR="009A170B">
        <w:t>2009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5D6D98">
      <w:pPr>
        <w:pStyle w:val="LV1"/>
      </w:pPr>
      <w:bookmarkStart w:id="10" w:name="_Toc501102822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501102823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0110282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01F06" w:rsidRPr="00601F06">
        <w:t xml:space="preserve">toxic </w:t>
      </w:r>
      <w:r w:rsidR="00FC0672">
        <w:t>retinopathy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01F06" w:rsidRPr="00601F06">
        <w:t xml:space="preserve">toxic </w:t>
      </w:r>
      <w:r w:rsidR="00FC0672">
        <w:t>retinopathy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01F06" w:rsidRPr="00601F06">
        <w:rPr>
          <w:b/>
        </w:rPr>
        <w:t xml:space="preserve">toxic </w:t>
      </w:r>
      <w:r w:rsidR="00FC0672">
        <w:rPr>
          <w:b/>
        </w:rPr>
        <w:t>retinopathy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01F06" w:rsidRPr="00601F06">
        <w:t xml:space="preserve">toxic </w:t>
      </w:r>
      <w:r w:rsidR="00FC0672">
        <w:t>retinopathy</w:t>
      </w:r>
      <w:r w:rsidR="002716E4" w:rsidRPr="00237BAF">
        <w:t>:</w:t>
      </w:r>
      <w:bookmarkEnd w:id="18"/>
    </w:p>
    <w:bookmarkEnd w:id="19"/>
    <w:p w:rsidR="005D6D98" w:rsidRDefault="005D6D98" w:rsidP="00601F06">
      <w:pPr>
        <w:pStyle w:val="LV3"/>
      </w:pPr>
      <w:r>
        <w:t xml:space="preserve">means </w:t>
      </w:r>
      <w:r w:rsidR="00601F06" w:rsidRPr="00601F06">
        <w:t>pathological changes in the cells of the retina of the eye, in the presence of</w:t>
      </w:r>
      <w:r w:rsidR="00601F06">
        <w:t>:</w:t>
      </w:r>
    </w:p>
    <w:p w:rsidR="00601F06" w:rsidRDefault="00601F06" w:rsidP="00601F06">
      <w:pPr>
        <w:pStyle w:val="LV4"/>
      </w:pPr>
      <w:r>
        <w:t xml:space="preserve">sustained vision impairment; and </w:t>
      </w:r>
    </w:p>
    <w:p w:rsidR="005D6D98" w:rsidRDefault="00601F06" w:rsidP="00601F06">
      <w:pPr>
        <w:pStyle w:val="LV4"/>
      </w:pPr>
      <w:r>
        <w:t xml:space="preserve">evidence from the history, physical examination, or diagnostic testing that the pathological changes are caused by a chemical agent; </w:t>
      </w:r>
      <w:r w:rsidR="005D6D98">
        <w:t>and</w:t>
      </w:r>
    </w:p>
    <w:p w:rsidR="005D6D98" w:rsidRDefault="00601F06" w:rsidP="00601F06">
      <w:pPr>
        <w:pStyle w:val="LV3"/>
      </w:pPr>
      <w:r w:rsidRPr="00601F06">
        <w:t xml:space="preserve">includes chemically induced chronic cystoid macular oedema, crystalline retinopathy, toxic </w:t>
      </w:r>
      <w:r w:rsidR="00FC0672">
        <w:t>maculopathy</w:t>
      </w:r>
      <w:r w:rsidRPr="00601F06">
        <w:t>, and peripheral retinal degeneration that does not involve the macula; and</w:t>
      </w:r>
    </w:p>
    <w:p w:rsidR="00601F06" w:rsidRDefault="00601F06" w:rsidP="00601F06">
      <w:pPr>
        <w:pStyle w:val="LV3"/>
      </w:pPr>
      <w:r w:rsidRPr="00601F06">
        <w:lastRenderedPageBreak/>
        <w:tab/>
        <w:t>excludes toxic optic neuropathy, zonal occult outer retinopathy, macular degeneration, retinal detachment and breaks, and retinal photodamage.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01F06" w:rsidRPr="00601F06">
        <w:rPr>
          <w:b/>
        </w:rPr>
        <w:t xml:space="preserve">toxic </w:t>
      </w:r>
      <w:r w:rsidR="00FC0672">
        <w:rPr>
          <w:b/>
        </w:rPr>
        <w:t>retinopathy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01F06" w:rsidRPr="00601F06">
        <w:t xml:space="preserve">toxic </w:t>
      </w:r>
      <w:r w:rsidR="00FC0672">
        <w:t>retinopathy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601F06" w:rsidRPr="00601F06">
        <w:t xml:space="preserve">toxic </w:t>
      </w:r>
      <w:r w:rsidR="00FC0672">
        <w:t>retinopathy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501102825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01F06" w:rsidRPr="00601F06">
        <w:t xml:space="preserve">toxic </w:t>
      </w:r>
      <w:r w:rsidR="00FC0672">
        <w:t>retinopathy</w:t>
      </w:r>
      <w:r>
        <w:t xml:space="preserve"> </w:t>
      </w:r>
      <w:r w:rsidRPr="00D5620B">
        <w:t>and death from</w:t>
      </w:r>
      <w:r>
        <w:t xml:space="preserve"> </w:t>
      </w:r>
      <w:r w:rsidR="00601F06" w:rsidRPr="00601F06">
        <w:t xml:space="preserve">toxic </w:t>
      </w:r>
      <w:r w:rsidR="00FC0672">
        <w:t>retinopathy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0110282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01F06" w:rsidRPr="00601F06">
        <w:t xml:space="preserve">toxic </w:t>
      </w:r>
      <w:r w:rsidR="00FC0672">
        <w:t>retinopathy</w:t>
      </w:r>
      <w:r w:rsidR="007A3989">
        <w:t xml:space="preserve"> </w:t>
      </w:r>
      <w:r w:rsidR="007C7DEE" w:rsidRPr="00AA6D8B">
        <w:t xml:space="preserve">or death from </w:t>
      </w:r>
      <w:r w:rsidR="00601F06" w:rsidRPr="00601F06">
        <w:t xml:space="preserve">toxic </w:t>
      </w:r>
      <w:r w:rsidR="00FC0672">
        <w:t>retinopathy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8D1B8B" w:rsidRDefault="00601F06" w:rsidP="00601F06">
      <w:pPr>
        <w:pStyle w:val="LV2"/>
      </w:pPr>
      <w:bookmarkStart w:id="26" w:name="_Ref402530260"/>
      <w:bookmarkStart w:id="27" w:name="_Ref409598844"/>
      <w:r w:rsidRPr="00601F06">
        <w:t>being treated with a quinol</w:t>
      </w:r>
      <w:r w:rsidR="004B3299">
        <w:t>i</w:t>
      </w:r>
      <w:r w:rsidRPr="00601F06">
        <w:t>ne-based drug as specified, before the clinical onset of toxic retinopathy;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601F06">
        <w:rPr>
          <w:b/>
          <w:i/>
        </w:rPr>
        <w:t>being treated with a q</w:t>
      </w:r>
      <w:r w:rsidR="00601F06" w:rsidRPr="00601F06">
        <w:rPr>
          <w:b/>
          <w:i/>
        </w:rPr>
        <w:t>uinol</w:t>
      </w:r>
      <w:r w:rsidR="004B3299">
        <w:rPr>
          <w:b/>
          <w:i/>
        </w:rPr>
        <w:t>i</w:t>
      </w:r>
      <w:r w:rsidR="00601F06" w:rsidRPr="00601F06">
        <w:rPr>
          <w:b/>
          <w:i/>
        </w:rPr>
        <w:t>ne-based drug as specified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01F06" w:rsidRDefault="00601F06" w:rsidP="00601F06">
      <w:pPr>
        <w:pStyle w:val="LV2"/>
      </w:pPr>
      <w:r w:rsidRPr="00601F06">
        <w:t>being treated with tamoxifen as specified within the one year before the clinical onset of toxic retinopathy</w:t>
      </w:r>
      <w:r>
        <w:t>;</w:t>
      </w:r>
    </w:p>
    <w:p w:rsidR="00601F06" w:rsidRDefault="00601F06" w:rsidP="00601F06">
      <w:pPr>
        <w:pStyle w:val="Note2"/>
      </w:pPr>
      <w:r>
        <w:t xml:space="preserve">Note: </w:t>
      </w:r>
      <w:r w:rsidRPr="00601F06">
        <w:rPr>
          <w:b/>
          <w:i/>
        </w:rPr>
        <w:t xml:space="preserve">being treated with tamoxifen as specified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601F06" w:rsidRDefault="00601F06" w:rsidP="00601F06">
      <w:pPr>
        <w:pStyle w:val="LV2"/>
      </w:pPr>
      <w:r w:rsidRPr="00601F06">
        <w:t>being treated with an intravitreal or subconjunctival aminoglycoside from the specified list of aminoglycosides, within the seven days before the clinical onset of toxic retinopathy;</w:t>
      </w:r>
    </w:p>
    <w:p w:rsidR="00601F06" w:rsidRDefault="004A707B" w:rsidP="00601F06">
      <w:pPr>
        <w:pStyle w:val="Note2"/>
      </w:pPr>
      <w:r>
        <w:t xml:space="preserve">Note: </w:t>
      </w:r>
      <w:r w:rsidRPr="004A707B">
        <w:rPr>
          <w:b/>
          <w:i/>
        </w:rPr>
        <w:t xml:space="preserve">specified list of aminoglycosides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4A707B" w:rsidRDefault="004A707B" w:rsidP="004A707B">
      <w:pPr>
        <w:pStyle w:val="LV2"/>
      </w:pPr>
      <w:r w:rsidRPr="004A707B">
        <w:t>being treated with intravitreal fomivirsen or ganciclovir within the 30 days before the clinical onset of toxic retinopathy</w:t>
      </w:r>
      <w:r>
        <w:t>;</w:t>
      </w:r>
    </w:p>
    <w:p w:rsidR="004A707B" w:rsidRDefault="004A707B" w:rsidP="004A707B">
      <w:pPr>
        <w:pStyle w:val="LV2"/>
      </w:pPr>
      <w:r w:rsidRPr="004A707B">
        <w:t>being treated with intravenous deferoxamine within the seven days before the clinical onset of toxic retinopathy;</w:t>
      </w:r>
    </w:p>
    <w:p w:rsidR="004A707B" w:rsidRDefault="004A707B" w:rsidP="009A170B">
      <w:pPr>
        <w:pStyle w:val="LV2"/>
        <w:keepNext/>
      </w:pPr>
      <w:r w:rsidRPr="004A707B">
        <w:lastRenderedPageBreak/>
        <w:t>being treated with a phenothiazine from the specified list of phenothiazines for a continuous period of at least the two weeks before the clinical onset of toxic retinopathy;</w:t>
      </w:r>
    </w:p>
    <w:p w:rsidR="004A707B" w:rsidRDefault="004A707B" w:rsidP="004A707B">
      <w:pPr>
        <w:pStyle w:val="Note2"/>
      </w:pPr>
      <w:r>
        <w:t xml:space="preserve">Note: </w:t>
      </w:r>
      <w:r w:rsidRPr="004A707B">
        <w:rPr>
          <w:b/>
          <w:i/>
        </w:rPr>
        <w:t xml:space="preserve">specified list of phenothiazines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4A707B" w:rsidRDefault="004A707B" w:rsidP="004A707B">
      <w:pPr>
        <w:pStyle w:val="LV2"/>
      </w:pPr>
      <w:r w:rsidRPr="004A707B">
        <w:t>being treated with daily clofazimine, at an average dose of at least 100</w:t>
      </w:r>
      <w:r>
        <w:t> </w:t>
      </w:r>
      <w:r w:rsidRPr="004A707B">
        <w:t>milligrams per day, for a continuous period of at least the three months before the clinical onset of toxic retinopathy;</w:t>
      </w:r>
    </w:p>
    <w:p w:rsidR="001E7C33" w:rsidRDefault="001E7C33" w:rsidP="001E7C33">
      <w:pPr>
        <w:pStyle w:val="LV2"/>
      </w:pPr>
      <w:r w:rsidRPr="001E7C33">
        <w:t>being treated with ritonavir for a continuous period of at least the three months before the clinical onset of toxic retinopathy;</w:t>
      </w:r>
    </w:p>
    <w:p w:rsidR="001E7C33" w:rsidRDefault="001E7C33" w:rsidP="001E7C33">
      <w:pPr>
        <w:pStyle w:val="LV2"/>
      </w:pPr>
      <w:r w:rsidRPr="001E7C33">
        <w:t>being treated with inte</w:t>
      </w:r>
      <w:r w:rsidR="00FA23C2">
        <w:t>r</w:t>
      </w:r>
      <w:r w:rsidRPr="001E7C33">
        <w:t>feron for a continuous period of at least four weeks, within the three months before the clinical onset of toxic retinopathy;</w:t>
      </w:r>
    </w:p>
    <w:p w:rsidR="00317D1B" w:rsidRDefault="00504A97" w:rsidP="00504A97">
      <w:pPr>
        <w:pStyle w:val="LV2"/>
      </w:pPr>
      <w:r w:rsidRPr="00504A97">
        <w:t>being treated with daily topiramate for a continuous period of at least seven days within the 30 days before the clinical onset of toxic retinopathy;</w:t>
      </w:r>
    </w:p>
    <w:p w:rsidR="00504A97" w:rsidRDefault="00504A97" w:rsidP="00504A97">
      <w:pPr>
        <w:pStyle w:val="LV2"/>
      </w:pPr>
      <w:r w:rsidRPr="004A707B">
        <w:t>having iron chelating therapy as specified for a continuous period of at least the four weeks before the clinical onset of toxic retinopathy;</w:t>
      </w:r>
    </w:p>
    <w:p w:rsidR="00FC0672" w:rsidRDefault="00FC0672" w:rsidP="00FC0672">
      <w:pPr>
        <w:pStyle w:val="Note2"/>
      </w:pPr>
      <w:r>
        <w:t xml:space="preserve">Note: </w:t>
      </w:r>
      <w:r w:rsidRPr="00FC0672">
        <w:rPr>
          <w:b/>
          <w:i/>
        </w:rPr>
        <w:t>iron chelating therapy as specified</w:t>
      </w:r>
      <w:r>
        <w:t xml:space="preserve">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504A97" w:rsidRDefault="00504A97" w:rsidP="00504A97">
      <w:pPr>
        <w:pStyle w:val="LV2"/>
      </w:pPr>
      <w:r w:rsidRPr="00504A97">
        <w:t>having haematological or biochemical evidence of poisoning with cobalt at the time of the clinical onset of toxic retinopathy;</w:t>
      </w:r>
    </w:p>
    <w:p w:rsidR="001E7C33" w:rsidRDefault="001E7C33" w:rsidP="001E7C33">
      <w:pPr>
        <w:pStyle w:val="LV2"/>
      </w:pPr>
      <w:r w:rsidRPr="001E7C33">
        <w:t>taking oral canthaxanthin supplements or tablets as specified within the five years before the clinical onset of toxic retinopathy;</w:t>
      </w:r>
    </w:p>
    <w:p w:rsidR="001E7C33" w:rsidRDefault="00317D1B" w:rsidP="001E7C33">
      <w:pPr>
        <w:pStyle w:val="Note2"/>
      </w:pPr>
      <w:r>
        <w:t xml:space="preserve">Note: </w:t>
      </w:r>
      <w:r w:rsidRPr="00317D1B">
        <w:rPr>
          <w:b/>
          <w:i/>
        </w:rPr>
        <w:t xml:space="preserve">taking oral canthaxanthin supplements or tablets as specified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</w:p>
    <w:p w:rsidR="001E7C33" w:rsidRDefault="001E7C33" w:rsidP="001E7C33">
      <w:pPr>
        <w:pStyle w:val="LV2"/>
      </w:pPr>
      <w:r w:rsidRPr="001E7C33">
        <w:t>inhaling isopropyl nitrite within the two weeks before the clinical onset of toxic retinopathy;</w:t>
      </w:r>
    </w:p>
    <w:p w:rsidR="00317D1B" w:rsidRDefault="00317D1B" w:rsidP="00317D1B">
      <w:pPr>
        <w:pStyle w:val="LV2"/>
      </w:pPr>
      <w:r w:rsidRPr="00317D1B">
        <w:t>using an intravenous drug containing talc within the five years before the clinical onset of toxic retinopathy;</w:t>
      </w:r>
    </w:p>
    <w:p w:rsidR="001E7C33" w:rsidRDefault="001E7C33" w:rsidP="001E7C33">
      <w:pPr>
        <w:pStyle w:val="LV2"/>
      </w:pPr>
      <w:r w:rsidRPr="001E7C33">
        <w:t>for cystoid macular oedema only</w:t>
      </w:r>
      <w:r>
        <w:t>:</w:t>
      </w:r>
    </w:p>
    <w:p w:rsidR="001E7C33" w:rsidRPr="001E7C33" w:rsidRDefault="001E7C33" w:rsidP="001E7C33">
      <w:pPr>
        <w:pStyle w:val="LV3"/>
      </w:pPr>
      <w:r w:rsidRPr="001E7C33">
        <w:t>being treated with daily niacin for a continuous period of at least two weeks, at an average dose of at least 1.5 grams per day, within the three months before the clinical onset of toxic retinopathy;</w:t>
      </w:r>
    </w:p>
    <w:p w:rsidR="001E7C33" w:rsidRDefault="001E7C33" w:rsidP="001E7C33">
      <w:pPr>
        <w:pStyle w:val="LV3"/>
      </w:pPr>
      <w:r w:rsidRPr="001E7C33">
        <w:t>being treated with intravenous paclitaxel or docetaxel within the three months before the clinical onset</w:t>
      </w:r>
      <w:r w:rsidR="009B46D8">
        <w:t xml:space="preserve"> </w:t>
      </w:r>
      <w:r w:rsidRPr="001E7C33">
        <w:t>of toxic retinopathy;</w:t>
      </w:r>
      <w:r w:rsidR="00FA23C2">
        <w:t xml:space="preserve"> or</w:t>
      </w:r>
    </w:p>
    <w:p w:rsidR="00317D1B" w:rsidRDefault="00317D1B" w:rsidP="00A42554">
      <w:pPr>
        <w:pStyle w:val="LV3"/>
      </w:pPr>
      <w:r w:rsidRPr="00317D1B">
        <w:t xml:space="preserve">being treated with </w:t>
      </w:r>
      <w:r w:rsidR="00A42554" w:rsidRPr="00A42554">
        <w:t xml:space="preserve">the thiazolidinedione drugs </w:t>
      </w:r>
      <w:r>
        <w:t>rosiglitazone or pioglitazone</w:t>
      </w:r>
      <w:r w:rsidRPr="00317D1B">
        <w:t xml:space="preserve"> for a continuous period of at least the four weeks before the clinical onset of toxic retinopathy;</w:t>
      </w:r>
    </w:p>
    <w:p w:rsidR="001E7C33" w:rsidRPr="001E7C33" w:rsidRDefault="001E7C33" w:rsidP="001E7C33">
      <w:pPr>
        <w:pStyle w:val="Note2"/>
      </w:pPr>
      <w:r>
        <w:t xml:space="preserve">Note: </w:t>
      </w:r>
      <w:r w:rsidRPr="001E7C33">
        <w:rPr>
          <w:b/>
          <w:i/>
        </w:rPr>
        <w:t xml:space="preserve">cystoid macular oedema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317D1B" w:rsidRDefault="001E7C33" w:rsidP="001E7C33">
      <w:pPr>
        <w:pStyle w:val="LV2"/>
      </w:pPr>
      <w:r w:rsidRPr="001E7C33">
        <w:lastRenderedPageBreak/>
        <w:t>for cystoid macular oedema only</w:t>
      </w:r>
      <w:r w:rsidR="00DE59E4">
        <w:t>,</w:t>
      </w:r>
      <w:r w:rsidRPr="001E7C33">
        <w:t xml:space="preserve"> in an aphakic or pseudophakic eye only</w:t>
      </w:r>
      <w:r w:rsidR="00317D1B">
        <w:t>:</w:t>
      </w:r>
    </w:p>
    <w:p w:rsidR="001E7C33" w:rsidRDefault="001E7C33" w:rsidP="00317D1B">
      <w:pPr>
        <w:pStyle w:val="LV3"/>
      </w:pPr>
      <w:r w:rsidRPr="001E7C33">
        <w:t>being treated with topical adrenaline eye drops, within the three months before the clinical onset of toxic retinopathy;</w:t>
      </w:r>
      <w:r w:rsidR="00FA23C2">
        <w:t xml:space="preserve"> or</w:t>
      </w:r>
    </w:p>
    <w:p w:rsidR="00317D1B" w:rsidRDefault="00317D1B" w:rsidP="00317D1B">
      <w:pPr>
        <w:pStyle w:val="LV3"/>
      </w:pPr>
      <w:r w:rsidRPr="00317D1B">
        <w:t>being treated with latanoprost within the three months before the clinical onset of toxic retinopathy;</w:t>
      </w:r>
    </w:p>
    <w:p w:rsidR="001E7C33" w:rsidRPr="001E7C33" w:rsidRDefault="00DE59E4" w:rsidP="001E7C33">
      <w:pPr>
        <w:pStyle w:val="Note2"/>
        <w:rPr>
          <w:b/>
        </w:rPr>
      </w:pPr>
      <w:r>
        <w:t xml:space="preserve">Note: </w:t>
      </w:r>
      <w:r>
        <w:rPr>
          <w:b/>
          <w:i/>
        </w:rPr>
        <w:t>cystoid macular oedema</w:t>
      </w:r>
      <w:r>
        <w:t xml:space="preserve"> and </w:t>
      </w:r>
      <w:r w:rsidRPr="001E7C33">
        <w:rPr>
          <w:b/>
          <w:i/>
        </w:rPr>
        <w:t xml:space="preserve">aphakic or </w:t>
      </w:r>
      <w:proofErr w:type="spellStart"/>
      <w:r w:rsidRPr="001E7C33">
        <w:rPr>
          <w:b/>
          <w:i/>
        </w:rPr>
        <w:t>pseudophakic</w:t>
      </w:r>
      <w:proofErr w:type="spellEnd"/>
      <w:r w:rsidRPr="001E7C33">
        <w:rPr>
          <w:b/>
          <w:i/>
        </w:rPr>
        <w:t xml:space="preserve"> eye</w:t>
      </w:r>
      <w:r>
        <w:t xml:space="preserve"> 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601F06" w:rsidRPr="00601F06">
        <w:t xml:space="preserve">toxic </w:t>
      </w:r>
      <w:r w:rsidR="00FC0672">
        <w:t>retinopathy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50110282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504A97">
        <w:t>18</w:t>
      </w:r>
      <w:r w:rsidR="00FF1D47">
        <w:t xml:space="preserve">) </w:t>
      </w:r>
      <w:r w:rsidRPr="00187DE1">
        <w:t xml:space="preserve">applies only to material contribution to, or aggravation of, </w:t>
      </w:r>
      <w:r w:rsidR="00601F06" w:rsidRPr="00601F06">
        <w:t xml:space="preserve">toxic </w:t>
      </w:r>
      <w:r w:rsidR="00FC0672">
        <w:t>retinopathy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601F06" w:rsidRPr="00601F06">
        <w:t xml:space="preserve">toxic </w:t>
      </w:r>
      <w:r w:rsidR="00FC0672">
        <w:t>retinopathy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50110282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0110282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01102830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1E7C33" w:rsidRPr="001E7C33" w:rsidRDefault="001E7C33" w:rsidP="00317D1B">
      <w:pPr>
        <w:pStyle w:val="SH3"/>
      </w:pPr>
      <w:bookmarkStart w:id="36" w:name="_Ref402530810"/>
      <w:r w:rsidRPr="00CF2304">
        <w:rPr>
          <w:b/>
          <w:i/>
          <w:lang w:val="en-US"/>
        </w:rPr>
        <w:t xml:space="preserve">aphakic or </w:t>
      </w:r>
      <w:r w:rsidRPr="00CF2304">
        <w:rPr>
          <w:b/>
          <w:i/>
        </w:rPr>
        <w:t xml:space="preserve">pseudophakic </w:t>
      </w:r>
      <w:r w:rsidRPr="00CF2304">
        <w:rPr>
          <w:b/>
          <w:i/>
          <w:lang w:val="en-US"/>
        </w:rPr>
        <w:t>eye</w:t>
      </w:r>
      <w:r>
        <w:rPr>
          <w:lang w:val="en-US"/>
        </w:rPr>
        <w:t xml:space="preserve"> means an eye without a natural</w:t>
      </w:r>
      <w:r w:rsidRPr="002D4068">
        <w:rPr>
          <w:lang w:val="en-US"/>
        </w:rPr>
        <w:t xml:space="preserve"> lens,</w:t>
      </w:r>
      <w:r>
        <w:rPr>
          <w:lang w:val="en-US"/>
        </w:rPr>
        <w:t xml:space="preserve"> or an eye containing an intraocular lens implant.</w:t>
      </w:r>
    </w:p>
    <w:p w:rsidR="00601F06" w:rsidRDefault="00601F06" w:rsidP="00317D1B">
      <w:pPr>
        <w:pStyle w:val="SH3"/>
      </w:pPr>
      <w:r w:rsidRPr="00FA23C2">
        <w:rPr>
          <w:b/>
          <w:i/>
        </w:rPr>
        <w:t>being treated with a quinol</w:t>
      </w:r>
      <w:r w:rsidR="004B3299">
        <w:rPr>
          <w:b/>
          <w:i/>
        </w:rPr>
        <w:t>i</w:t>
      </w:r>
      <w:r w:rsidRPr="00FA23C2">
        <w:rPr>
          <w:b/>
          <w:i/>
        </w:rPr>
        <w:t>ne-based drug as specified</w:t>
      </w:r>
      <w:r>
        <w:t xml:space="preserve"> means:</w:t>
      </w:r>
    </w:p>
    <w:p w:rsidR="00601F06" w:rsidRDefault="00601F06" w:rsidP="009C5513">
      <w:pPr>
        <w:pStyle w:val="SH4"/>
        <w:ind w:left="1418"/>
      </w:pPr>
      <w:r>
        <w:t>taking daily chloroquine for a continuous period of at least six months; or</w:t>
      </w:r>
    </w:p>
    <w:p w:rsidR="00601F06" w:rsidRDefault="00601F06" w:rsidP="009C5513">
      <w:pPr>
        <w:pStyle w:val="SH4"/>
        <w:ind w:left="1418"/>
      </w:pPr>
      <w:r>
        <w:t>taking a cumulative dose of chloroquine of at least 100 grams; or</w:t>
      </w:r>
    </w:p>
    <w:p w:rsidR="00601F06" w:rsidRDefault="00601F06" w:rsidP="009C5513">
      <w:pPr>
        <w:pStyle w:val="SH4"/>
        <w:ind w:left="1418"/>
      </w:pPr>
      <w:r>
        <w:t>taking daily hydroxychloroquine for a continuous period of at least five years; or</w:t>
      </w:r>
    </w:p>
    <w:p w:rsidR="00601F06" w:rsidRDefault="00601F06" w:rsidP="009C5513">
      <w:pPr>
        <w:pStyle w:val="SH4"/>
        <w:ind w:left="1418"/>
      </w:pPr>
      <w:r>
        <w:t xml:space="preserve">taking a cumulative dose of hydroxychloroquine of at least 400 grams; or </w:t>
      </w:r>
    </w:p>
    <w:p w:rsidR="00601F06" w:rsidRDefault="00601F06" w:rsidP="009C5513">
      <w:pPr>
        <w:pStyle w:val="SH4"/>
        <w:ind w:left="1418"/>
      </w:pPr>
      <w:r>
        <w:t xml:space="preserve">taking daily quinacrine (mepacrine or Atebrin) for a continuous period of at least six months; or </w:t>
      </w:r>
    </w:p>
    <w:p w:rsidR="00601F06" w:rsidRDefault="00601F06" w:rsidP="009C5513">
      <w:pPr>
        <w:pStyle w:val="SH4"/>
        <w:ind w:left="1418"/>
      </w:pPr>
      <w:r>
        <w:t xml:space="preserve">taking a cumulative dose of quinacrine of at least 20 grams; or </w:t>
      </w:r>
    </w:p>
    <w:p w:rsidR="005D6D98" w:rsidRDefault="005966AF" w:rsidP="009C5513">
      <w:pPr>
        <w:pStyle w:val="SH4"/>
        <w:ind w:left="1418"/>
      </w:pPr>
      <w:r w:rsidRPr="005966AF">
        <w:t xml:space="preserve">taking a cumulative dose of at least 1000 mg of mefloquine within a </w:t>
      </w:r>
      <w:r w:rsidR="008E561D">
        <w:t>30</w:t>
      </w:r>
      <w:r w:rsidR="00EC3F14">
        <w:t> </w:t>
      </w:r>
      <w:r w:rsidR="008E561D">
        <w:t>day</w:t>
      </w:r>
      <w:r w:rsidRPr="005966AF">
        <w:t xml:space="preserve"> period</w:t>
      </w:r>
      <w:r>
        <w:t>.</w:t>
      </w:r>
    </w:p>
    <w:p w:rsidR="00601F06" w:rsidRDefault="00601F06" w:rsidP="00317D1B">
      <w:pPr>
        <w:pStyle w:val="SH3"/>
      </w:pPr>
      <w:r w:rsidRPr="00504A97">
        <w:rPr>
          <w:b/>
          <w:i/>
        </w:rPr>
        <w:t>being treated with tamoxifen as specified</w:t>
      </w:r>
      <w:r>
        <w:t xml:space="preserve"> means:</w:t>
      </w:r>
    </w:p>
    <w:p w:rsidR="00601F06" w:rsidRDefault="00601F06" w:rsidP="00601F06">
      <w:pPr>
        <w:pStyle w:val="SH4"/>
        <w:ind w:left="1418"/>
      </w:pPr>
      <w:r>
        <w:t xml:space="preserve">taking daily tamoxifen for a continuous period of at least six months; or </w:t>
      </w:r>
    </w:p>
    <w:p w:rsidR="00601F06" w:rsidRDefault="00601F06" w:rsidP="00601F06">
      <w:pPr>
        <w:pStyle w:val="SH4"/>
        <w:ind w:left="1418"/>
      </w:pPr>
      <w:r>
        <w:t>taking a cumulative dose of tamoxifen of at least 100 grams.</w:t>
      </w:r>
    </w:p>
    <w:p w:rsidR="001E7C33" w:rsidRPr="001E7C33" w:rsidRDefault="001E7C33" w:rsidP="00317D1B">
      <w:pPr>
        <w:pStyle w:val="SH3"/>
      </w:pPr>
      <w:r w:rsidRPr="00773766">
        <w:rPr>
          <w:b/>
          <w:i/>
          <w:lang w:val="en-US"/>
        </w:rPr>
        <w:t>cystoid macular oedema</w:t>
      </w:r>
      <w:r>
        <w:rPr>
          <w:lang w:val="en-US"/>
        </w:rPr>
        <w:t xml:space="preserve"> means </w:t>
      </w:r>
      <w:r w:rsidRPr="00773766">
        <w:t xml:space="preserve">a painless disorder </w:t>
      </w:r>
      <w:r>
        <w:t>of</w:t>
      </w:r>
      <w:r w:rsidRPr="00773766">
        <w:t xml:space="preserve"> the macula</w:t>
      </w:r>
      <w:r>
        <w:t xml:space="preserve">, in which </w:t>
      </w:r>
      <w:r w:rsidRPr="00773766">
        <w:t>disruption of the normal blood-retinal barrier</w:t>
      </w:r>
      <w:r>
        <w:t xml:space="preserve"> causes the </w:t>
      </w:r>
      <w:r w:rsidRPr="00773766">
        <w:t>accumulation of fluid within the intracellular spaces of the retina, primaril</w:t>
      </w:r>
      <w:r>
        <w:t>y in the outer plexiform layer.</w:t>
      </w:r>
    </w:p>
    <w:p w:rsidR="00433F9D" w:rsidRDefault="00433F9D" w:rsidP="00433F9D">
      <w:pPr>
        <w:pStyle w:val="SH3"/>
      </w:pPr>
      <w:r w:rsidRPr="00433F9D">
        <w:rPr>
          <w:b/>
          <w:i/>
        </w:rPr>
        <w:t>iron chelating therapy as specified</w:t>
      </w:r>
      <w:r>
        <w:t xml:space="preserve"> means:</w:t>
      </w:r>
    </w:p>
    <w:p w:rsidR="00433F9D" w:rsidRDefault="00433F9D" w:rsidP="00433F9D">
      <w:pPr>
        <w:pStyle w:val="SH4"/>
      </w:pPr>
      <w:r>
        <w:t>daily oral deferasirox; or</w:t>
      </w:r>
    </w:p>
    <w:p w:rsidR="00433F9D" w:rsidRDefault="00433F9D" w:rsidP="00433F9D">
      <w:pPr>
        <w:pStyle w:val="SH4"/>
      </w:pPr>
      <w:r>
        <w:t>daily oral deferiprone; or</w:t>
      </w:r>
    </w:p>
    <w:p w:rsidR="00433F9D" w:rsidRPr="00433F9D" w:rsidRDefault="00433F9D" w:rsidP="00433F9D">
      <w:pPr>
        <w:pStyle w:val="SH4"/>
      </w:pPr>
      <w:r>
        <w:t>subcutaneous or intramuscular deferoxamine.</w:t>
      </w:r>
    </w:p>
    <w:p w:rsidR="00885EAB" w:rsidRPr="009C404D" w:rsidRDefault="00885EAB" w:rsidP="00317D1B">
      <w:pPr>
        <w:pStyle w:val="SH3"/>
      </w:pPr>
      <w:r w:rsidRPr="00504A97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504A97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317D1B">
      <w:pPr>
        <w:pStyle w:val="SH3"/>
      </w:pPr>
      <w:bookmarkStart w:id="37" w:name="_Ref402529607"/>
      <w:bookmarkEnd w:id="36"/>
      <w:r w:rsidRPr="00504A97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4A707B" w:rsidRDefault="004A707B" w:rsidP="00433F9D">
      <w:pPr>
        <w:pStyle w:val="SH3"/>
        <w:keepNext/>
      </w:pPr>
      <w:r w:rsidRPr="00504A97">
        <w:rPr>
          <w:b/>
          <w:i/>
        </w:rPr>
        <w:lastRenderedPageBreak/>
        <w:t>specified list of aminoglycosides</w:t>
      </w:r>
      <w:r>
        <w:t xml:space="preserve"> means:</w:t>
      </w:r>
    </w:p>
    <w:p w:rsidR="004A707B" w:rsidRDefault="004A707B" w:rsidP="00433F9D">
      <w:pPr>
        <w:pStyle w:val="SH4"/>
        <w:ind w:left="1418"/>
      </w:pPr>
      <w:r>
        <w:t>amikacin;</w:t>
      </w:r>
    </w:p>
    <w:p w:rsidR="004A707B" w:rsidRDefault="004A707B" w:rsidP="00433F9D">
      <w:pPr>
        <w:pStyle w:val="SH4"/>
        <w:ind w:left="1418"/>
      </w:pPr>
      <w:r>
        <w:t>gentamicin;</w:t>
      </w:r>
    </w:p>
    <w:p w:rsidR="004A707B" w:rsidRDefault="004A707B" w:rsidP="00433F9D">
      <w:pPr>
        <w:pStyle w:val="SH4"/>
        <w:ind w:left="1418"/>
      </w:pPr>
      <w:r>
        <w:t xml:space="preserve">kanamycin; </w:t>
      </w:r>
    </w:p>
    <w:p w:rsidR="004A707B" w:rsidRDefault="004A707B" w:rsidP="00433F9D">
      <w:pPr>
        <w:pStyle w:val="SH4"/>
        <w:ind w:left="1418"/>
      </w:pPr>
      <w:r>
        <w:t>netilmicin; or</w:t>
      </w:r>
    </w:p>
    <w:p w:rsidR="004A707B" w:rsidRPr="004A707B" w:rsidRDefault="004A707B" w:rsidP="004A707B">
      <w:pPr>
        <w:pStyle w:val="SH4"/>
        <w:ind w:left="1418"/>
      </w:pPr>
      <w:r>
        <w:t xml:space="preserve">tobramycin. </w:t>
      </w:r>
    </w:p>
    <w:p w:rsidR="004A707B" w:rsidRDefault="004A707B" w:rsidP="00317D1B">
      <w:pPr>
        <w:pStyle w:val="SH3"/>
      </w:pPr>
      <w:r w:rsidRPr="00504A97">
        <w:rPr>
          <w:b/>
          <w:i/>
        </w:rPr>
        <w:t>specified list of phenothiazines</w:t>
      </w:r>
      <w:r>
        <w:t xml:space="preserve"> means:</w:t>
      </w:r>
    </w:p>
    <w:p w:rsidR="004A707B" w:rsidRDefault="004A707B" w:rsidP="004A707B">
      <w:pPr>
        <w:pStyle w:val="SH4"/>
        <w:ind w:left="1418"/>
      </w:pPr>
      <w:r>
        <w:t>chlorpromazine;</w:t>
      </w:r>
    </w:p>
    <w:p w:rsidR="004A707B" w:rsidRDefault="004A707B" w:rsidP="004A707B">
      <w:pPr>
        <w:pStyle w:val="SH4"/>
        <w:ind w:left="1418"/>
      </w:pPr>
      <w:r>
        <w:t>thioridazine;</w:t>
      </w:r>
    </w:p>
    <w:p w:rsidR="004A707B" w:rsidRDefault="004A707B" w:rsidP="004A707B">
      <w:pPr>
        <w:pStyle w:val="SH4"/>
        <w:ind w:left="1418"/>
      </w:pPr>
      <w:r>
        <w:t>fluphenazine;</w:t>
      </w:r>
    </w:p>
    <w:p w:rsidR="004A707B" w:rsidRDefault="004A707B" w:rsidP="004A707B">
      <w:pPr>
        <w:pStyle w:val="SH4"/>
        <w:ind w:left="1418"/>
      </w:pPr>
      <w:r>
        <w:t>trifluoperazine; or</w:t>
      </w:r>
    </w:p>
    <w:p w:rsidR="004A707B" w:rsidRPr="004A707B" w:rsidRDefault="004A707B" w:rsidP="004A707B">
      <w:pPr>
        <w:pStyle w:val="SH4"/>
        <w:ind w:left="1418"/>
      </w:pPr>
      <w:r>
        <w:t xml:space="preserve">pericyazine. </w:t>
      </w:r>
    </w:p>
    <w:p w:rsidR="00317D1B" w:rsidRDefault="00317D1B" w:rsidP="00317D1B">
      <w:pPr>
        <w:pStyle w:val="SH3"/>
      </w:pPr>
      <w:r w:rsidRPr="00504A97">
        <w:rPr>
          <w:b/>
          <w:i/>
        </w:rPr>
        <w:t>taking oral canthaxanthin supplements or tablets as specified</w:t>
      </w:r>
      <w:r>
        <w:t xml:space="preserve"> means:</w:t>
      </w:r>
    </w:p>
    <w:p w:rsidR="00317D1B" w:rsidRDefault="00317D1B" w:rsidP="00317D1B">
      <w:pPr>
        <w:pStyle w:val="SH4"/>
        <w:ind w:left="1418"/>
      </w:pPr>
      <w:r>
        <w:t>daily oral canthaxanthin supplements or tablets for a continuous period of at least six months</w:t>
      </w:r>
      <w:r w:rsidR="00FA23C2">
        <w:t>;</w:t>
      </w:r>
      <w:r>
        <w:t xml:space="preserve"> or </w:t>
      </w:r>
    </w:p>
    <w:p w:rsidR="00317D1B" w:rsidRDefault="00317D1B" w:rsidP="00317D1B">
      <w:pPr>
        <w:pStyle w:val="SH4"/>
        <w:ind w:left="1418"/>
      </w:pPr>
      <w:r>
        <w:t xml:space="preserve">having a cumulative dose of at least 15 grams of canthaxanthin. </w:t>
      </w:r>
    </w:p>
    <w:p w:rsidR="001E7C33" w:rsidRPr="001E7C33" w:rsidRDefault="00317D1B" w:rsidP="00317D1B">
      <w:pPr>
        <w:pStyle w:val="ScheduleNote"/>
      </w:pPr>
      <w:r>
        <w:t>Note: Canthaxanthin used as a colour additive in foods or drugs is excluded.</w:t>
      </w:r>
    </w:p>
    <w:p w:rsidR="00885EAB" w:rsidRPr="009C404D" w:rsidRDefault="00054930" w:rsidP="00317D1B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4A707B" w:rsidRPr="00513D05" w:rsidRDefault="004A707B" w:rsidP="00317D1B">
      <w:pPr>
        <w:pStyle w:val="SH3"/>
      </w:pPr>
      <w:r w:rsidRPr="00504A97">
        <w:rPr>
          <w:b/>
          <w:i/>
        </w:rPr>
        <w:t xml:space="preserve">toxic </w:t>
      </w:r>
      <w:r w:rsidR="00FC0672">
        <w:rPr>
          <w:b/>
          <w:i/>
        </w:rPr>
        <w:t>retinopathy</w:t>
      </w:r>
      <w:r w:rsidRPr="00513D05">
        <w:t>—see subsection</w:t>
      </w:r>
      <w:r>
        <w:t xml:space="preserve"> 7(2).</w:t>
      </w:r>
    </w:p>
    <w:p w:rsidR="00225CBD" w:rsidRPr="0019084F" w:rsidRDefault="00885EAB" w:rsidP="00317D1B">
      <w:pPr>
        <w:pStyle w:val="SH3"/>
      </w:pPr>
      <w:r w:rsidRPr="00504A97">
        <w:rPr>
          <w:b/>
          <w:i/>
        </w:rPr>
        <w:t>VEA</w:t>
      </w:r>
      <w:r w:rsidRPr="0019084F">
        <w:t xml:space="preserve"> means the </w:t>
      </w:r>
      <w:r w:rsidRPr="00504A97">
        <w:rPr>
          <w:i/>
        </w:rPr>
        <w:t>Veterans</w:t>
      </w:r>
      <w:r w:rsidR="00D0417B" w:rsidRPr="00504A97">
        <w:rPr>
          <w:i/>
        </w:rPr>
        <w:t>'</w:t>
      </w:r>
      <w:r w:rsidRPr="00504A97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601F0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01F06">
            <w:rPr>
              <w:i/>
              <w:sz w:val="18"/>
              <w:szCs w:val="18"/>
            </w:rPr>
            <w:t xml:space="preserve">Toxic </w:t>
          </w:r>
          <w:r w:rsidR="00FC0672">
            <w:rPr>
              <w:i/>
              <w:sz w:val="18"/>
              <w:szCs w:val="18"/>
            </w:rPr>
            <w:t>Retinopathy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4B3299">
            <w:rPr>
              <w:i/>
              <w:sz w:val="18"/>
              <w:szCs w:val="18"/>
            </w:rPr>
            <w:t>19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01F06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D0A0F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D0A0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601F0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01F06">
            <w:rPr>
              <w:i/>
              <w:sz w:val="18"/>
              <w:szCs w:val="18"/>
            </w:rPr>
            <w:t xml:space="preserve">Toxic </w:t>
          </w:r>
          <w:r w:rsidR="00FC0672">
            <w:rPr>
              <w:i/>
              <w:sz w:val="18"/>
              <w:szCs w:val="18"/>
            </w:rPr>
            <w:t>Retinopathy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4B3299">
            <w:rPr>
              <w:i/>
              <w:sz w:val="18"/>
              <w:szCs w:val="18"/>
            </w:rPr>
            <w:t>19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01F06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D0A0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D0A0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9E967BF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D4EDE"/>
    <w:rsid w:val="000E2261"/>
    <w:rsid w:val="000E4183"/>
    <w:rsid w:val="000E6F5D"/>
    <w:rsid w:val="000F21C1"/>
    <w:rsid w:val="000F76FA"/>
    <w:rsid w:val="00101F89"/>
    <w:rsid w:val="001058EA"/>
    <w:rsid w:val="0010745C"/>
    <w:rsid w:val="00116C59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E7C33"/>
    <w:rsid w:val="001F1912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17D1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3F9D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07B"/>
    <w:rsid w:val="004B3299"/>
    <w:rsid w:val="004C6AE8"/>
    <w:rsid w:val="004C6D55"/>
    <w:rsid w:val="004D10CF"/>
    <w:rsid w:val="004D4BCA"/>
    <w:rsid w:val="004E063A"/>
    <w:rsid w:val="004E7BEC"/>
    <w:rsid w:val="004F23E0"/>
    <w:rsid w:val="00504A97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74D1"/>
    <w:rsid w:val="00571FBB"/>
    <w:rsid w:val="00575A90"/>
    <w:rsid w:val="00584811"/>
    <w:rsid w:val="00585784"/>
    <w:rsid w:val="0058724F"/>
    <w:rsid w:val="00593AA6"/>
    <w:rsid w:val="00594161"/>
    <w:rsid w:val="00594749"/>
    <w:rsid w:val="005966AF"/>
    <w:rsid w:val="005B05D3"/>
    <w:rsid w:val="005B4067"/>
    <w:rsid w:val="005C3F41"/>
    <w:rsid w:val="005C74AC"/>
    <w:rsid w:val="005C7B57"/>
    <w:rsid w:val="005D2D09"/>
    <w:rsid w:val="005D6D98"/>
    <w:rsid w:val="005E589B"/>
    <w:rsid w:val="005E7FC2"/>
    <w:rsid w:val="00600219"/>
    <w:rsid w:val="006013B7"/>
    <w:rsid w:val="00601F06"/>
    <w:rsid w:val="00603D01"/>
    <w:rsid w:val="00603DC4"/>
    <w:rsid w:val="00615B89"/>
    <w:rsid w:val="00616FF5"/>
    <w:rsid w:val="00617C4E"/>
    <w:rsid w:val="00620076"/>
    <w:rsid w:val="0062338D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0A0F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02E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7F29B7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561D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170B"/>
    <w:rsid w:val="009A7FBD"/>
    <w:rsid w:val="009B46D8"/>
    <w:rsid w:val="009B5A4E"/>
    <w:rsid w:val="009C2B65"/>
    <w:rsid w:val="009C404D"/>
    <w:rsid w:val="009C5513"/>
    <w:rsid w:val="009D25E1"/>
    <w:rsid w:val="009D6BB0"/>
    <w:rsid w:val="009E3E8E"/>
    <w:rsid w:val="009E5CFC"/>
    <w:rsid w:val="009E7876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554"/>
    <w:rsid w:val="00A515BC"/>
    <w:rsid w:val="00A56C3D"/>
    <w:rsid w:val="00A6070D"/>
    <w:rsid w:val="00A64912"/>
    <w:rsid w:val="00A64BA1"/>
    <w:rsid w:val="00A66A6F"/>
    <w:rsid w:val="00A70A74"/>
    <w:rsid w:val="00A77E0D"/>
    <w:rsid w:val="00A92418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17D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BF682A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0E85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2847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4437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1826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E59E4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3F1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23C2"/>
    <w:rsid w:val="00FA33FB"/>
    <w:rsid w:val="00FB3EF0"/>
    <w:rsid w:val="00FB533A"/>
    <w:rsid w:val="00FC067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317D1B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317D1B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9430</Characters>
  <Application>Microsoft Office Word</Application>
  <DocSecurity>0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2017-12-15T01:59:00Z</dcterms:created>
  <dcterms:modified xsi:type="dcterms:W3CDTF">2018-02-27T01:54:00Z</dcterms:modified>
  <cp:category/>
  <cp:contentStatus/>
  <dc:language/>
  <cp:version/>
</cp:coreProperties>
</file>