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2904490</wp:posOffset>
            </wp:positionH>
            <wp:positionV relativeFrom="page">
              <wp:posOffset>1417955</wp:posOffset>
            </wp:positionV>
            <wp:extent cx="1752600" cy="9334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1752600" cy="93345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9" w:lineRule="exact"/>
        <w:rPr>
          <w:sz w:val="24"/>
          <w:szCs w:val="24"/>
          <w:color w:val="auto"/>
        </w:rPr>
      </w:pPr>
    </w:p>
    <w:p>
      <w:pPr>
        <w:jc w:val="center"/>
        <w:ind w:left="360" w:right="366"/>
        <w:spacing w:after="0" w:line="237" w:lineRule="auto"/>
        <w:rPr>
          <w:sz w:val="20"/>
          <w:szCs w:val="20"/>
          <w:color w:val="auto"/>
        </w:rPr>
      </w:pPr>
      <w:r>
        <w:rPr>
          <w:rFonts w:ascii="Times New Roman" w:cs="Times New Roman" w:eastAsia="Times New Roman" w:hAnsi="Times New Roman"/>
          <w:sz w:val="40"/>
          <w:szCs w:val="40"/>
          <w:b w:val="1"/>
          <w:bCs w:val="1"/>
          <w:color w:val="auto"/>
        </w:rPr>
        <w:t>Veterans' Entitlements (Statements of Principles—Cumulative Equivalent Dose) Amendment Determination 2017</w:t>
      </w:r>
    </w:p>
    <w:p>
      <w:pPr>
        <w:spacing w:after="0" w:line="120" w:lineRule="exact"/>
        <w:rPr>
          <w:sz w:val="24"/>
          <w:szCs w:val="24"/>
          <w:color w:val="auto"/>
        </w:rPr>
      </w:pPr>
    </w:p>
    <w:p>
      <w:pPr>
        <w:jc w:val="center"/>
        <w:ind w:right="-13"/>
        <w:spacing w:after="0"/>
        <w:rPr>
          <w:sz w:val="20"/>
          <w:szCs w:val="20"/>
          <w:color w:val="auto"/>
        </w:rPr>
      </w:pPr>
      <w:r>
        <w:rPr>
          <w:rFonts w:ascii="Times New Roman" w:cs="Times New Roman" w:eastAsia="Times New Roman" w:hAnsi="Times New Roman"/>
          <w:sz w:val="40"/>
          <w:szCs w:val="40"/>
          <w:b w:val="1"/>
          <w:bCs w:val="1"/>
          <w:color w:val="auto"/>
        </w:rPr>
        <w:t>(No. 58 of 2017)</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233045</wp:posOffset>
                </wp:positionV>
                <wp:extent cx="5348605"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48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18.35pt" to="437.6pt,18.35pt" o:allowincell="f" strokecolor="#000000" strokeweight="0.48pt"/>
            </w:pict>
          </mc:Fallback>
        </mc:AlternateContent>
      </w:r>
    </w:p>
    <w:p>
      <w:pPr>
        <w:spacing w:after="0" w:line="364"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24"/>
          <w:szCs w:val="24"/>
          <w:color w:val="auto"/>
        </w:rPr>
        <w:t>The Repatriation Medical Authority makes the following determination.</w:t>
      </w:r>
    </w:p>
    <w:p>
      <w:pPr>
        <w:spacing w:after="0" w:line="259" w:lineRule="exact"/>
        <w:rPr>
          <w:sz w:val="24"/>
          <w:szCs w:val="24"/>
          <w:color w:val="auto"/>
        </w:rPr>
      </w:pPr>
    </w:p>
    <w:p>
      <w:pPr>
        <w:ind w:left="360"/>
        <w:spacing w:after="0"/>
        <w:tabs>
          <w:tab w:leader="none" w:pos="1260" w:val="left"/>
        </w:tabs>
        <w:rPr>
          <w:sz w:val="20"/>
          <w:szCs w:val="20"/>
          <w:color w:val="auto"/>
        </w:rPr>
      </w:pPr>
      <w:r>
        <w:rPr>
          <w:rFonts w:ascii="Times New Roman" w:cs="Times New Roman" w:eastAsia="Times New Roman" w:hAnsi="Times New Roman"/>
          <w:sz w:val="24"/>
          <w:szCs w:val="24"/>
          <w:color w:val="auto"/>
        </w:rPr>
        <w:t>Dated</w:t>
      </w:r>
      <w:r>
        <w:rPr>
          <w:sz w:val="20"/>
          <w:szCs w:val="20"/>
          <w:color w:val="auto"/>
        </w:rPr>
        <w:tab/>
      </w:r>
      <w:r>
        <w:rPr>
          <w:rFonts w:ascii="Times New Roman" w:cs="Times New Roman" w:eastAsia="Times New Roman" w:hAnsi="Times New Roman"/>
          <w:sz w:val="24"/>
          <w:szCs w:val="24"/>
          <w:color w:val="auto"/>
        </w:rPr>
        <w:t>18 August 2017</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0" w:lineRule="exact"/>
        <w:rPr>
          <w:sz w:val="24"/>
          <w:szCs w:val="24"/>
          <w:color w:val="auto"/>
        </w:rPr>
      </w:pPr>
    </w:p>
    <w:p>
      <w:pPr>
        <w:ind w:left="460"/>
        <w:spacing w:after="0"/>
        <w:rPr>
          <w:sz w:val="20"/>
          <w:szCs w:val="20"/>
          <w:color w:val="auto"/>
        </w:rPr>
      </w:pPr>
      <w:r>
        <w:rPr>
          <w:rFonts w:ascii="Times New Roman" w:cs="Times New Roman" w:eastAsia="Times New Roman" w:hAnsi="Times New Roman"/>
          <w:sz w:val="24"/>
          <w:szCs w:val="24"/>
          <w:color w:val="auto"/>
        </w:rPr>
        <w:t>The Common Seal of the</w:t>
      </w:r>
    </w:p>
    <w:p>
      <w:pPr>
        <w:ind w:left="460"/>
        <w:spacing w:after="0"/>
        <w:rPr>
          <w:sz w:val="20"/>
          <w:szCs w:val="20"/>
          <w:color w:val="auto"/>
        </w:rPr>
      </w:pPr>
      <w:r>
        <w:rPr>
          <w:rFonts w:ascii="Times New Roman" w:cs="Times New Roman" w:eastAsia="Times New Roman" w:hAnsi="Times New Roman"/>
          <w:sz w:val="24"/>
          <w:szCs w:val="24"/>
          <w:color w:val="auto"/>
        </w:rPr>
        <w:t>Repatriation Medical Authority</w:t>
      </w:r>
    </w:p>
    <w:p>
      <w:pPr>
        <w:ind w:left="460"/>
        <w:spacing w:after="0"/>
        <w:rPr>
          <w:sz w:val="20"/>
          <w:szCs w:val="20"/>
          <w:color w:val="auto"/>
        </w:rPr>
      </w:pPr>
      <w:r>
        <w:rPr>
          <w:rFonts w:ascii="Times New Roman" w:cs="Times New Roman" w:eastAsia="Times New Roman" w:hAnsi="Times New Roman"/>
          <w:sz w:val="24"/>
          <w:szCs w:val="24"/>
          <w:color w:val="auto"/>
        </w:rPr>
        <w:t>was affixed to this instrument</w:t>
      </w:r>
    </w:p>
    <w:p>
      <w:pPr>
        <w:ind w:left="460"/>
        <w:spacing w:after="0"/>
        <w:rPr>
          <w:sz w:val="20"/>
          <w:szCs w:val="20"/>
          <w:color w:val="auto"/>
        </w:rPr>
      </w:pPr>
      <w:r>
        <w:rPr>
          <w:rFonts w:ascii="Times New Roman" w:cs="Times New Roman" w:eastAsia="Times New Roman" w:hAnsi="Times New Roman"/>
          <w:sz w:val="24"/>
          <w:szCs w:val="24"/>
          <w:color w:val="auto"/>
        </w:rPr>
        <w:t>at the direction of:</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342265</wp:posOffset>
            </wp:positionH>
            <wp:positionV relativeFrom="paragraph">
              <wp:posOffset>449580</wp:posOffset>
            </wp:positionV>
            <wp:extent cx="2450465" cy="5334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extLst>
                    </a:blip>
                    <a:srcRect/>
                    <a:stretch>
                      <a:fillRect/>
                    </a:stretch>
                  </pic:blipFill>
                  <pic:spPr bwMode="auto">
                    <a:xfrm>
                      <a:off x="0" y="0"/>
                      <a:ext cx="2450465" cy="53340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2" w:lineRule="exact"/>
        <w:rPr>
          <w:sz w:val="24"/>
          <w:szCs w:val="24"/>
          <w:color w:val="auto"/>
        </w:rPr>
      </w:pPr>
    </w:p>
    <w:p>
      <w:pPr>
        <w:ind w:left="460"/>
        <w:spacing w:after="0"/>
        <w:rPr>
          <w:sz w:val="20"/>
          <w:szCs w:val="20"/>
          <w:color w:val="auto"/>
        </w:rPr>
      </w:pPr>
      <w:r>
        <w:rPr>
          <w:rFonts w:ascii="Times New Roman" w:cs="Times New Roman" w:eastAsia="Times New Roman" w:hAnsi="Times New Roman"/>
          <w:sz w:val="24"/>
          <w:szCs w:val="24"/>
          <w:color w:val="auto"/>
        </w:rPr>
        <w:t>Professor Nicholas Saunders AO</w:t>
      </w:r>
    </w:p>
    <w:p>
      <w:pPr>
        <w:ind w:left="460"/>
        <w:spacing w:after="0" w:line="237" w:lineRule="auto"/>
        <w:rPr>
          <w:sz w:val="20"/>
          <w:szCs w:val="20"/>
          <w:color w:val="auto"/>
        </w:rPr>
      </w:pPr>
      <w:r>
        <w:rPr>
          <w:rFonts w:ascii="Times New Roman" w:cs="Times New Roman" w:eastAsia="Times New Roman" w:hAnsi="Times New Roman"/>
          <w:sz w:val="24"/>
          <w:szCs w:val="24"/>
          <w:color w:val="auto"/>
        </w:rPr>
        <w:t>Chairperson</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7" w:lineRule="exact"/>
        <w:rPr>
          <w:sz w:val="24"/>
          <w:szCs w:val="24"/>
          <w:color w:val="auto"/>
        </w:rPr>
      </w:pPr>
    </w:p>
    <w:p>
      <w:pPr>
        <w:jc w:val="right"/>
        <w:ind w:right="346"/>
        <w:spacing w:after="0"/>
        <w:rPr>
          <w:sz w:val="20"/>
          <w:szCs w:val="20"/>
          <w:color w:val="auto"/>
        </w:rPr>
      </w:pPr>
      <w:r>
        <w:rPr>
          <w:rFonts w:ascii="Times New Roman" w:cs="Times New Roman" w:eastAsia="Times New Roman" w:hAnsi="Times New Roman"/>
          <w:sz w:val="18"/>
          <w:szCs w:val="18"/>
          <w:i w:val="1"/>
          <w:iCs w:val="1"/>
          <w:color w:val="auto"/>
        </w:rPr>
        <w:t>1 of 8</w:t>
      </w:r>
    </w:p>
    <w:p>
      <w:pPr>
        <w:spacing w:after="0" w:line="10" w:lineRule="exact"/>
        <w:rPr>
          <w:sz w:val="24"/>
          <w:szCs w:val="24"/>
          <w:color w:val="auto"/>
        </w:rPr>
      </w:pPr>
    </w:p>
    <w:p>
      <w:pPr>
        <w:jc w:val="center"/>
        <w:ind w:left="360" w:right="346"/>
        <w:spacing w:after="0" w:line="236" w:lineRule="auto"/>
        <w:rPr>
          <w:sz w:val="20"/>
          <w:szCs w:val="20"/>
          <w:color w:val="auto"/>
        </w:rPr>
      </w:pPr>
      <w:r>
        <w:rPr>
          <w:rFonts w:ascii="Times New Roman" w:cs="Times New Roman" w:eastAsia="Times New Roman" w:hAnsi="Times New Roman"/>
          <w:sz w:val="18"/>
          <w:szCs w:val="18"/>
          <w:i w:val="1"/>
          <w:iCs w:val="1"/>
          <w:color w:val="auto"/>
        </w:rPr>
        <w:t>Veterans' Entitlements (Statements of Principles—Cumulative Equivalent Dose) Amendment Determination 2017 (No. 58 of 2017) Veterans' Entitlements Act 1986</w:t>
      </w:r>
    </w:p>
    <w:p>
      <w:pPr>
        <w:sectPr>
          <w:pgSz w:w="11900" w:h="16838" w:orient="portrait"/>
          <w:cols w:equalWidth="0" w:num="1">
            <w:col w:w="9026"/>
          </w:cols>
          <w:pgMar w:left="1440" w:top="1440" w:right="1440" w:bottom="148" w:gutter="0" w:footer="0" w:header="0"/>
        </w:sectPr>
      </w:pPr>
    </w:p>
    <w:bookmarkStart w:id="1" w:name="page2"/>
    <w:bookmarkEnd w:id="1"/>
    <w:p>
      <w:pPr>
        <w:spacing w:after="0" w:line="200" w:lineRule="exact"/>
        <w:rPr>
          <w:sz w:val="20"/>
          <w:szCs w:val="20"/>
          <w:color w:val="auto"/>
        </w:rPr>
      </w:pPr>
    </w:p>
    <w:p>
      <w:pPr>
        <w:spacing w:after="0" w:line="200" w:lineRule="exact"/>
        <w:rPr>
          <w:sz w:val="20"/>
          <w:szCs w:val="20"/>
          <w:color w:val="auto"/>
        </w:rPr>
      </w:pPr>
    </w:p>
    <w:p>
      <w:pPr>
        <w:spacing w:after="0" w:line="29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36"/>
          <w:szCs w:val="36"/>
          <w:color w:val="auto"/>
        </w:rPr>
        <w:t>Contents</w:t>
      </w:r>
    </w:p>
    <w:p>
      <w:pPr>
        <w:spacing w:after="0" w:line="96" w:lineRule="exact"/>
        <w:rPr>
          <w:sz w:val="20"/>
          <w:szCs w:val="20"/>
          <w:color w:val="auto"/>
        </w:rPr>
      </w:pPr>
    </w:p>
    <w:p>
      <w:pPr>
        <w:ind w:left="920"/>
        <w:spacing w:after="0"/>
        <w:tabs>
          <w:tab w:leader="none" w:pos="1480" w:val="left"/>
          <w:tab w:leader="dot" w:pos="8280" w:val="left"/>
        </w:tabs>
        <w:rPr>
          <w:sz w:val="20"/>
          <w:szCs w:val="20"/>
          <w:color w:val="auto"/>
        </w:rPr>
      </w:pPr>
      <w:r>
        <w:rPr>
          <w:rFonts w:ascii="Times New Roman" w:cs="Times New Roman" w:eastAsia="Times New Roman" w:hAnsi="Times New Roman"/>
          <w:sz w:val="20"/>
          <w:szCs w:val="20"/>
          <w:color w:val="auto"/>
        </w:rPr>
        <w:t>1</w:t>
      </w:r>
      <w:r>
        <w:rPr>
          <w:sz w:val="20"/>
          <w:szCs w:val="20"/>
          <w:color w:val="auto"/>
        </w:rPr>
        <w:tab/>
      </w:r>
      <w:r>
        <w:rPr>
          <w:rFonts w:ascii="Times New Roman" w:cs="Times New Roman" w:eastAsia="Times New Roman" w:hAnsi="Times New Roman"/>
          <w:sz w:val="20"/>
          <w:szCs w:val="20"/>
          <w:color w:val="auto"/>
        </w:rPr>
        <w:t>Name</w:t>
      </w:r>
      <w:r>
        <w:rPr>
          <w:sz w:val="20"/>
          <w:szCs w:val="20"/>
          <w:color w:val="auto"/>
        </w:rPr>
        <w:tab/>
      </w:r>
      <w:r>
        <w:rPr>
          <w:rFonts w:ascii="Times New Roman" w:cs="Times New Roman" w:eastAsia="Times New Roman" w:hAnsi="Times New Roman"/>
          <w:sz w:val="20"/>
          <w:szCs w:val="20"/>
          <w:color w:val="auto"/>
        </w:rPr>
        <w:t>3</w:t>
      </w:r>
    </w:p>
    <w:p>
      <w:pPr>
        <w:spacing w:after="0" w:line="120" w:lineRule="exact"/>
        <w:rPr>
          <w:sz w:val="20"/>
          <w:szCs w:val="20"/>
          <w:color w:val="auto"/>
        </w:rPr>
      </w:pPr>
    </w:p>
    <w:p>
      <w:pPr>
        <w:ind w:left="920"/>
        <w:spacing w:after="0"/>
        <w:tabs>
          <w:tab w:leader="none" w:pos="1480" w:val="left"/>
          <w:tab w:leader="dot" w:pos="8280" w:val="left"/>
        </w:tabs>
        <w:rPr>
          <w:sz w:val="20"/>
          <w:szCs w:val="20"/>
          <w:color w:val="auto"/>
        </w:rPr>
      </w:pPr>
      <w:r>
        <w:rPr>
          <w:rFonts w:ascii="Times New Roman" w:cs="Times New Roman" w:eastAsia="Times New Roman" w:hAnsi="Times New Roman"/>
          <w:sz w:val="20"/>
          <w:szCs w:val="20"/>
          <w:color w:val="auto"/>
        </w:rPr>
        <w:t>2</w:t>
      </w:r>
      <w:r>
        <w:rPr>
          <w:sz w:val="20"/>
          <w:szCs w:val="20"/>
          <w:color w:val="auto"/>
        </w:rPr>
        <w:tab/>
      </w:r>
      <w:r>
        <w:rPr>
          <w:rFonts w:ascii="Times New Roman" w:cs="Times New Roman" w:eastAsia="Times New Roman" w:hAnsi="Times New Roman"/>
          <w:sz w:val="20"/>
          <w:szCs w:val="20"/>
          <w:color w:val="auto"/>
        </w:rPr>
        <w:t>Commencement</w:t>
      </w:r>
      <w:r>
        <w:rPr>
          <w:sz w:val="20"/>
          <w:szCs w:val="20"/>
          <w:color w:val="auto"/>
        </w:rPr>
        <w:tab/>
      </w:r>
      <w:r>
        <w:rPr>
          <w:rFonts w:ascii="Times New Roman" w:cs="Times New Roman" w:eastAsia="Times New Roman" w:hAnsi="Times New Roman"/>
          <w:sz w:val="20"/>
          <w:szCs w:val="20"/>
          <w:color w:val="auto"/>
        </w:rPr>
        <w:t>3</w:t>
      </w:r>
    </w:p>
    <w:p>
      <w:pPr>
        <w:spacing w:after="0" w:line="120" w:lineRule="exact"/>
        <w:rPr>
          <w:sz w:val="20"/>
          <w:szCs w:val="20"/>
          <w:color w:val="auto"/>
        </w:rPr>
      </w:pPr>
    </w:p>
    <w:p>
      <w:pPr>
        <w:ind w:left="920"/>
        <w:spacing w:after="0"/>
        <w:tabs>
          <w:tab w:leader="none" w:pos="1480" w:val="left"/>
          <w:tab w:leader="dot" w:pos="8280" w:val="left"/>
        </w:tabs>
        <w:rPr>
          <w:sz w:val="20"/>
          <w:szCs w:val="20"/>
          <w:color w:val="auto"/>
        </w:rPr>
      </w:pPr>
      <w:r>
        <w:rPr>
          <w:rFonts w:ascii="Times New Roman" w:cs="Times New Roman" w:eastAsia="Times New Roman" w:hAnsi="Times New Roman"/>
          <w:sz w:val="20"/>
          <w:szCs w:val="20"/>
          <w:color w:val="auto"/>
        </w:rPr>
        <w:t>3</w:t>
      </w:r>
      <w:r>
        <w:rPr>
          <w:sz w:val="20"/>
          <w:szCs w:val="20"/>
          <w:color w:val="auto"/>
        </w:rPr>
        <w:tab/>
      </w:r>
      <w:r>
        <w:rPr>
          <w:rFonts w:ascii="Times New Roman" w:cs="Times New Roman" w:eastAsia="Times New Roman" w:hAnsi="Times New Roman"/>
          <w:sz w:val="20"/>
          <w:szCs w:val="20"/>
          <w:color w:val="auto"/>
        </w:rPr>
        <w:t>Authority</w:t>
      </w:r>
      <w:r>
        <w:rPr>
          <w:sz w:val="20"/>
          <w:szCs w:val="20"/>
          <w:color w:val="auto"/>
        </w:rPr>
        <w:tab/>
      </w:r>
      <w:r>
        <w:rPr>
          <w:rFonts w:ascii="Times New Roman" w:cs="Times New Roman" w:eastAsia="Times New Roman" w:hAnsi="Times New Roman"/>
          <w:sz w:val="20"/>
          <w:szCs w:val="20"/>
          <w:color w:val="auto"/>
        </w:rPr>
        <w:t>3</w:t>
      </w:r>
    </w:p>
    <w:p>
      <w:pPr>
        <w:spacing w:after="0" w:line="120" w:lineRule="exact"/>
        <w:rPr>
          <w:sz w:val="20"/>
          <w:szCs w:val="20"/>
          <w:color w:val="auto"/>
        </w:rPr>
      </w:pPr>
    </w:p>
    <w:p>
      <w:pPr>
        <w:ind w:left="920"/>
        <w:spacing w:after="0"/>
        <w:tabs>
          <w:tab w:leader="none" w:pos="1480" w:val="left"/>
          <w:tab w:leader="dot" w:pos="8280" w:val="left"/>
        </w:tabs>
        <w:rPr>
          <w:sz w:val="20"/>
          <w:szCs w:val="20"/>
          <w:color w:val="auto"/>
        </w:rPr>
      </w:pPr>
      <w:r>
        <w:rPr>
          <w:rFonts w:ascii="Times New Roman" w:cs="Times New Roman" w:eastAsia="Times New Roman" w:hAnsi="Times New Roman"/>
          <w:sz w:val="20"/>
          <w:szCs w:val="20"/>
          <w:color w:val="auto"/>
        </w:rPr>
        <w:t>4</w:t>
      </w:r>
      <w:r>
        <w:rPr>
          <w:sz w:val="20"/>
          <w:szCs w:val="20"/>
          <w:color w:val="auto"/>
        </w:rPr>
        <w:tab/>
      </w:r>
      <w:r>
        <w:rPr>
          <w:rFonts w:ascii="Times New Roman" w:cs="Times New Roman" w:eastAsia="Times New Roman" w:hAnsi="Times New Roman"/>
          <w:sz w:val="20"/>
          <w:szCs w:val="20"/>
          <w:color w:val="auto"/>
        </w:rPr>
        <w:t>Schedules</w:t>
      </w:r>
      <w:r>
        <w:rPr>
          <w:sz w:val="20"/>
          <w:szCs w:val="20"/>
          <w:color w:val="auto"/>
        </w:rPr>
        <w:tab/>
      </w:r>
      <w:r>
        <w:rPr>
          <w:rFonts w:ascii="Times New Roman" w:cs="Times New Roman" w:eastAsia="Times New Roman" w:hAnsi="Times New Roman"/>
          <w:sz w:val="20"/>
          <w:szCs w:val="20"/>
          <w:color w:val="auto"/>
        </w:rPr>
        <w:t>3</w:t>
      </w:r>
    </w:p>
    <w:p>
      <w:pPr>
        <w:spacing w:after="0" w:line="125" w:lineRule="exact"/>
        <w:rPr>
          <w:sz w:val="20"/>
          <w:szCs w:val="20"/>
          <w:color w:val="auto"/>
        </w:rPr>
      </w:pPr>
    </w:p>
    <w:p>
      <w:pPr>
        <w:ind w:left="360"/>
        <w:spacing w:after="0"/>
        <w:tabs>
          <w:tab w:leader="dot" w:pos="8280" w:val="left"/>
        </w:tabs>
        <w:rPr>
          <w:sz w:val="20"/>
          <w:szCs w:val="20"/>
          <w:color w:val="auto"/>
        </w:rPr>
      </w:pPr>
      <w:r>
        <w:rPr>
          <w:rFonts w:ascii="Times New Roman" w:cs="Times New Roman" w:eastAsia="Times New Roman" w:hAnsi="Times New Roman"/>
          <w:sz w:val="22"/>
          <w:szCs w:val="22"/>
          <w:b w:val="1"/>
          <w:bCs w:val="1"/>
          <w:color w:val="auto"/>
        </w:rPr>
        <w:t>Schedule 1—Amendments</w:t>
      </w:r>
      <w:r>
        <w:rPr>
          <w:sz w:val="20"/>
          <w:szCs w:val="20"/>
          <w:color w:val="auto"/>
        </w:rPr>
        <w:tab/>
      </w:r>
      <w:r>
        <w:rPr>
          <w:rFonts w:ascii="Times New Roman" w:cs="Times New Roman" w:eastAsia="Times New Roman" w:hAnsi="Times New Roman"/>
          <w:sz w:val="22"/>
          <w:szCs w:val="22"/>
          <w:b w:val="1"/>
          <w:bCs w:val="1"/>
          <w:color w:val="auto"/>
        </w:rPr>
        <w:t>4</w:t>
      </w:r>
    </w:p>
    <w:p>
      <w:pPr>
        <w:spacing w:after="0" w:line="114" w:lineRule="exact"/>
        <w:rPr>
          <w:sz w:val="20"/>
          <w:szCs w:val="20"/>
          <w:color w:val="auto"/>
        </w:rPr>
      </w:pPr>
    </w:p>
    <w:p>
      <w:pPr>
        <w:ind w:left="920"/>
        <w:spacing w:after="0"/>
        <w:tabs>
          <w:tab w:leader="dot" w:pos="8280" w:val="left"/>
        </w:tabs>
        <w:rPr>
          <w:sz w:val="20"/>
          <w:szCs w:val="20"/>
          <w:color w:val="auto"/>
        </w:rPr>
      </w:pPr>
      <w:r>
        <w:rPr>
          <w:rFonts w:ascii="Times New Roman" w:cs="Times New Roman" w:eastAsia="Times New Roman" w:hAnsi="Times New Roman"/>
          <w:sz w:val="20"/>
          <w:szCs w:val="20"/>
          <w:color w:val="auto"/>
        </w:rPr>
        <w:t>Part 1—Amendments of clause 9 of certain Statements of Principles</w:t>
      </w:r>
      <w:r>
        <w:rPr>
          <w:sz w:val="20"/>
          <w:szCs w:val="20"/>
          <w:color w:val="auto"/>
        </w:rPr>
        <w:tab/>
      </w:r>
      <w:r>
        <w:rPr>
          <w:rFonts w:ascii="Times New Roman" w:cs="Times New Roman" w:eastAsia="Times New Roman" w:hAnsi="Times New Roman"/>
          <w:sz w:val="20"/>
          <w:szCs w:val="20"/>
          <w:color w:val="auto"/>
        </w:rPr>
        <w:t>4</w:t>
      </w:r>
    </w:p>
    <w:p>
      <w:pPr>
        <w:spacing w:after="0" w:line="120" w:lineRule="exact"/>
        <w:rPr>
          <w:sz w:val="20"/>
          <w:szCs w:val="20"/>
          <w:color w:val="auto"/>
        </w:rPr>
      </w:pPr>
    </w:p>
    <w:p>
      <w:pPr>
        <w:ind w:left="920"/>
        <w:spacing w:after="0"/>
        <w:tabs>
          <w:tab w:leader="dot" w:pos="8280" w:val="left"/>
        </w:tabs>
        <w:rPr>
          <w:sz w:val="20"/>
          <w:szCs w:val="20"/>
          <w:color w:val="auto"/>
        </w:rPr>
      </w:pPr>
      <w:r>
        <w:rPr>
          <w:rFonts w:ascii="Times New Roman" w:cs="Times New Roman" w:eastAsia="Times New Roman" w:hAnsi="Times New Roman"/>
          <w:sz w:val="20"/>
          <w:szCs w:val="20"/>
          <w:color w:val="auto"/>
        </w:rPr>
        <w:t>Part 2—Amendments of clause 1 of Schedule 1 to certain Statements of Principles</w:t>
      </w:r>
      <w:r>
        <w:rPr>
          <w:sz w:val="20"/>
          <w:szCs w:val="20"/>
          <w:color w:val="auto"/>
        </w:rPr>
        <w:tab/>
      </w:r>
      <w:r>
        <w:rPr>
          <w:rFonts w:ascii="Times New Roman" w:cs="Times New Roman" w:eastAsia="Times New Roman" w:hAnsi="Times New Roman"/>
          <w:sz w:val="20"/>
          <w:szCs w:val="20"/>
          <w:color w:val="auto"/>
        </w:rPr>
        <w:t>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0" w:lineRule="exact"/>
        <w:rPr>
          <w:sz w:val="20"/>
          <w:szCs w:val="20"/>
          <w:color w:val="auto"/>
        </w:rPr>
      </w:pPr>
    </w:p>
    <w:p>
      <w:pPr>
        <w:jc w:val="right"/>
        <w:ind w:right="346"/>
        <w:spacing w:after="0"/>
        <w:rPr>
          <w:sz w:val="20"/>
          <w:szCs w:val="20"/>
          <w:color w:val="auto"/>
        </w:rPr>
      </w:pPr>
      <w:r>
        <w:rPr>
          <w:rFonts w:ascii="Times New Roman" w:cs="Times New Roman" w:eastAsia="Times New Roman" w:hAnsi="Times New Roman"/>
          <w:sz w:val="18"/>
          <w:szCs w:val="18"/>
          <w:i w:val="1"/>
          <w:iCs w:val="1"/>
          <w:color w:val="auto"/>
        </w:rPr>
        <w:t>2 of 8</w:t>
      </w:r>
    </w:p>
    <w:p>
      <w:pPr>
        <w:sectPr>
          <w:pgSz w:w="11900" w:h="16838" w:orient="portrait"/>
          <w:cols w:equalWidth="0" w:num="1">
            <w:col w:w="9026"/>
          </w:cols>
          <w:pgMar w:left="1440" w:top="1440" w:right="1440" w:bottom="148" w:gutter="0" w:footer="0" w:header="0"/>
        </w:sectPr>
      </w:pPr>
    </w:p>
    <w:p>
      <w:pPr>
        <w:spacing w:after="0" w:line="10" w:lineRule="exact"/>
        <w:rPr>
          <w:sz w:val="20"/>
          <w:szCs w:val="20"/>
          <w:color w:val="auto"/>
        </w:rPr>
      </w:pPr>
    </w:p>
    <w:p>
      <w:pPr>
        <w:jc w:val="center"/>
        <w:ind w:left="1640" w:right="1626"/>
        <w:spacing w:after="0" w:line="236" w:lineRule="auto"/>
        <w:rPr>
          <w:sz w:val="20"/>
          <w:szCs w:val="20"/>
          <w:color w:val="auto"/>
        </w:rPr>
      </w:pPr>
      <w:r>
        <w:rPr>
          <w:rFonts w:ascii="Times New Roman" w:cs="Times New Roman" w:eastAsia="Times New Roman" w:hAnsi="Times New Roman"/>
          <w:sz w:val="18"/>
          <w:szCs w:val="18"/>
          <w:i w:val="1"/>
          <w:iCs w:val="1"/>
          <w:color w:val="auto"/>
        </w:rPr>
        <w:t>Veterans' Entitlements (Statements of Principles—Cumulative Equivalent Dose) Amendment Determination 2017 (No. 58 of 2017) Veterans' Entitlements Act 1986</w:t>
      </w:r>
    </w:p>
    <w:p>
      <w:pPr>
        <w:sectPr>
          <w:pgSz w:w="11900" w:h="16838" w:orient="portrait"/>
          <w:cols w:equalWidth="0" w:num="1">
            <w:col w:w="9026"/>
          </w:cols>
          <w:pgMar w:left="1440" w:top="1440" w:right="1440" w:bottom="148" w:gutter="0" w:footer="0" w:header="0"/>
          <w:type w:val="continuous"/>
        </w:sectPr>
      </w:pPr>
    </w:p>
    <w:bookmarkStart w:id="2" w:name="page3"/>
    <w:bookmarkEnd w:id="2"/>
    <w:p>
      <w:pPr>
        <w:spacing w:after="0" w:line="200" w:lineRule="exact"/>
        <w:rPr>
          <w:sz w:val="20"/>
          <w:szCs w:val="20"/>
          <w:color w:val="auto"/>
        </w:rPr>
      </w:pPr>
    </w:p>
    <w:p>
      <w:pPr>
        <w:spacing w:after="0" w:line="200" w:lineRule="exact"/>
        <w:rPr>
          <w:sz w:val="20"/>
          <w:szCs w:val="20"/>
          <w:color w:val="auto"/>
        </w:rPr>
      </w:pPr>
    </w:p>
    <w:p>
      <w:pPr>
        <w:spacing w:after="0" w:line="394" w:lineRule="exact"/>
        <w:rPr>
          <w:sz w:val="20"/>
          <w:szCs w:val="20"/>
          <w:color w:val="auto"/>
        </w:rPr>
      </w:pPr>
    </w:p>
    <w:p>
      <w:pPr>
        <w:ind w:left="1260" w:hanging="561"/>
        <w:spacing w:after="0"/>
        <w:tabs>
          <w:tab w:leader="none" w:pos="1260" w:val="left"/>
        </w:tabs>
        <w:numPr>
          <w:ilvl w:val="0"/>
          <w:numId w:val="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Name</w:t>
      </w:r>
    </w:p>
    <w:p>
      <w:pPr>
        <w:spacing w:after="0" w:line="185" w:lineRule="exact"/>
        <w:rPr>
          <w:rFonts w:ascii="Times New Roman" w:cs="Times New Roman" w:eastAsia="Times New Roman" w:hAnsi="Times New Roman"/>
          <w:sz w:val="24"/>
          <w:szCs w:val="24"/>
          <w:b w:val="1"/>
          <w:bCs w:val="1"/>
          <w:color w:val="auto"/>
        </w:rPr>
      </w:pPr>
    </w:p>
    <w:p>
      <w:pPr>
        <w:jc w:val="both"/>
        <w:ind w:left="1260" w:right="706"/>
        <w:spacing w:after="0" w:line="236"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color w:val="auto"/>
        </w:rPr>
        <w:t xml:space="preserve">This instrument is the </w:t>
      </w:r>
      <w:r>
        <w:rPr>
          <w:rFonts w:ascii="Times New Roman" w:cs="Times New Roman" w:eastAsia="Times New Roman" w:hAnsi="Times New Roman"/>
          <w:sz w:val="24"/>
          <w:szCs w:val="24"/>
          <w:i w:val="1"/>
          <w:iCs w:val="1"/>
          <w:color w:val="auto"/>
        </w:rPr>
        <w:t>Veterans' Entitlements (Statements of Principles—</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Cumulative Equivalent Dose) Amendment Determination 2017 (No. 58 of 2017)</w:t>
      </w:r>
      <w:r>
        <w:rPr>
          <w:rFonts w:ascii="Times New Roman" w:cs="Times New Roman" w:eastAsia="Times New Roman" w:hAnsi="Times New Roman"/>
          <w:sz w:val="24"/>
          <w:szCs w:val="24"/>
          <w:color w:val="auto"/>
        </w:rPr>
        <w:t>.</w:t>
      </w:r>
    </w:p>
    <w:p>
      <w:pPr>
        <w:spacing w:after="0" w:line="212" w:lineRule="exact"/>
        <w:rPr>
          <w:rFonts w:ascii="Times New Roman" w:cs="Times New Roman" w:eastAsia="Times New Roman" w:hAnsi="Times New Roman"/>
          <w:sz w:val="24"/>
          <w:szCs w:val="24"/>
          <w:b w:val="1"/>
          <w:bCs w:val="1"/>
          <w:color w:val="auto"/>
        </w:rPr>
      </w:pPr>
    </w:p>
    <w:p>
      <w:pPr>
        <w:ind w:left="1260" w:hanging="561"/>
        <w:spacing w:after="0"/>
        <w:tabs>
          <w:tab w:leader="none" w:pos="1260" w:val="left"/>
        </w:tabs>
        <w:numPr>
          <w:ilvl w:val="0"/>
          <w:numId w:val="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Commencement</w:t>
      </w:r>
    </w:p>
    <w:p>
      <w:pPr>
        <w:spacing w:after="0" w:line="172" w:lineRule="exact"/>
        <w:rPr>
          <w:rFonts w:ascii="Times New Roman" w:cs="Times New Roman" w:eastAsia="Times New Roman" w:hAnsi="Times New Roman"/>
          <w:sz w:val="24"/>
          <w:szCs w:val="24"/>
          <w:b w:val="1"/>
          <w:bCs w:val="1"/>
          <w:color w:val="auto"/>
        </w:rPr>
      </w:pPr>
    </w:p>
    <w:p>
      <w:pPr>
        <w:ind w:left="1260"/>
        <w:spacing w:after="0"/>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color w:val="auto"/>
        </w:rPr>
        <w:t>This instrument commences on 18 September 2017.</w:t>
      </w:r>
    </w:p>
    <w:p>
      <w:pPr>
        <w:spacing w:after="0" w:line="211" w:lineRule="exact"/>
        <w:rPr>
          <w:rFonts w:ascii="Times New Roman" w:cs="Times New Roman" w:eastAsia="Times New Roman" w:hAnsi="Times New Roman"/>
          <w:sz w:val="24"/>
          <w:szCs w:val="24"/>
          <w:b w:val="1"/>
          <w:bCs w:val="1"/>
          <w:color w:val="auto"/>
        </w:rPr>
      </w:pPr>
    </w:p>
    <w:p>
      <w:pPr>
        <w:ind w:left="1260" w:hanging="561"/>
        <w:spacing w:after="0"/>
        <w:tabs>
          <w:tab w:leader="none" w:pos="1260" w:val="left"/>
        </w:tabs>
        <w:numPr>
          <w:ilvl w:val="0"/>
          <w:numId w:val="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Authority</w:t>
      </w:r>
    </w:p>
    <w:p>
      <w:pPr>
        <w:spacing w:after="0" w:line="185" w:lineRule="exact"/>
        <w:rPr>
          <w:rFonts w:ascii="Times New Roman" w:cs="Times New Roman" w:eastAsia="Times New Roman" w:hAnsi="Times New Roman"/>
          <w:sz w:val="24"/>
          <w:szCs w:val="24"/>
          <w:b w:val="1"/>
          <w:bCs w:val="1"/>
          <w:color w:val="auto"/>
        </w:rPr>
      </w:pPr>
    </w:p>
    <w:p>
      <w:pPr>
        <w:ind w:left="1260" w:right="686"/>
        <w:spacing w:after="0" w:line="234"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color w:val="auto"/>
        </w:rPr>
        <w:t xml:space="preserve">This instrument is made under section 196B of the </w:t>
      </w:r>
      <w:r>
        <w:rPr>
          <w:rFonts w:ascii="Times New Roman" w:cs="Times New Roman" w:eastAsia="Times New Roman" w:hAnsi="Times New Roman"/>
          <w:sz w:val="24"/>
          <w:szCs w:val="24"/>
          <w:i w:val="1"/>
          <w:iCs w:val="1"/>
          <w:color w:val="auto"/>
        </w:rPr>
        <w:t>Veterans' Entitlements</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Act 1986</w:t>
      </w:r>
      <w:r>
        <w:rPr>
          <w:rFonts w:ascii="Times New Roman" w:cs="Times New Roman" w:eastAsia="Times New Roman" w:hAnsi="Times New Roman"/>
          <w:sz w:val="24"/>
          <w:szCs w:val="24"/>
          <w:color w:val="auto"/>
        </w:rPr>
        <w:t>.</w:t>
      </w:r>
    </w:p>
    <w:p>
      <w:pPr>
        <w:spacing w:after="0" w:line="213" w:lineRule="exact"/>
        <w:rPr>
          <w:rFonts w:ascii="Times New Roman" w:cs="Times New Roman" w:eastAsia="Times New Roman" w:hAnsi="Times New Roman"/>
          <w:sz w:val="24"/>
          <w:szCs w:val="24"/>
          <w:b w:val="1"/>
          <w:bCs w:val="1"/>
          <w:color w:val="auto"/>
        </w:rPr>
      </w:pPr>
    </w:p>
    <w:p>
      <w:pPr>
        <w:ind w:left="1260" w:hanging="561"/>
        <w:spacing w:after="0"/>
        <w:tabs>
          <w:tab w:leader="none" w:pos="1260" w:val="left"/>
        </w:tabs>
        <w:numPr>
          <w:ilvl w:val="0"/>
          <w:numId w:val="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Schedules</w:t>
      </w:r>
    </w:p>
    <w:p>
      <w:pPr>
        <w:spacing w:after="0" w:line="185" w:lineRule="exact"/>
        <w:rPr>
          <w:rFonts w:ascii="Times New Roman" w:cs="Times New Roman" w:eastAsia="Times New Roman" w:hAnsi="Times New Roman"/>
          <w:sz w:val="24"/>
          <w:szCs w:val="24"/>
          <w:b w:val="1"/>
          <w:bCs w:val="1"/>
          <w:color w:val="auto"/>
        </w:rPr>
      </w:pPr>
    </w:p>
    <w:p>
      <w:pPr>
        <w:ind w:left="1260" w:right="386"/>
        <w:spacing w:after="0" w:line="237"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color w:val="auto"/>
        </w:rPr>
        <w:t>Each instrument that is specified in a Schedule to this instrument is amended or repealed as set out in the applicable items in the Schedule concerned, and any other item in a Schedule to this instrument has effect according to its terms.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jc w:val="right"/>
        <w:ind w:right="346"/>
        <w:spacing w:after="0"/>
        <w:rPr>
          <w:sz w:val="20"/>
          <w:szCs w:val="20"/>
          <w:color w:val="auto"/>
        </w:rPr>
      </w:pPr>
      <w:r>
        <w:rPr>
          <w:rFonts w:ascii="Times New Roman" w:cs="Times New Roman" w:eastAsia="Times New Roman" w:hAnsi="Times New Roman"/>
          <w:sz w:val="18"/>
          <w:szCs w:val="18"/>
          <w:i w:val="1"/>
          <w:iCs w:val="1"/>
          <w:color w:val="auto"/>
        </w:rPr>
        <w:t>3 of 8</w:t>
      </w:r>
    </w:p>
    <w:p>
      <w:pPr>
        <w:sectPr>
          <w:pgSz w:w="11900" w:h="16838" w:orient="portrait"/>
          <w:cols w:equalWidth="0" w:num="1">
            <w:col w:w="9026"/>
          </w:cols>
          <w:pgMar w:left="1440" w:top="1440" w:right="1440" w:bottom="148" w:gutter="0" w:footer="0" w:header="0"/>
        </w:sectPr>
      </w:pPr>
    </w:p>
    <w:p>
      <w:pPr>
        <w:spacing w:after="0" w:line="10" w:lineRule="exact"/>
        <w:rPr>
          <w:sz w:val="20"/>
          <w:szCs w:val="20"/>
          <w:color w:val="auto"/>
        </w:rPr>
      </w:pPr>
    </w:p>
    <w:p>
      <w:pPr>
        <w:jc w:val="center"/>
        <w:ind w:left="1640" w:right="1626"/>
        <w:spacing w:after="0" w:line="236" w:lineRule="auto"/>
        <w:rPr>
          <w:sz w:val="20"/>
          <w:szCs w:val="20"/>
          <w:color w:val="auto"/>
        </w:rPr>
      </w:pPr>
      <w:r>
        <w:rPr>
          <w:rFonts w:ascii="Times New Roman" w:cs="Times New Roman" w:eastAsia="Times New Roman" w:hAnsi="Times New Roman"/>
          <w:sz w:val="18"/>
          <w:szCs w:val="18"/>
          <w:i w:val="1"/>
          <w:iCs w:val="1"/>
          <w:color w:val="auto"/>
        </w:rPr>
        <w:t>Veterans' Entitlements (Statements of Principles—Cumulative Equivalent Dose) Amendment Determination 2017 (No. 58 of 2017) Veterans' Entitlements Act 1986</w:t>
      </w:r>
    </w:p>
    <w:p>
      <w:pPr>
        <w:sectPr>
          <w:pgSz w:w="11900" w:h="16838" w:orient="portrait"/>
          <w:cols w:equalWidth="0" w:num="1">
            <w:col w:w="9026"/>
          </w:cols>
          <w:pgMar w:left="1440" w:top="1440" w:right="1440" w:bottom="148" w:gutter="0" w:footer="0" w:header="0"/>
          <w:type w:val="continuous"/>
        </w:sectPr>
      </w:pPr>
    </w:p>
    <w:bookmarkStart w:id="3" w:name="page4"/>
    <w:bookmarkEnd w:id="3"/>
    <w:p>
      <w:pPr>
        <w:ind w:left="360"/>
        <w:spacing w:after="0"/>
        <w:rPr>
          <w:sz w:val="20"/>
          <w:szCs w:val="20"/>
          <w:color w:val="auto"/>
        </w:rPr>
      </w:pPr>
      <w:r>
        <w:rPr>
          <w:rFonts w:ascii="Times New Roman" w:cs="Times New Roman" w:eastAsia="Times New Roman" w:hAnsi="Times New Roman"/>
          <w:sz w:val="19"/>
          <w:szCs w:val="19"/>
          <w:b w:val="1"/>
          <w:bCs w:val="1"/>
          <w:color w:val="auto"/>
        </w:rPr>
        <w:t xml:space="preserve">Schedule 1 </w:t>
      </w:r>
      <w:r>
        <w:rPr>
          <w:rFonts w:ascii="Times New Roman" w:cs="Times New Roman" w:eastAsia="Times New Roman" w:hAnsi="Times New Roman"/>
          <w:sz w:val="19"/>
          <w:szCs w:val="19"/>
          <w:color w:val="auto"/>
        </w:rPr>
        <w:t>- Amendments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353060</wp:posOffset>
                </wp:positionV>
                <wp:extent cx="5316855"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7.8pt" to="435.1pt,27.8pt" o:allowincell="f" strokecolor="#000000" strokeweight="0.72pt"/>
            </w:pict>
          </mc:Fallback>
        </mc:AlternateContent>
      </w:r>
    </w:p>
    <w:p>
      <w:pPr>
        <w:sectPr>
          <w:pgSz w:w="11900" w:h="16838" w:orient="portrait"/>
          <w:cols w:equalWidth="0" w:num="1">
            <w:col w:w="9026"/>
          </w:cols>
          <w:pgMar w:left="1440" w:top="754" w:right="1440" w:bottom="14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40"/>
          <w:szCs w:val="40"/>
          <w:b w:val="1"/>
          <w:bCs w:val="1"/>
          <w:color w:val="auto"/>
        </w:rPr>
        <w:t>Schedule 1—Amendments</w:t>
      </w:r>
    </w:p>
    <w:p>
      <w:pPr>
        <w:spacing w:after="0" w:line="217" w:lineRule="exact"/>
        <w:rPr>
          <w:sz w:val="20"/>
          <w:szCs w:val="20"/>
          <w:color w:val="auto"/>
        </w:rPr>
      </w:pPr>
    </w:p>
    <w:p>
      <w:pPr>
        <w:ind w:left="360" w:right="866"/>
        <w:spacing w:after="0" w:line="234" w:lineRule="auto"/>
        <w:rPr>
          <w:sz w:val="20"/>
          <w:szCs w:val="20"/>
          <w:color w:val="auto"/>
        </w:rPr>
      </w:pPr>
      <w:r>
        <w:rPr>
          <w:rFonts w:ascii="Times New Roman" w:cs="Times New Roman" w:eastAsia="Times New Roman" w:hAnsi="Times New Roman"/>
          <w:sz w:val="32"/>
          <w:szCs w:val="32"/>
          <w:b w:val="1"/>
          <w:bCs w:val="1"/>
          <w:color w:val="auto"/>
        </w:rPr>
        <w:t>Part 1—Amendments of clause 9 of certain Statements of Principles</w:t>
      </w:r>
    </w:p>
    <w:p>
      <w:pPr>
        <w:spacing w:after="0" w:line="220" w:lineRule="exact"/>
        <w:rPr>
          <w:sz w:val="20"/>
          <w:szCs w:val="20"/>
          <w:color w:val="auto"/>
        </w:rPr>
      </w:pPr>
    </w:p>
    <w:p>
      <w:pPr>
        <w:ind w:left="780" w:hanging="422"/>
        <w:spacing w:after="0"/>
        <w:tabs>
          <w:tab w:leader="none" w:pos="780" w:val="left"/>
        </w:tabs>
        <w:numPr>
          <w:ilvl w:val="0"/>
          <w:numId w:val="2"/>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Amendments of definition</w:t>
      </w:r>
    </w:p>
    <w:p>
      <w:pPr>
        <w:spacing w:after="0" w:line="88" w:lineRule="exact"/>
        <w:rPr>
          <w:rFonts w:ascii="Times New Roman" w:cs="Times New Roman" w:eastAsia="Times New Roman" w:hAnsi="Times New Roman"/>
          <w:sz w:val="24"/>
          <w:szCs w:val="24"/>
          <w:b w:val="1"/>
          <w:bCs w:val="1"/>
          <w:color w:val="auto"/>
        </w:rPr>
      </w:pPr>
    </w:p>
    <w:p>
      <w:pPr>
        <w:ind w:left="780" w:right="666"/>
        <w:spacing w:after="0" w:line="236"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 xml:space="preserve">Omit the definition of </w:t>
      </w:r>
      <w:r>
        <w:rPr>
          <w:rFonts w:ascii="Times New Roman" w:cs="Times New Roman" w:eastAsia="Times New Roman" w:hAnsi="Times New Roman"/>
          <w:sz w:val="22"/>
          <w:szCs w:val="22"/>
          <w:b w:val="1"/>
          <w:bCs w:val="1"/>
          <w:color w:val="auto"/>
        </w:rPr>
        <w:t>"cumulative equivalent dose"</w:t>
      </w:r>
      <w:r>
        <w:rPr>
          <w:rFonts w:ascii="Times New Roman" w:cs="Times New Roman" w:eastAsia="Times New Roman" w:hAnsi="Times New Roman"/>
          <w:sz w:val="22"/>
          <w:szCs w:val="22"/>
          <w:color w:val="auto"/>
        </w:rPr>
        <w:t xml:space="preserve"> in clause 9 of the Statements of Principles to be amended as listed in paragraph 2 of this Part and substitute the following:</w:t>
      </w:r>
    </w:p>
    <w:p>
      <w:pPr>
        <w:spacing w:after="0" w:line="192" w:lineRule="exact"/>
        <w:rPr>
          <w:sz w:val="20"/>
          <w:szCs w:val="20"/>
          <w:color w:val="auto"/>
        </w:rPr>
      </w:pPr>
    </w:p>
    <w:p>
      <w:pPr>
        <w:ind w:left="1500" w:right="426"/>
        <w:spacing w:after="0" w:line="238" w:lineRule="auto"/>
        <w:rPr>
          <w:sz w:val="20"/>
          <w:szCs w:val="20"/>
          <w:color w:val="auto"/>
        </w:rPr>
      </w:pPr>
      <w:r>
        <w:rPr>
          <w:rFonts w:ascii="Times New Roman" w:cs="Times New Roman" w:eastAsia="Times New Roman" w:hAnsi="Times New Roman"/>
          <w:sz w:val="22"/>
          <w:szCs w:val="22"/>
          <w:b w:val="1"/>
          <w:bCs w:val="1"/>
          <w:color w:val="auto"/>
        </w:rPr>
        <w:t xml:space="preserve">"cumulative equivalent dose" </w:t>
      </w:r>
      <w:r>
        <w:rPr>
          <w:rFonts w:ascii="Times New Roman" w:cs="Times New Roman" w:eastAsia="Times New Roman" w:hAnsi="Times New Roman"/>
          <w:sz w:val="22"/>
          <w:szCs w:val="22"/>
          <w:color w:val="auto"/>
        </w:rPr>
        <w:t>means the total dose of ionising radiation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received by the particular organ or tissue from external exposure, internal exposure or both, apart from normal background radiation exposure in Australia, calculated in accordance with the methodology set out in </w:t>
      </w:r>
      <w:r>
        <w:rPr>
          <w:rFonts w:ascii="Times New Roman" w:cs="Times New Roman" w:eastAsia="Times New Roman" w:hAnsi="Times New Roman"/>
          <w:sz w:val="22"/>
          <w:szCs w:val="22"/>
          <w:i w:val="1"/>
          <w:iCs w:val="1"/>
          <w:color w:val="auto"/>
        </w:rPr>
        <w:t>Guide to calculation of</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'cumulative equivalent dose' for the purpose of applying ionising radiation factors contained in Statements of Principles determined under Part XIA of the Veterans' Entitlements Act 1986 (Cth)</w:t>
      </w:r>
      <w:r>
        <w:rPr>
          <w:rFonts w:ascii="Times New Roman" w:cs="Times New Roman" w:eastAsia="Times New Roman" w:hAnsi="Times New Roman"/>
          <w:sz w:val="22"/>
          <w:szCs w:val="22"/>
          <w:color w:val="auto"/>
        </w:rPr>
        <w:t>, Australian Radiation Protection and</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Nuclear Safety Agency, as in force on 2 August 2017;</w:t>
      </w:r>
    </w:p>
    <w:p>
      <w:pPr>
        <w:spacing w:after="0" w:line="142" w:lineRule="exact"/>
        <w:rPr>
          <w:sz w:val="20"/>
          <w:szCs w:val="20"/>
          <w:color w:val="auto"/>
        </w:rPr>
      </w:pPr>
    </w:p>
    <w:p>
      <w:pPr>
        <w:ind w:left="2200" w:right="506" w:hanging="710"/>
        <w:spacing w:after="0" w:line="253" w:lineRule="auto"/>
        <w:tabs>
          <w:tab w:leader="none" w:pos="2180" w:val="left"/>
        </w:tabs>
        <w:rPr>
          <w:sz w:val="20"/>
          <w:szCs w:val="20"/>
          <w:color w:val="auto"/>
        </w:rPr>
      </w:pPr>
      <w:r>
        <w:rPr>
          <w:rFonts w:ascii="Times New Roman" w:cs="Times New Roman" w:eastAsia="Times New Roman" w:hAnsi="Times New Roman"/>
          <w:sz w:val="18"/>
          <w:szCs w:val="18"/>
          <w:color w:val="auto"/>
        </w:rPr>
        <w:t>Note 1:</w:t>
      </w:r>
      <w:r>
        <w:rPr>
          <w:sz w:val="20"/>
          <w:szCs w:val="20"/>
          <w:color w:val="auto"/>
        </w:rPr>
        <w:tab/>
      </w:r>
      <w:r>
        <w:rPr>
          <w:rFonts w:ascii="Times New Roman" w:cs="Times New Roman" w:eastAsia="Times New Roman" w:hAnsi="Times New Roman"/>
          <w:sz w:val="17"/>
          <w:szCs w:val="17"/>
          <w:color w:val="auto"/>
        </w:rPr>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pPr>
        <w:spacing w:after="0" w:line="124" w:lineRule="exact"/>
        <w:rPr>
          <w:sz w:val="20"/>
          <w:szCs w:val="20"/>
          <w:color w:val="auto"/>
        </w:rPr>
      </w:pPr>
    </w:p>
    <w:p>
      <w:pPr>
        <w:jc w:val="both"/>
        <w:ind w:left="2200" w:right="446" w:hanging="710"/>
        <w:spacing w:after="0" w:line="236" w:lineRule="auto"/>
        <w:tabs>
          <w:tab w:leader="none" w:pos="2180" w:val="left"/>
        </w:tabs>
        <w:rPr>
          <w:sz w:val="20"/>
          <w:szCs w:val="20"/>
          <w:color w:val="auto"/>
        </w:rPr>
      </w:pPr>
      <w:r>
        <w:rPr>
          <w:rFonts w:ascii="Times New Roman" w:cs="Times New Roman" w:eastAsia="Times New Roman" w:hAnsi="Times New Roman"/>
          <w:sz w:val="18"/>
          <w:szCs w:val="18"/>
          <w:color w:val="auto"/>
        </w:rPr>
        <w:t>Note 2:</w:t>
        <w:tab/>
        <w:t>For the purpose of dose reconstruction, dose is calculated as an average over the mass of a specific tissue or organ. If a tissue is exposed to multiple sources of ionising radiation, the various dose estimates for each type of radiation must be combined.</w:t>
      </w:r>
    </w:p>
    <w:p>
      <w:pPr>
        <w:spacing w:after="0" w:line="222" w:lineRule="exact"/>
        <w:rPr>
          <w:sz w:val="20"/>
          <w:szCs w:val="20"/>
          <w:color w:val="auto"/>
        </w:rPr>
      </w:pPr>
    </w:p>
    <w:p>
      <w:pPr>
        <w:ind w:left="780" w:hanging="422"/>
        <w:spacing w:after="0"/>
        <w:tabs>
          <w:tab w:leader="none" w:pos="780" w:val="left"/>
        </w:tabs>
        <w:numPr>
          <w:ilvl w:val="0"/>
          <w:numId w:val="3"/>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Statements of Principles to be amended:</w:t>
      </w:r>
    </w:p>
    <w:p>
      <w:pPr>
        <w:spacing w:after="0" w:line="275" w:lineRule="exact"/>
        <w:rPr>
          <w:rFonts w:ascii="Times New Roman" w:cs="Times New Roman" w:eastAsia="Times New Roman" w:hAnsi="Times New Roman"/>
          <w:sz w:val="24"/>
          <w:szCs w:val="24"/>
          <w:b w:val="1"/>
          <w:bCs w:val="1"/>
          <w:color w:val="auto"/>
        </w:rPr>
      </w:pPr>
    </w:p>
    <w:p>
      <w:pPr>
        <w:jc w:val="both"/>
        <w:ind w:left="780" w:right="2166"/>
        <w:spacing w:after="0" w:line="237"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Statement of Principles concerning acoustic neuroma No. 29 of 2011 Statement of Principles concerning acoustic neuroma No. 30 of 2011</w:t>
      </w:r>
    </w:p>
    <w:p>
      <w:pPr>
        <w:spacing w:after="0" w:line="21" w:lineRule="exact"/>
        <w:rPr>
          <w:rFonts w:ascii="Times New Roman" w:cs="Times New Roman" w:eastAsia="Times New Roman" w:hAnsi="Times New Roman"/>
          <w:sz w:val="24"/>
          <w:szCs w:val="24"/>
          <w:b w:val="1"/>
          <w:bCs w:val="1"/>
          <w:color w:val="auto"/>
        </w:rPr>
      </w:pPr>
    </w:p>
    <w:p>
      <w:pPr>
        <w:ind w:left="780" w:right="686"/>
        <w:spacing w:after="0" w:line="237"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Statement of Principles concerning acute lymphoblastic leukaemia No. 75 of 2012, as amended</w:t>
      </w:r>
    </w:p>
    <w:p>
      <w:pPr>
        <w:spacing w:after="0" w:line="18" w:lineRule="exact"/>
        <w:rPr>
          <w:rFonts w:ascii="Times New Roman" w:cs="Times New Roman" w:eastAsia="Times New Roman" w:hAnsi="Times New Roman"/>
          <w:sz w:val="24"/>
          <w:szCs w:val="24"/>
          <w:b w:val="1"/>
          <w:bCs w:val="1"/>
          <w:color w:val="auto"/>
        </w:rPr>
      </w:pPr>
    </w:p>
    <w:p>
      <w:pPr>
        <w:ind w:left="780" w:right="986"/>
        <w:spacing w:after="0" w:line="244"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Statement of Principles concerning acute lymphoblastic leukaemia No. 76 of 2012 Statement of Principles concerning adenocarcinoma of the kidney No. 9 of 2013 Statement of Principles concerning adenocarcinoma of the kidney No. 10 of 2013 Statement of Principles concerning Alzheimer-type dementia No. 22 of 2010, as amended</w:t>
      </w:r>
    </w:p>
    <w:p>
      <w:pPr>
        <w:spacing w:after="0" w:line="14" w:lineRule="exact"/>
        <w:rPr>
          <w:rFonts w:ascii="Times New Roman" w:cs="Times New Roman" w:eastAsia="Times New Roman" w:hAnsi="Times New Roman"/>
          <w:sz w:val="24"/>
          <w:szCs w:val="24"/>
          <w:b w:val="1"/>
          <w:bCs w:val="1"/>
          <w:color w:val="auto"/>
        </w:rPr>
      </w:pPr>
    </w:p>
    <w:p>
      <w:pPr>
        <w:ind w:left="780" w:right="1626"/>
        <w:spacing w:after="0" w:line="243"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Statement of Principles concerning angle-closure glaucoma No. 25 of 2012 Statement of Principles concerning angle-closure glaucoma No. 26 of 2012 Statement of Principles concerning aortic stenosis No. 21 of 2013 Statement of Principles concerning aortic stenosis No. 22 of 2013</w:t>
      </w:r>
    </w:p>
    <w:p>
      <w:pPr>
        <w:spacing w:after="0" w:line="14" w:lineRule="exact"/>
        <w:rPr>
          <w:rFonts w:ascii="Times New Roman" w:cs="Times New Roman" w:eastAsia="Times New Roman" w:hAnsi="Times New Roman"/>
          <w:sz w:val="24"/>
          <w:szCs w:val="24"/>
          <w:b w:val="1"/>
          <w:bCs w:val="1"/>
          <w:color w:val="auto"/>
        </w:rPr>
      </w:pPr>
    </w:p>
    <w:p>
      <w:pPr>
        <w:ind w:left="780" w:right="486"/>
        <w:spacing w:after="0" w:line="238"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Statement of Principles concerning atherosclerotic peripheral vascular disease No. 23 of 2012</w:t>
      </w:r>
    </w:p>
    <w:p>
      <w:pPr>
        <w:spacing w:after="0" w:line="19" w:lineRule="exact"/>
        <w:rPr>
          <w:rFonts w:ascii="Times New Roman" w:cs="Times New Roman" w:eastAsia="Times New Roman" w:hAnsi="Times New Roman"/>
          <w:sz w:val="24"/>
          <w:szCs w:val="24"/>
          <w:b w:val="1"/>
          <w:bCs w:val="1"/>
          <w:color w:val="auto"/>
        </w:rPr>
      </w:pPr>
    </w:p>
    <w:p>
      <w:pPr>
        <w:ind w:left="780" w:right="486"/>
        <w:spacing w:after="0" w:line="237"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Statement of Principles concerning atherosclerotic peripheral vascular disease No. 24 of 2012</w:t>
      </w:r>
    </w:p>
    <w:p>
      <w:pPr>
        <w:spacing w:after="0" w:line="21" w:lineRule="exact"/>
        <w:rPr>
          <w:rFonts w:ascii="Times New Roman" w:cs="Times New Roman" w:eastAsia="Times New Roman" w:hAnsi="Times New Roman"/>
          <w:sz w:val="24"/>
          <w:szCs w:val="24"/>
          <w:b w:val="1"/>
          <w:bCs w:val="1"/>
          <w:color w:val="auto"/>
        </w:rPr>
      </w:pPr>
    </w:p>
    <w:p>
      <w:pPr>
        <w:ind w:left="780" w:right="706"/>
        <w:spacing w:after="0" w:line="242"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Statement of Principles concerning carotid arterial disease No. 37 of 2012 Statement of Principles concerning carotid arterial disease No. 38 of 2012 Statement of Principles concerning cerebral meningioma No. 19 of 2009, as amended Statement of Principles concerning cerebral meningioma No. 20 of 2009, as amended</w:t>
      </w:r>
    </w:p>
    <w:p>
      <w:pPr>
        <w:spacing w:after="0" w:line="228" w:lineRule="exact"/>
        <w:rPr>
          <w:sz w:val="20"/>
          <w:szCs w:val="20"/>
          <w:color w:val="auto"/>
        </w:rPr>
      </w:pPr>
    </w:p>
    <w:p>
      <w:pPr>
        <w:jc w:val="right"/>
        <w:ind w:right="346"/>
        <w:spacing w:after="0"/>
        <w:rPr>
          <w:sz w:val="20"/>
          <w:szCs w:val="20"/>
          <w:color w:val="auto"/>
        </w:rPr>
      </w:pPr>
      <w:r>
        <w:rPr>
          <w:rFonts w:ascii="Times New Roman" w:cs="Times New Roman" w:eastAsia="Times New Roman" w:hAnsi="Times New Roman"/>
          <w:sz w:val="18"/>
          <w:szCs w:val="18"/>
          <w:i w:val="1"/>
          <w:iCs w:val="1"/>
          <w:color w:val="auto"/>
        </w:rPr>
        <w:t>4 of 8</w:t>
      </w:r>
    </w:p>
    <w:p>
      <w:pPr>
        <w:sectPr>
          <w:pgSz w:w="11900" w:h="16838" w:orient="portrait"/>
          <w:cols w:equalWidth="0" w:num="1">
            <w:col w:w="9026"/>
          </w:cols>
          <w:pgMar w:left="1440" w:top="754" w:right="1440" w:bottom="148" w:gutter="0" w:footer="0" w:header="0"/>
          <w:type w:val="continuous"/>
        </w:sectPr>
      </w:pPr>
    </w:p>
    <w:p>
      <w:pPr>
        <w:spacing w:after="0" w:line="10" w:lineRule="exact"/>
        <w:rPr>
          <w:sz w:val="20"/>
          <w:szCs w:val="20"/>
          <w:color w:val="auto"/>
        </w:rPr>
      </w:pPr>
    </w:p>
    <w:p>
      <w:pPr>
        <w:jc w:val="center"/>
        <w:ind w:left="1640" w:right="1626"/>
        <w:spacing w:after="0" w:line="236" w:lineRule="auto"/>
        <w:rPr>
          <w:sz w:val="20"/>
          <w:szCs w:val="20"/>
          <w:color w:val="auto"/>
        </w:rPr>
      </w:pPr>
      <w:r>
        <w:rPr>
          <w:rFonts w:ascii="Times New Roman" w:cs="Times New Roman" w:eastAsia="Times New Roman" w:hAnsi="Times New Roman"/>
          <w:sz w:val="18"/>
          <w:szCs w:val="18"/>
          <w:i w:val="1"/>
          <w:iCs w:val="1"/>
          <w:color w:val="auto"/>
        </w:rPr>
        <w:t>Veterans' Entitlements (Statements of Principles—Cumulative Equivalent Dose) Amendment Determination 2017 (No. 58 of 2017) Veterans' Entitlements Act 1986</w:t>
      </w:r>
    </w:p>
    <w:p>
      <w:pPr>
        <w:sectPr>
          <w:pgSz w:w="11900" w:h="16838" w:orient="portrait"/>
          <w:cols w:equalWidth="0" w:num="1">
            <w:col w:w="9026"/>
          </w:cols>
          <w:pgMar w:left="1440" w:top="754" w:right="1440" w:bottom="148" w:gutter="0" w:footer="0" w:header="0"/>
          <w:type w:val="continuous"/>
        </w:sectPr>
      </w:pPr>
    </w:p>
    <w:bookmarkStart w:id="4" w:name="page5"/>
    <w:bookmarkEnd w:id="4"/>
    <w:p>
      <w:pPr>
        <w:ind w:left="360"/>
        <w:spacing w:after="0"/>
        <w:rPr>
          <w:sz w:val="20"/>
          <w:szCs w:val="20"/>
          <w:color w:val="auto"/>
        </w:rPr>
      </w:pPr>
      <w:r>
        <w:rPr>
          <w:rFonts w:ascii="Times New Roman" w:cs="Times New Roman" w:eastAsia="Times New Roman" w:hAnsi="Times New Roman"/>
          <w:sz w:val="19"/>
          <w:szCs w:val="19"/>
          <w:b w:val="1"/>
          <w:bCs w:val="1"/>
          <w:color w:val="auto"/>
        </w:rPr>
        <w:t xml:space="preserve">Schedule 1 </w:t>
      </w:r>
      <w:r>
        <w:rPr>
          <w:rFonts w:ascii="Times New Roman" w:cs="Times New Roman" w:eastAsia="Times New Roman" w:hAnsi="Times New Roman"/>
          <w:sz w:val="19"/>
          <w:szCs w:val="19"/>
          <w:color w:val="auto"/>
        </w:rPr>
        <w:t>- Amendments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353060</wp:posOffset>
                </wp:positionV>
                <wp:extent cx="531685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7.8pt" to="435.1pt,27.8pt" o:allowincell="f" strokecolor="#000000" strokeweight="0.72pt"/>
            </w:pict>
          </mc:Fallback>
        </mc:AlternateContent>
      </w:r>
    </w:p>
    <w:p>
      <w:pPr>
        <w:sectPr>
          <w:pgSz w:w="11900" w:h="16838" w:orient="portrait"/>
          <w:cols w:equalWidth="0" w:num="1">
            <w:col w:w="9026"/>
          </w:cols>
          <w:pgMar w:left="1440" w:top="754" w:right="1440" w:bottom="14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p>
      <w:pPr>
        <w:ind w:left="780" w:right="626"/>
        <w:spacing w:after="0" w:line="243" w:lineRule="auto"/>
        <w:rPr>
          <w:sz w:val="20"/>
          <w:szCs w:val="20"/>
          <w:color w:val="auto"/>
        </w:rPr>
      </w:pPr>
      <w:r>
        <w:rPr>
          <w:rFonts w:ascii="Times New Roman" w:cs="Times New Roman" w:eastAsia="Times New Roman" w:hAnsi="Times New Roman"/>
          <w:sz w:val="22"/>
          <w:szCs w:val="22"/>
          <w:color w:val="auto"/>
        </w:rPr>
        <w:t>Statement of Principles concerning cerebrovascular accident No. 65 of 2015 Statement of Principles concerning cerebrovascular accident No. 66 of 2015 Statement of Principles concerning chronic gastritis and chronic gastropathy No. 25 of 2013</w:t>
      </w:r>
    </w:p>
    <w:p>
      <w:pPr>
        <w:spacing w:after="0" w:line="17" w:lineRule="exact"/>
        <w:rPr>
          <w:sz w:val="20"/>
          <w:szCs w:val="20"/>
          <w:color w:val="auto"/>
        </w:rPr>
      </w:pPr>
    </w:p>
    <w:p>
      <w:pPr>
        <w:ind w:left="780" w:right="62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chronic gastritis and chronic gastropathy No. 26 of 2013</w:t>
      </w:r>
    </w:p>
    <w:p>
      <w:pPr>
        <w:spacing w:after="0" w:line="7"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chronic myeloid leukaemia No. 47 of 2014</w:t>
      </w:r>
    </w:p>
    <w:p>
      <w:pPr>
        <w:spacing w:after="0" w:line="9"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chronic myeloid leukaemia No. 48 of 2014</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chronic pancreatitis No. 104 of 2011</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chronic pancreatitis No. 105 of 2011</w:t>
      </w:r>
    </w:p>
    <w:p>
      <w:pPr>
        <w:spacing w:after="0" w:line="9"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erectile dysfunction No. 43 of 2013</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erectile dysfunction No. 44 of 2013</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fibrosing interstitial lung disease No. 53 of 2013</w:t>
      </w:r>
    </w:p>
    <w:p>
      <w:pPr>
        <w:spacing w:after="0" w:line="9"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fibrosing interstitial lung disease No. 54 of 2013</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gastric ulcer and duodenal ulcer No. 61 of 2015</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gastric ulcer and duodenal ulcer No. 62 of 2015</w:t>
      </w:r>
    </w:p>
    <w:p>
      <w:pPr>
        <w:spacing w:after="0" w:line="9"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goitre No. 23 of 2013</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goitre No. 24 of 2013</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Graves' disease No. 33 of 2013</w:t>
      </w:r>
    </w:p>
    <w:p>
      <w:pPr>
        <w:spacing w:after="0" w:line="9"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Graves' disease No. 34 of 2013</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Hashimoto's thyroiditis No. 31 of 2013</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Hashimoto's thyroiditis No. 32 of 2013</w:t>
      </w:r>
    </w:p>
    <w:p>
      <w:pPr>
        <w:spacing w:after="0" w:line="9"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heart block No. 1 of 2014</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heart block No. 2 of 2014</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hypothyroidism No. 29 of 2013</w:t>
      </w:r>
    </w:p>
    <w:p>
      <w:pPr>
        <w:spacing w:after="0" w:line="9"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hypothyroidism No. 30 of 2013</w:t>
      </w:r>
    </w:p>
    <w:p>
      <w:pPr>
        <w:spacing w:after="0" w:line="18" w:lineRule="exact"/>
        <w:rPr>
          <w:sz w:val="20"/>
          <w:szCs w:val="20"/>
          <w:color w:val="auto"/>
        </w:rPr>
      </w:pPr>
    </w:p>
    <w:p>
      <w:pPr>
        <w:ind w:left="780" w:right="566"/>
        <w:spacing w:after="0" w:line="244"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bile duct No. 69 of 2015 Statement of Principles concerning malignant neoplasm of the bile duct No. 70 of 2015 Statement of Principles concerning malignant neoplasm of the bladder No. 96 of 2011 Statement of Principles concerning malignant neoplasm of the bladder No. 97 of 2011 Statement of Principles concerning malignant neoplasm of bone and articular cartilage No. 106 of 2011</w:t>
      </w:r>
    </w:p>
    <w:p>
      <w:pPr>
        <w:spacing w:after="0" w:line="17" w:lineRule="exact"/>
        <w:rPr>
          <w:sz w:val="20"/>
          <w:szCs w:val="20"/>
          <w:color w:val="auto"/>
        </w:rPr>
      </w:pPr>
    </w:p>
    <w:p>
      <w:pPr>
        <w:ind w:left="780" w:right="62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malignant neoplasm of bone and articular cartilage No. 107 of 2011</w:t>
      </w:r>
    </w:p>
    <w:p>
      <w:pPr>
        <w:spacing w:after="0" w:line="21" w:lineRule="exact"/>
        <w:rPr>
          <w:sz w:val="20"/>
          <w:szCs w:val="20"/>
          <w:color w:val="auto"/>
        </w:rPr>
      </w:pPr>
    </w:p>
    <w:p>
      <w:pPr>
        <w:ind w:left="780" w:right="446"/>
        <w:spacing w:after="0" w:line="243"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breast No. 96 of 2014 Statement of Principles concerning malignant neoplasm of the breast No. 97 of 2014 Statement of Principles concerning malignant neoplasm of the cerebral meninges No. 21 of 2009, as amended</w:t>
      </w:r>
    </w:p>
    <w:p>
      <w:pPr>
        <w:spacing w:after="0" w:line="15" w:lineRule="exact"/>
        <w:rPr>
          <w:sz w:val="20"/>
          <w:szCs w:val="20"/>
          <w:color w:val="auto"/>
        </w:rPr>
      </w:pPr>
    </w:p>
    <w:p>
      <w:pPr>
        <w:ind w:left="780" w:right="44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cerebral meninges No. 22 of 2009, as amended</w:t>
      </w:r>
    </w:p>
    <w:p>
      <w:pPr>
        <w:spacing w:after="0" w:line="21" w:lineRule="exact"/>
        <w:rPr>
          <w:sz w:val="20"/>
          <w:szCs w:val="20"/>
          <w:color w:val="auto"/>
        </w:rPr>
      </w:pPr>
    </w:p>
    <w:p>
      <w:pPr>
        <w:ind w:left="780" w:right="82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colorectum No. 37 of 2013</w:t>
      </w:r>
    </w:p>
    <w:p>
      <w:pPr>
        <w:spacing w:after="0" w:line="19" w:lineRule="exact"/>
        <w:rPr>
          <w:sz w:val="20"/>
          <w:szCs w:val="20"/>
          <w:color w:val="auto"/>
        </w:rPr>
      </w:pPr>
    </w:p>
    <w:p>
      <w:pPr>
        <w:ind w:left="780" w:right="826"/>
        <w:spacing w:after="0" w:line="238"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colorectum No. 38 of 2013</w:t>
      </w:r>
    </w:p>
    <w:p>
      <w:pPr>
        <w:spacing w:after="0" w:line="19" w:lineRule="exact"/>
        <w:rPr>
          <w:sz w:val="20"/>
          <w:szCs w:val="20"/>
          <w:color w:val="auto"/>
        </w:rPr>
      </w:pPr>
    </w:p>
    <w:p>
      <w:pPr>
        <w:ind w:left="780" w:right="526"/>
        <w:spacing w:after="0" w:line="244"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liver No. 21 of 2011 Statement of Principles concerning malignant neoplasm of the liver No. 22 of 2011 Statement of Principles concerning malignant neoplasm of the lung No. 92 of 2014 Statement of Principles concerning malignant neoplasm of the lung No. 93 of 2014 Statement of Principles concerning malignant neoplasm of the ovary No. 70 of 2009, as amended</w:t>
      </w:r>
    </w:p>
    <w:p>
      <w:pPr>
        <w:spacing w:after="0" w:line="70" w:lineRule="exact"/>
        <w:rPr>
          <w:sz w:val="20"/>
          <w:szCs w:val="20"/>
          <w:color w:val="auto"/>
        </w:rPr>
      </w:pPr>
    </w:p>
    <w:p>
      <w:pPr>
        <w:jc w:val="right"/>
        <w:ind w:right="346"/>
        <w:spacing w:after="0"/>
        <w:rPr>
          <w:sz w:val="20"/>
          <w:szCs w:val="20"/>
          <w:color w:val="auto"/>
        </w:rPr>
      </w:pPr>
      <w:r>
        <w:rPr>
          <w:rFonts w:ascii="Times New Roman" w:cs="Times New Roman" w:eastAsia="Times New Roman" w:hAnsi="Times New Roman"/>
          <w:sz w:val="18"/>
          <w:szCs w:val="18"/>
          <w:i w:val="1"/>
          <w:iCs w:val="1"/>
          <w:color w:val="auto"/>
        </w:rPr>
        <w:t>5 of 8</w:t>
      </w:r>
    </w:p>
    <w:p>
      <w:pPr>
        <w:sectPr>
          <w:pgSz w:w="11900" w:h="16838" w:orient="portrait"/>
          <w:cols w:equalWidth="0" w:num="1">
            <w:col w:w="9026"/>
          </w:cols>
          <w:pgMar w:left="1440" w:top="754" w:right="1440" w:bottom="148" w:gutter="0" w:footer="0" w:header="0"/>
          <w:type w:val="continuous"/>
        </w:sectPr>
      </w:pPr>
    </w:p>
    <w:p>
      <w:pPr>
        <w:spacing w:after="0" w:line="10" w:lineRule="exact"/>
        <w:rPr>
          <w:sz w:val="20"/>
          <w:szCs w:val="20"/>
          <w:color w:val="auto"/>
        </w:rPr>
      </w:pPr>
    </w:p>
    <w:p>
      <w:pPr>
        <w:jc w:val="center"/>
        <w:ind w:left="1640" w:right="1626"/>
        <w:spacing w:after="0" w:line="236" w:lineRule="auto"/>
        <w:rPr>
          <w:sz w:val="20"/>
          <w:szCs w:val="20"/>
          <w:color w:val="auto"/>
        </w:rPr>
      </w:pPr>
      <w:r>
        <w:rPr>
          <w:rFonts w:ascii="Times New Roman" w:cs="Times New Roman" w:eastAsia="Times New Roman" w:hAnsi="Times New Roman"/>
          <w:sz w:val="18"/>
          <w:szCs w:val="18"/>
          <w:i w:val="1"/>
          <w:iCs w:val="1"/>
          <w:color w:val="auto"/>
        </w:rPr>
        <w:t>Veterans' Entitlements (Statements of Principles—Cumulative Equivalent Dose) Amendment Determination 2017 (No. 58 of 2017) Veterans' Entitlements Act 1986</w:t>
      </w:r>
    </w:p>
    <w:p>
      <w:pPr>
        <w:sectPr>
          <w:pgSz w:w="11900" w:h="16838" w:orient="portrait"/>
          <w:cols w:equalWidth="0" w:num="1">
            <w:col w:w="9026"/>
          </w:cols>
          <w:pgMar w:left="1440" w:top="754" w:right="1440" w:bottom="148" w:gutter="0" w:footer="0" w:header="0"/>
          <w:type w:val="continuous"/>
        </w:sectPr>
      </w:pPr>
    </w:p>
    <w:bookmarkStart w:id="5" w:name="page6"/>
    <w:bookmarkEnd w:id="5"/>
    <w:p>
      <w:pPr>
        <w:ind w:left="360"/>
        <w:spacing w:after="0"/>
        <w:rPr>
          <w:sz w:val="20"/>
          <w:szCs w:val="20"/>
          <w:color w:val="auto"/>
        </w:rPr>
      </w:pPr>
      <w:r>
        <w:rPr>
          <w:rFonts w:ascii="Times New Roman" w:cs="Times New Roman" w:eastAsia="Times New Roman" w:hAnsi="Times New Roman"/>
          <w:sz w:val="19"/>
          <w:szCs w:val="19"/>
          <w:b w:val="1"/>
          <w:bCs w:val="1"/>
          <w:color w:val="auto"/>
        </w:rPr>
        <w:t xml:space="preserve">Schedule 1 </w:t>
      </w:r>
      <w:r>
        <w:rPr>
          <w:rFonts w:ascii="Times New Roman" w:cs="Times New Roman" w:eastAsia="Times New Roman" w:hAnsi="Times New Roman"/>
          <w:sz w:val="19"/>
          <w:szCs w:val="19"/>
          <w:color w:val="auto"/>
        </w:rPr>
        <w:t>- Amendments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353060</wp:posOffset>
                </wp:positionV>
                <wp:extent cx="5316855"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7.8pt" to="435.1pt,27.8pt" o:allowincell="f" strokecolor="#000000" strokeweight="0.72pt"/>
            </w:pict>
          </mc:Fallback>
        </mc:AlternateContent>
      </w:r>
    </w:p>
    <w:p>
      <w:pPr>
        <w:sectPr>
          <w:pgSz w:w="11900" w:h="16838" w:orient="portrait"/>
          <w:cols w:equalWidth="0" w:num="1">
            <w:col w:w="9026"/>
          </w:cols>
          <w:pgMar w:left="1440" w:top="754" w:right="1440" w:bottom="14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p>
      <w:pPr>
        <w:ind w:left="780" w:right="526"/>
        <w:spacing w:after="0" w:line="238"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ovary No. 71 of 2009, as amended</w:t>
      </w:r>
    </w:p>
    <w:p>
      <w:pPr>
        <w:spacing w:after="0" w:line="19" w:lineRule="exact"/>
        <w:rPr>
          <w:sz w:val="20"/>
          <w:szCs w:val="20"/>
          <w:color w:val="auto"/>
        </w:rPr>
      </w:pPr>
    </w:p>
    <w:p>
      <w:pPr>
        <w:ind w:left="780" w:right="74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renal pelvis and ureter No. 98 of 2011</w:t>
      </w:r>
    </w:p>
    <w:p>
      <w:pPr>
        <w:spacing w:after="0" w:line="21" w:lineRule="exact"/>
        <w:rPr>
          <w:sz w:val="20"/>
          <w:szCs w:val="20"/>
          <w:color w:val="auto"/>
        </w:rPr>
      </w:pPr>
    </w:p>
    <w:p>
      <w:pPr>
        <w:ind w:left="780" w:right="74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renal pelvis and ureter No. 99 of 2011</w:t>
      </w:r>
    </w:p>
    <w:p>
      <w:pPr>
        <w:spacing w:after="0" w:line="19" w:lineRule="exact"/>
        <w:rPr>
          <w:sz w:val="20"/>
          <w:szCs w:val="20"/>
          <w:color w:val="auto"/>
        </w:rPr>
      </w:pPr>
    </w:p>
    <w:p>
      <w:pPr>
        <w:jc w:val="both"/>
        <w:ind w:left="780" w:right="586"/>
        <w:spacing w:after="0" w:line="238"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salivary gland No. 57 of 2015</w:t>
      </w:r>
    </w:p>
    <w:p>
      <w:pPr>
        <w:spacing w:after="0" w:line="19" w:lineRule="exact"/>
        <w:rPr>
          <w:sz w:val="20"/>
          <w:szCs w:val="20"/>
          <w:color w:val="auto"/>
        </w:rPr>
      </w:pPr>
    </w:p>
    <w:p>
      <w:pPr>
        <w:jc w:val="both"/>
        <w:ind w:left="780" w:right="56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salivary gland No. 58 of 2015</w:t>
      </w:r>
    </w:p>
    <w:p>
      <w:pPr>
        <w:spacing w:after="0" w:line="21" w:lineRule="exact"/>
        <w:rPr>
          <w:sz w:val="20"/>
          <w:szCs w:val="20"/>
          <w:color w:val="auto"/>
        </w:rPr>
      </w:pPr>
    </w:p>
    <w:p>
      <w:pPr>
        <w:jc w:val="both"/>
        <w:ind w:left="780" w:right="586"/>
        <w:spacing w:after="0" w:line="243"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stomach No. 58 of 2014 Statement of Principles concerning malignant neoplasm of the stomach No. 59 of 2014 Statement of Principles concerning malignant neoplasm of the thyroid gland No. 39 of 2014</w:t>
      </w:r>
    </w:p>
    <w:p>
      <w:pPr>
        <w:spacing w:after="0" w:line="15" w:lineRule="exact"/>
        <w:rPr>
          <w:sz w:val="20"/>
          <w:szCs w:val="20"/>
          <w:color w:val="auto"/>
        </w:rPr>
      </w:pPr>
    </w:p>
    <w:p>
      <w:pPr>
        <w:ind w:left="780" w:right="64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thyroid gland No. 40 of 2014</w:t>
      </w:r>
    </w:p>
    <w:p>
      <w:pPr>
        <w:spacing w:after="0" w:line="21" w:lineRule="exact"/>
        <w:rPr>
          <w:sz w:val="20"/>
          <w:szCs w:val="20"/>
          <w:color w:val="auto"/>
        </w:rPr>
      </w:pPr>
    </w:p>
    <w:p>
      <w:pPr>
        <w:ind w:left="780" w:right="44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malignant neoplasm of unknown primary site No. 80 of 2014</w:t>
      </w:r>
    </w:p>
    <w:p>
      <w:pPr>
        <w:spacing w:after="0" w:line="19" w:lineRule="exact"/>
        <w:rPr>
          <w:sz w:val="20"/>
          <w:szCs w:val="20"/>
          <w:color w:val="auto"/>
        </w:rPr>
      </w:pPr>
    </w:p>
    <w:p>
      <w:pPr>
        <w:ind w:left="780" w:right="446"/>
        <w:spacing w:after="0" w:line="238" w:lineRule="auto"/>
        <w:rPr>
          <w:sz w:val="20"/>
          <w:szCs w:val="20"/>
          <w:color w:val="auto"/>
        </w:rPr>
      </w:pPr>
      <w:r>
        <w:rPr>
          <w:rFonts w:ascii="Times New Roman" w:cs="Times New Roman" w:eastAsia="Times New Roman" w:hAnsi="Times New Roman"/>
          <w:sz w:val="22"/>
          <w:szCs w:val="22"/>
          <w:color w:val="auto"/>
        </w:rPr>
        <w:t>Statement of Principles concerning malignant neoplasm of unknown primary site No. 81 of 2014</w:t>
      </w:r>
    </w:p>
    <w:p>
      <w:pPr>
        <w:spacing w:after="0" w:line="8"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multiple sclerosis No. 100 of 2011</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myeloma No. 69 of 2012, as amended</w:t>
      </w:r>
    </w:p>
    <w:p>
      <w:pPr>
        <w:spacing w:after="0" w:line="9"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narcolepsy No. 7 of 2014</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narcolepsy No. 8 of 2014</w:t>
      </w:r>
    </w:p>
    <w:p>
      <w:pPr>
        <w:spacing w:after="0" w:line="18" w:lineRule="exact"/>
        <w:rPr>
          <w:sz w:val="20"/>
          <w:szCs w:val="20"/>
          <w:color w:val="auto"/>
        </w:rPr>
      </w:pPr>
    </w:p>
    <w:p>
      <w:pPr>
        <w:ind w:left="780" w:right="426"/>
        <w:spacing w:after="0" w:line="241" w:lineRule="auto"/>
        <w:rPr>
          <w:sz w:val="20"/>
          <w:szCs w:val="20"/>
          <w:color w:val="auto"/>
        </w:rPr>
      </w:pPr>
      <w:r>
        <w:rPr>
          <w:rFonts w:ascii="Times New Roman" w:cs="Times New Roman" w:eastAsia="Times New Roman" w:hAnsi="Times New Roman"/>
          <w:sz w:val="22"/>
          <w:szCs w:val="22"/>
          <w:color w:val="auto"/>
        </w:rPr>
        <w:t>Statement of Principles concerning neoplasm of the pituitary gland No. 53 of 2015 Statement of Principles concerning non-aneurysmal aortic atherosclerotic disease No. 15 of 2012</w:t>
      </w:r>
    </w:p>
    <w:p>
      <w:pPr>
        <w:spacing w:after="0" w:line="18" w:lineRule="exact"/>
        <w:rPr>
          <w:sz w:val="20"/>
          <w:szCs w:val="20"/>
          <w:color w:val="auto"/>
        </w:rPr>
      </w:pPr>
    </w:p>
    <w:p>
      <w:pPr>
        <w:ind w:left="780" w:right="426"/>
        <w:spacing w:after="0" w:line="238" w:lineRule="auto"/>
        <w:rPr>
          <w:sz w:val="20"/>
          <w:szCs w:val="20"/>
          <w:color w:val="auto"/>
        </w:rPr>
      </w:pPr>
      <w:r>
        <w:rPr>
          <w:rFonts w:ascii="Times New Roman" w:cs="Times New Roman" w:eastAsia="Times New Roman" w:hAnsi="Times New Roman"/>
          <w:sz w:val="22"/>
          <w:szCs w:val="22"/>
          <w:color w:val="auto"/>
        </w:rPr>
        <w:t>Statement of Principles concerning non-aneurysmal aortic atherosclerotic disease No. 16 of 2012</w:t>
      </w:r>
    </w:p>
    <w:p>
      <w:pPr>
        <w:spacing w:after="0" w:line="19" w:lineRule="exact"/>
        <w:rPr>
          <w:sz w:val="20"/>
          <w:szCs w:val="20"/>
          <w:color w:val="auto"/>
        </w:rPr>
      </w:pPr>
    </w:p>
    <w:p>
      <w:pPr>
        <w:ind w:left="780" w:right="112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non-Hodgkin's lymphoma No. 28 of 2010, as amended</w:t>
      </w:r>
    </w:p>
    <w:p>
      <w:pPr>
        <w:spacing w:after="0" w:line="10"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open-angle glaucoma No. 27 of 2012</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open-angle glaucoma No. 28 of 2012</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osteomyelitis No. 90 of 2014</w:t>
      </w:r>
    </w:p>
    <w:p>
      <w:pPr>
        <w:spacing w:after="0" w:line="9"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osteomyelitis No. 91 of 2014</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otitis externa No. 58 of 2012</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otitis externa No. 59 of 2012</w:t>
      </w:r>
    </w:p>
    <w:p>
      <w:pPr>
        <w:spacing w:after="0" w:line="9"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otitis media No. 51 of 2014</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otitis media No. 52 of 2014</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renal artery atherosclerotic disease No. 102 of 2011</w:t>
      </w:r>
    </w:p>
    <w:p>
      <w:pPr>
        <w:spacing w:after="0" w:line="9"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renal artery atherosclerotic disease No. 103 of 2011</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soft tissue sarcoma No. 5 of 2015</w:t>
      </w:r>
    </w:p>
    <w:p>
      <w:pPr>
        <w:spacing w:after="0" w:line="7"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soft tissue sarcoma No. 6 of 2015</w:t>
      </w:r>
    </w:p>
    <w:p>
      <w:pPr>
        <w:spacing w:after="0" w:line="9"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tinnitus No. 33 of 2012</w:t>
      </w:r>
    </w:p>
    <w:p>
      <w:pPr>
        <w:spacing w:after="0" w:line="6"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tinnitus No. 34 of 2012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jc w:val="right"/>
        <w:ind w:right="346"/>
        <w:spacing w:after="0"/>
        <w:rPr>
          <w:sz w:val="20"/>
          <w:szCs w:val="20"/>
          <w:color w:val="auto"/>
        </w:rPr>
      </w:pPr>
      <w:r>
        <w:rPr>
          <w:rFonts w:ascii="Times New Roman" w:cs="Times New Roman" w:eastAsia="Times New Roman" w:hAnsi="Times New Roman"/>
          <w:sz w:val="18"/>
          <w:szCs w:val="18"/>
          <w:i w:val="1"/>
          <w:iCs w:val="1"/>
          <w:color w:val="auto"/>
        </w:rPr>
        <w:t>6 of 8</w:t>
      </w:r>
    </w:p>
    <w:p>
      <w:pPr>
        <w:sectPr>
          <w:pgSz w:w="11900" w:h="16838" w:orient="portrait"/>
          <w:cols w:equalWidth="0" w:num="1">
            <w:col w:w="9026"/>
          </w:cols>
          <w:pgMar w:left="1440" w:top="754" w:right="1440" w:bottom="148" w:gutter="0" w:footer="0" w:header="0"/>
          <w:type w:val="continuous"/>
        </w:sectPr>
      </w:pPr>
    </w:p>
    <w:p>
      <w:pPr>
        <w:spacing w:after="0" w:line="10" w:lineRule="exact"/>
        <w:rPr>
          <w:sz w:val="20"/>
          <w:szCs w:val="20"/>
          <w:color w:val="auto"/>
        </w:rPr>
      </w:pPr>
    </w:p>
    <w:p>
      <w:pPr>
        <w:jc w:val="center"/>
        <w:ind w:left="1640" w:right="1626"/>
        <w:spacing w:after="0" w:line="236" w:lineRule="auto"/>
        <w:rPr>
          <w:sz w:val="20"/>
          <w:szCs w:val="20"/>
          <w:color w:val="auto"/>
        </w:rPr>
      </w:pPr>
      <w:r>
        <w:rPr>
          <w:rFonts w:ascii="Times New Roman" w:cs="Times New Roman" w:eastAsia="Times New Roman" w:hAnsi="Times New Roman"/>
          <w:sz w:val="18"/>
          <w:szCs w:val="18"/>
          <w:i w:val="1"/>
          <w:iCs w:val="1"/>
          <w:color w:val="auto"/>
        </w:rPr>
        <w:t>Veterans' Entitlements (Statements of Principles—Cumulative Equivalent Dose) Amendment Determination 2017 (No. 58 of 2017) Veterans' Entitlements Act 1986</w:t>
      </w:r>
    </w:p>
    <w:p>
      <w:pPr>
        <w:sectPr>
          <w:pgSz w:w="11900" w:h="16838" w:orient="portrait"/>
          <w:cols w:equalWidth="0" w:num="1">
            <w:col w:w="9026"/>
          </w:cols>
          <w:pgMar w:left="1440" w:top="754" w:right="1440" w:bottom="148" w:gutter="0" w:footer="0" w:header="0"/>
          <w:type w:val="continuous"/>
        </w:sectPr>
      </w:pPr>
    </w:p>
    <w:bookmarkStart w:id="6" w:name="page7"/>
    <w:bookmarkEnd w:id="6"/>
    <w:p>
      <w:pPr>
        <w:ind w:left="360"/>
        <w:spacing w:after="0"/>
        <w:rPr>
          <w:sz w:val="20"/>
          <w:szCs w:val="20"/>
          <w:color w:val="auto"/>
        </w:rPr>
      </w:pPr>
      <w:r>
        <w:rPr>
          <w:rFonts w:ascii="Times New Roman" w:cs="Times New Roman" w:eastAsia="Times New Roman" w:hAnsi="Times New Roman"/>
          <w:sz w:val="19"/>
          <w:szCs w:val="19"/>
          <w:b w:val="1"/>
          <w:bCs w:val="1"/>
          <w:color w:val="auto"/>
        </w:rPr>
        <w:t xml:space="preserve">Schedule 1 </w:t>
      </w:r>
      <w:r>
        <w:rPr>
          <w:rFonts w:ascii="Times New Roman" w:cs="Times New Roman" w:eastAsia="Times New Roman" w:hAnsi="Times New Roman"/>
          <w:sz w:val="19"/>
          <w:szCs w:val="19"/>
          <w:color w:val="auto"/>
        </w:rPr>
        <w:t>- Amendments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353060</wp:posOffset>
                </wp:positionV>
                <wp:extent cx="531685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7.8pt" to="435.1pt,27.8pt" o:allowincell="f" strokecolor="#000000" strokeweight="0.72pt"/>
            </w:pict>
          </mc:Fallback>
        </mc:AlternateContent>
      </w:r>
    </w:p>
    <w:p>
      <w:pPr>
        <w:sectPr>
          <w:pgSz w:w="11900" w:h="16838" w:orient="portrait"/>
          <w:cols w:equalWidth="0" w:num="1">
            <w:col w:w="9026"/>
          </w:cols>
          <w:pgMar w:left="1440" w:top="754" w:right="1440" w:bottom="14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ind w:left="360" w:right="906"/>
        <w:spacing w:after="0" w:line="234" w:lineRule="auto"/>
        <w:rPr>
          <w:sz w:val="20"/>
          <w:szCs w:val="20"/>
          <w:color w:val="auto"/>
        </w:rPr>
      </w:pPr>
      <w:r>
        <w:rPr>
          <w:rFonts w:ascii="Times New Roman" w:cs="Times New Roman" w:eastAsia="Times New Roman" w:hAnsi="Times New Roman"/>
          <w:sz w:val="32"/>
          <w:szCs w:val="32"/>
          <w:b w:val="1"/>
          <w:bCs w:val="1"/>
          <w:color w:val="auto"/>
        </w:rPr>
        <w:t>Part 2—Amendments of clause 1 of Schedule 1 to certain Statements of Principles</w:t>
      </w:r>
    </w:p>
    <w:p>
      <w:pPr>
        <w:spacing w:after="0" w:line="220" w:lineRule="exact"/>
        <w:rPr>
          <w:sz w:val="20"/>
          <w:szCs w:val="20"/>
          <w:color w:val="auto"/>
        </w:rPr>
      </w:pPr>
    </w:p>
    <w:p>
      <w:pPr>
        <w:ind w:left="780" w:hanging="422"/>
        <w:spacing w:after="0"/>
        <w:tabs>
          <w:tab w:leader="none" w:pos="780" w:val="left"/>
        </w:tabs>
        <w:numPr>
          <w:ilvl w:val="0"/>
          <w:numId w:val="4"/>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Amendments of definition</w:t>
      </w:r>
    </w:p>
    <w:p>
      <w:pPr>
        <w:spacing w:after="0" w:line="88" w:lineRule="exact"/>
        <w:rPr>
          <w:rFonts w:ascii="Times New Roman" w:cs="Times New Roman" w:eastAsia="Times New Roman" w:hAnsi="Times New Roman"/>
          <w:sz w:val="24"/>
          <w:szCs w:val="24"/>
          <w:b w:val="1"/>
          <w:bCs w:val="1"/>
          <w:color w:val="auto"/>
        </w:rPr>
      </w:pPr>
    </w:p>
    <w:p>
      <w:pPr>
        <w:ind w:left="780" w:right="986"/>
        <w:spacing w:after="0" w:line="236"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 xml:space="preserve">Omit the definition of </w:t>
      </w:r>
      <w:r>
        <w:rPr>
          <w:rFonts w:ascii="Times New Roman" w:cs="Times New Roman" w:eastAsia="Times New Roman" w:hAnsi="Times New Roman"/>
          <w:sz w:val="22"/>
          <w:szCs w:val="22"/>
          <w:b w:val="1"/>
          <w:bCs w:val="1"/>
          <w:i w:val="1"/>
          <w:iCs w:val="1"/>
          <w:color w:val="auto"/>
        </w:rPr>
        <w:t>cumulative equivalent dose</w:t>
      </w:r>
      <w:r>
        <w:rPr>
          <w:rFonts w:ascii="Times New Roman" w:cs="Times New Roman" w:eastAsia="Times New Roman" w:hAnsi="Times New Roman"/>
          <w:sz w:val="22"/>
          <w:szCs w:val="22"/>
          <w:color w:val="auto"/>
        </w:rPr>
        <w:t xml:space="preserve"> in clause 1 of Schedule 1 to the Statements of Principles to be amended as listed in paragraph 2 of this Part and substitute:</w:t>
      </w:r>
    </w:p>
    <w:p>
      <w:pPr>
        <w:spacing w:after="0" w:line="192" w:lineRule="exact"/>
        <w:rPr>
          <w:sz w:val="20"/>
          <w:szCs w:val="20"/>
          <w:color w:val="auto"/>
        </w:rPr>
      </w:pPr>
    </w:p>
    <w:p>
      <w:pPr>
        <w:ind w:left="1500" w:right="566"/>
        <w:spacing w:after="0" w:line="238" w:lineRule="auto"/>
        <w:rPr>
          <w:sz w:val="20"/>
          <w:szCs w:val="20"/>
          <w:color w:val="auto"/>
        </w:rPr>
      </w:pPr>
      <w:r>
        <w:rPr>
          <w:rFonts w:ascii="Times New Roman" w:cs="Times New Roman" w:eastAsia="Times New Roman" w:hAnsi="Times New Roman"/>
          <w:sz w:val="22"/>
          <w:szCs w:val="22"/>
          <w:b w:val="1"/>
          <w:bCs w:val="1"/>
          <w:i w:val="1"/>
          <w:iCs w:val="1"/>
          <w:color w:val="auto"/>
        </w:rPr>
        <w:t xml:space="preserve">cumulative equivalent dose </w:t>
      </w:r>
      <w:r>
        <w:rPr>
          <w:rFonts w:ascii="Times New Roman" w:cs="Times New Roman" w:eastAsia="Times New Roman" w:hAnsi="Times New Roman"/>
          <w:sz w:val="22"/>
          <w:szCs w:val="22"/>
          <w:color w:val="auto"/>
        </w:rPr>
        <w:t>means the total dose of ionising radiation received</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 xml:space="preserve">by the particular organ or tissue from external exposure, internal exposure or both, apart from normal background radiation exposure in Australia, calculated in accordance with the methodology set out in </w:t>
      </w:r>
      <w:r>
        <w:rPr>
          <w:rFonts w:ascii="Times New Roman" w:cs="Times New Roman" w:eastAsia="Times New Roman" w:hAnsi="Times New Roman"/>
          <w:sz w:val="22"/>
          <w:szCs w:val="22"/>
          <w:i w:val="1"/>
          <w:iCs w:val="1"/>
          <w:color w:val="auto"/>
        </w:rPr>
        <w:t>Guide to calculation of</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'cumulative equivalent dose' for the purpose of applying ionising radiation factors contained in Statements of Principles determined under Part XIA of the Veterans' Entitlements Act 1986 (Cth)</w:t>
      </w:r>
      <w:r>
        <w:rPr>
          <w:rFonts w:ascii="Times New Roman" w:cs="Times New Roman" w:eastAsia="Times New Roman" w:hAnsi="Times New Roman"/>
          <w:sz w:val="22"/>
          <w:szCs w:val="22"/>
          <w:color w:val="auto"/>
        </w:rPr>
        <w:t>, Australian Radiation Protection and</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Nuclear Safety Agency, as in force on 2 August 2017.</w:t>
      </w:r>
    </w:p>
    <w:p>
      <w:pPr>
        <w:spacing w:after="0" w:line="142" w:lineRule="exact"/>
        <w:rPr>
          <w:sz w:val="20"/>
          <w:szCs w:val="20"/>
          <w:color w:val="auto"/>
        </w:rPr>
      </w:pPr>
    </w:p>
    <w:p>
      <w:pPr>
        <w:ind w:left="2200" w:right="506" w:hanging="710"/>
        <w:spacing w:after="0" w:line="253" w:lineRule="auto"/>
        <w:tabs>
          <w:tab w:leader="none" w:pos="2180" w:val="left"/>
        </w:tabs>
        <w:rPr>
          <w:sz w:val="20"/>
          <w:szCs w:val="20"/>
          <w:color w:val="auto"/>
        </w:rPr>
      </w:pPr>
      <w:r>
        <w:rPr>
          <w:rFonts w:ascii="Times New Roman" w:cs="Times New Roman" w:eastAsia="Times New Roman" w:hAnsi="Times New Roman"/>
          <w:sz w:val="18"/>
          <w:szCs w:val="18"/>
          <w:color w:val="auto"/>
        </w:rPr>
        <w:t>Note 1:</w:t>
      </w:r>
      <w:r>
        <w:rPr>
          <w:sz w:val="20"/>
          <w:szCs w:val="20"/>
          <w:color w:val="auto"/>
        </w:rPr>
        <w:tab/>
      </w:r>
      <w:r>
        <w:rPr>
          <w:rFonts w:ascii="Times New Roman" w:cs="Times New Roman" w:eastAsia="Times New Roman" w:hAnsi="Times New Roman"/>
          <w:sz w:val="17"/>
          <w:szCs w:val="17"/>
          <w:color w:val="auto"/>
        </w:rPr>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pPr>
        <w:spacing w:after="0" w:line="124" w:lineRule="exact"/>
        <w:rPr>
          <w:sz w:val="20"/>
          <w:szCs w:val="20"/>
          <w:color w:val="auto"/>
        </w:rPr>
      </w:pPr>
    </w:p>
    <w:p>
      <w:pPr>
        <w:jc w:val="both"/>
        <w:ind w:left="2200" w:right="446" w:hanging="710"/>
        <w:spacing w:after="0" w:line="236" w:lineRule="auto"/>
        <w:tabs>
          <w:tab w:leader="none" w:pos="2180" w:val="left"/>
        </w:tabs>
        <w:rPr>
          <w:sz w:val="20"/>
          <w:szCs w:val="20"/>
          <w:color w:val="auto"/>
        </w:rPr>
      </w:pPr>
      <w:r>
        <w:rPr>
          <w:rFonts w:ascii="Times New Roman" w:cs="Times New Roman" w:eastAsia="Times New Roman" w:hAnsi="Times New Roman"/>
          <w:sz w:val="18"/>
          <w:szCs w:val="18"/>
          <w:color w:val="auto"/>
        </w:rPr>
        <w:t>Note 2:</w:t>
        <w:tab/>
        <w:t>For the purpose of dose reconstruction, dose is calculated as an average over the mass of a specific tissue or organ. If a tissue is exposed to multiple sources of ionising radiation, the various dose estimates for each type of radiation must be combined.</w:t>
      </w:r>
    </w:p>
    <w:p>
      <w:pPr>
        <w:spacing w:after="0" w:line="222" w:lineRule="exact"/>
        <w:rPr>
          <w:sz w:val="20"/>
          <w:szCs w:val="20"/>
          <w:color w:val="auto"/>
        </w:rPr>
      </w:pPr>
    </w:p>
    <w:p>
      <w:pPr>
        <w:ind w:left="780" w:hanging="422"/>
        <w:spacing w:after="0"/>
        <w:tabs>
          <w:tab w:leader="none" w:pos="780" w:val="left"/>
        </w:tabs>
        <w:numPr>
          <w:ilvl w:val="0"/>
          <w:numId w:val="5"/>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Statements of Principles to be amended:</w:t>
      </w:r>
    </w:p>
    <w:p>
      <w:pPr>
        <w:spacing w:after="0" w:line="275" w:lineRule="exact"/>
        <w:rPr>
          <w:rFonts w:ascii="Times New Roman" w:cs="Times New Roman" w:eastAsia="Times New Roman" w:hAnsi="Times New Roman"/>
          <w:sz w:val="24"/>
          <w:szCs w:val="24"/>
          <w:b w:val="1"/>
          <w:bCs w:val="1"/>
          <w:color w:val="auto"/>
        </w:rPr>
      </w:pPr>
    </w:p>
    <w:p>
      <w:pPr>
        <w:ind w:left="780" w:right="386"/>
        <w:spacing w:after="0" w:line="237"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Statement of Principles concerning acquired cataract (Reasonable Hypothesis) (No. 87 of 2016)</w:t>
      </w:r>
    </w:p>
    <w:p>
      <w:pPr>
        <w:spacing w:after="0" w:line="21" w:lineRule="exact"/>
        <w:rPr>
          <w:rFonts w:ascii="Times New Roman" w:cs="Times New Roman" w:eastAsia="Times New Roman" w:hAnsi="Times New Roman"/>
          <w:sz w:val="24"/>
          <w:szCs w:val="24"/>
          <w:b w:val="1"/>
          <w:bCs w:val="1"/>
          <w:color w:val="auto"/>
        </w:rPr>
      </w:pPr>
    </w:p>
    <w:p>
      <w:pPr>
        <w:ind w:left="780" w:right="566"/>
        <w:spacing w:after="0" w:line="237"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Statement of Principles concerning acquired cataract (Balance of Probabilities) (No. 88 of 2016)</w:t>
      </w:r>
    </w:p>
    <w:p>
      <w:pPr>
        <w:spacing w:after="0" w:line="18" w:lineRule="exact"/>
        <w:rPr>
          <w:rFonts w:ascii="Times New Roman" w:cs="Times New Roman" w:eastAsia="Times New Roman" w:hAnsi="Times New Roman"/>
          <w:sz w:val="24"/>
          <w:szCs w:val="24"/>
          <w:b w:val="1"/>
          <w:bCs w:val="1"/>
          <w:color w:val="auto"/>
        </w:rPr>
      </w:pPr>
    </w:p>
    <w:p>
      <w:pPr>
        <w:ind w:left="780" w:right="1066"/>
        <w:spacing w:after="0" w:line="238"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Statement of Principles concerning acute myeloid leukaemia (No. 71 of 2015), as amended</w:t>
      </w:r>
    </w:p>
    <w:p>
      <w:pPr>
        <w:spacing w:after="0" w:line="19" w:lineRule="exact"/>
        <w:rPr>
          <w:rFonts w:ascii="Times New Roman" w:cs="Times New Roman" w:eastAsia="Times New Roman" w:hAnsi="Times New Roman"/>
          <w:sz w:val="24"/>
          <w:szCs w:val="24"/>
          <w:b w:val="1"/>
          <w:bCs w:val="1"/>
          <w:color w:val="auto"/>
        </w:rPr>
      </w:pPr>
    </w:p>
    <w:p>
      <w:pPr>
        <w:ind w:left="780" w:right="1066"/>
        <w:spacing w:after="0" w:line="237"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Statement of Principles concerning acute myeloid leukaemia (No. 72 of 2015), as amended</w:t>
      </w:r>
    </w:p>
    <w:p>
      <w:pPr>
        <w:spacing w:after="0" w:line="21" w:lineRule="exact"/>
        <w:rPr>
          <w:rFonts w:ascii="Times New Roman" w:cs="Times New Roman" w:eastAsia="Times New Roman" w:hAnsi="Times New Roman"/>
          <w:sz w:val="24"/>
          <w:szCs w:val="24"/>
          <w:b w:val="1"/>
          <w:bCs w:val="1"/>
          <w:color w:val="auto"/>
        </w:rPr>
      </w:pPr>
    </w:p>
    <w:p>
      <w:pPr>
        <w:ind w:left="780" w:right="486"/>
        <w:spacing w:after="0" w:line="237"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Statement of Principles concerning benign neoplasm of the eye and adnexa (Reasonable Hypothesis) (No. 41 of 2016)</w:t>
      </w:r>
    </w:p>
    <w:p>
      <w:pPr>
        <w:spacing w:after="0" w:line="18" w:lineRule="exact"/>
        <w:rPr>
          <w:rFonts w:ascii="Times New Roman" w:cs="Times New Roman" w:eastAsia="Times New Roman" w:hAnsi="Times New Roman"/>
          <w:sz w:val="24"/>
          <w:szCs w:val="24"/>
          <w:b w:val="1"/>
          <w:bCs w:val="1"/>
          <w:color w:val="auto"/>
        </w:rPr>
      </w:pPr>
    </w:p>
    <w:p>
      <w:pPr>
        <w:ind w:left="780" w:right="566"/>
        <w:spacing w:after="0" w:line="238"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Statement of Principles concerning benign neoplasm of the eye and adnexa (Balance of Probabilities) (No. 42 of 2016)</w:t>
      </w:r>
    </w:p>
    <w:p>
      <w:pPr>
        <w:spacing w:after="0" w:line="19" w:lineRule="exact"/>
        <w:rPr>
          <w:rFonts w:ascii="Times New Roman" w:cs="Times New Roman" w:eastAsia="Times New Roman" w:hAnsi="Times New Roman"/>
          <w:sz w:val="24"/>
          <w:szCs w:val="24"/>
          <w:b w:val="1"/>
          <w:bCs w:val="1"/>
          <w:color w:val="auto"/>
        </w:rPr>
      </w:pPr>
    </w:p>
    <w:p>
      <w:pPr>
        <w:jc w:val="both"/>
        <w:ind w:left="780" w:right="2146"/>
        <w:spacing w:after="0" w:line="257"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1"/>
          <w:szCs w:val="21"/>
          <w:color w:val="auto"/>
        </w:rPr>
        <w:t>Statement of Principles concerning cardiomyopathy (No. 85 of 2015) Statement of Principles concerning cardiomyopathy (No. 86 of 2015)</w:t>
      </w:r>
    </w:p>
    <w:p>
      <w:pPr>
        <w:spacing w:after="0" w:line="3" w:lineRule="exact"/>
        <w:rPr>
          <w:rFonts w:ascii="Times New Roman" w:cs="Times New Roman" w:eastAsia="Times New Roman" w:hAnsi="Times New Roman"/>
          <w:sz w:val="24"/>
          <w:szCs w:val="24"/>
          <w:b w:val="1"/>
          <w:bCs w:val="1"/>
          <w:color w:val="auto"/>
        </w:rPr>
      </w:pPr>
    </w:p>
    <w:p>
      <w:pPr>
        <w:ind w:left="780" w:right="446"/>
        <w:spacing w:after="0" w:line="237"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Statement of Principles concerning cirrhosis of the liver (Reasonable Hypothesis) (No. 1 of 2017)</w:t>
      </w:r>
    </w:p>
    <w:p>
      <w:pPr>
        <w:spacing w:after="0" w:line="19" w:lineRule="exact"/>
        <w:rPr>
          <w:rFonts w:ascii="Times New Roman" w:cs="Times New Roman" w:eastAsia="Times New Roman" w:hAnsi="Times New Roman"/>
          <w:sz w:val="24"/>
          <w:szCs w:val="24"/>
          <w:b w:val="1"/>
          <w:bCs w:val="1"/>
          <w:color w:val="auto"/>
        </w:rPr>
      </w:pPr>
    </w:p>
    <w:p>
      <w:pPr>
        <w:ind w:left="780" w:right="606"/>
        <w:spacing w:after="0" w:line="238"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Statement of Principles concerning external burn (Reasonable Hypothesis) (No. 110 of 2015)</w:t>
      </w:r>
    </w:p>
    <w:p>
      <w:pPr>
        <w:spacing w:after="0" w:line="19" w:lineRule="exact"/>
        <w:rPr>
          <w:rFonts w:ascii="Times New Roman" w:cs="Times New Roman" w:eastAsia="Times New Roman" w:hAnsi="Times New Roman"/>
          <w:sz w:val="24"/>
          <w:szCs w:val="24"/>
          <w:b w:val="1"/>
          <w:bCs w:val="1"/>
          <w:color w:val="auto"/>
        </w:rPr>
      </w:pPr>
    </w:p>
    <w:p>
      <w:pPr>
        <w:ind w:left="780" w:right="546"/>
        <w:spacing w:after="0" w:line="237"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Statement of Principles concerning external burn (Balance of Probabilities) (No. 111 of 2015)</w:t>
      </w:r>
    </w:p>
    <w:p>
      <w:pPr>
        <w:spacing w:after="0" w:line="21" w:lineRule="exact"/>
        <w:rPr>
          <w:rFonts w:ascii="Times New Roman" w:cs="Times New Roman" w:eastAsia="Times New Roman" w:hAnsi="Times New Roman"/>
          <w:sz w:val="24"/>
          <w:szCs w:val="24"/>
          <w:b w:val="1"/>
          <w:bCs w:val="1"/>
          <w:color w:val="auto"/>
        </w:rPr>
      </w:pPr>
    </w:p>
    <w:p>
      <w:pPr>
        <w:ind w:left="780" w:right="766"/>
        <w:spacing w:after="0" w:line="237"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Statement of Principles concerning ischaemic heart disease (Reasonable Hypothesis) (No. 1 of 2016)</w:t>
      </w:r>
    </w:p>
    <w:p>
      <w:pPr>
        <w:spacing w:after="0" w:line="18" w:lineRule="exact"/>
        <w:rPr>
          <w:rFonts w:ascii="Times New Roman" w:cs="Times New Roman" w:eastAsia="Times New Roman" w:hAnsi="Times New Roman"/>
          <w:sz w:val="24"/>
          <w:szCs w:val="24"/>
          <w:b w:val="1"/>
          <w:bCs w:val="1"/>
          <w:color w:val="auto"/>
        </w:rPr>
      </w:pPr>
    </w:p>
    <w:p>
      <w:pPr>
        <w:ind w:left="780" w:right="726"/>
        <w:spacing w:after="0" w:line="238"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2"/>
          <w:szCs w:val="22"/>
          <w:color w:val="auto"/>
        </w:rPr>
        <w:t>Statement of Principles concerning ischaemic heart disease (Balance of Probabilities) (No. 2 of 2016)</w:t>
      </w:r>
    </w:p>
    <w:p>
      <w:pPr>
        <w:spacing w:after="0" w:line="108" w:lineRule="exact"/>
        <w:rPr>
          <w:sz w:val="20"/>
          <w:szCs w:val="20"/>
          <w:color w:val="auto"/>
        </w:rPr>
      </w:pPr>
    </w:p>
    <w:p>
      <w:pPr>
        <w:jc w:val="right"/>
        <w:ind w:right="346"/>
        <w:spacing w:after="0"/>
        <w:rPr>
          <w:sz w:val="20"/>
          <w:szCs w:val="20"/>
          <w:color w:val="auto"/>
        </w:rPr>
      </w:pPr>
      <w:r>
        <w:rPr>
          <w:rFonts w:ascii="Times New Roman" w:cs="Times New Roman" w:eastAsia="Times New Roman" w:hAnsi="Times New Roman"/>
          <w:sz w:val="18"/>
          <w:szCs w:val="18"/>
          <w:i w:val="1"/>
          <w:iCs w:val="1"/>
          <w:color w:val="auto"/>
        </w:rPr>
        <w:t>7 of 8</w:t>
      </w:r>
    </w:p>
    <w:p>
      <w:pPr>
        <w:sectPr>
          <w:pgSz w:w="11900" w:h="16838" w:orient="portrait"/>
          <w:cols w:equalWidth="0" w:num="1">
            <w:col w:w="9026"/>
          </w:cols>
          <w:pgMar w:left="1440" w:top="754" w:right="1440" w:bottom="148" w:gutter="0" w:footer="0" w:header="0"/>
          <w:type w:val="continuous"/>
        </w:sectPr>
      </w:pPr>
    </w:p>
    <w:p>
      <w:pPr>
        <w:spacing w:after="0" w:line="10" w:lineRule="exact"/>
        <w:rPr>
          <w:sz w:val="20"/>
          <w:szCs w:val="20"/>
          <w:color w:val="auto"/>
        </w:rPr>
      </w:pPr>
    </w:p>
    <w:p>
      <w:pPr>
        <w:jc w:val="center"/>
        <w:ind w:left="1640" w:right="1626"/>
        <w:spacing w:after="0" w:line="236" w:lineRule="auto"/>
        <w:rPr>
          <w:sz w:val="20"/>
          <w:szCs w:val="20"/>
          <w:color w:val="auto"/>
        </w:rPr>
      </w:pPr>
      <w:r>
        <w:rPr>
          <w:rFonts w:ascii="Times New Roman" w:cs="Times New Roman" w:eastAsia="Times New Roman" w:hAnsi="Times New Roman"/>
          <w:sz w:val="18"/>
          <w:szCs w:val="18"/>
          <w:i w:val="1"/>
          <w:iCs w:val="1"/>
          <w:color w:val="auto"/>
        </w:rPr>
        <w:t>Veterans' Entitlements (Statements of Principles—Cumulative Equivalent Dose) Amendment Determination 2017 (No. 58 of 2017) Veterans' Entitlements Act 1986</w:t>
      </w:r>
    </w:p>
    <w:p>
      <w:pPr>
        <w:sectPr>
          <w:pgSz w:w="11900" w:h="16838" w:orient="portrait"/>
          <w:cols w:equalWidth="0" w:num="1">
            <w:col w:w="9026"/>
          </w:cols>
          <w:pgMar w:left="1440" w:top="754" w:right="1440" w:bottom="148" w:gutter="0" w:footer="0" w:header="0"/>
          <w:type w:val="continuous"/>
        </w:sectPr>
      </w:pPr>
    </w:p>
    <w:bookmarkStart w:id="7" w:name="page8"/>
    <w:bookmarkEnd w:id="7"/>
    <w:p>
      <w:pPr>
        <w:ind w:left="360"/>
        <w:spacing w:after="0"/>
        <w:rPr>
          <w:sz w:val="20"/>
          <w:szCs w:val="20"/>
          <w:color w:val="auto"/>
        </w:rPr>
      </w:pPr>
      <w:r>
        <w:rPr>
          <w:rFonts w:ascii="Times New Roman" w:cs="Times New Roman" w:eastAsia="Times New Roman" w:hAnsi="Times New Roman"/>
          <w:sz w:val="19"/>
          <w:szCs w:val="19"/>
          <w:b w:val="1"/>
          <w:bCs w:val="1"/>
          <w:color w:val="auto"/>
        </w:rPr>
        <w:t xml:space="preserve">Schedule 1 </w:t>
      </w:r>
      <w:r>
        <w:rPr>
          <w:rFonts w:ascii="Times New Roman" w:cs="Times New Roman" w:eastAsia="Times New Roman" w:hAnsi="Times New Roman"/>
          <w:sz w:val="19"/>
          <w:szCs w:val="19"/>
          <w:color w:val="auto"/>
        </w:rPr>
        <w:t>- Amendments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208915</wp:posOffset>
                </wp:positionH>
                <wp:positionV relativeFrom="paragraph">
                  <wp:posOffset>353060</wp:posOffset>
                </wp:positionV>
                <wp:extent cx="5316855"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685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45pt,27.8pt" to="435.1pt,27.8pt" o:allowincell="f" strokecolor="#000000" strokeweight="0.72pt"/>
            </w:pict>
          </mc:Fallback>
        </mc:AlternateContent>
      </w:r>
    </w:p>
    <w:p>
      <w:pPr>
        <w:sectPr>
          <w:pgSz w:w="11900" w:h="16838" w:orient="portrait"/>
          <w:cols w:equalWidth="0" w:num="1">
            <w:col w:w="9026"/>
          </w:cols>
          <w:pgMar w:left="1440" w:top="754" w:right="1440" w:bottom="14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p>
      <w:pPr>
        <w:ind w:left="780" w:right="1106"/>
        <w:spacing w:after="0" w:line="238"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brain (Reasonable Hypothesis) (No. 85 of 2016)</w:t>
      </w:r>
    </w:p>
    <w:p>
      <w:pPr>
        <w:spacing w:after="0" w:line="19" w:lineRule="exact"/>
        <w:rPr>
          <w:sz w:val="20"/>
          <w:szCs w:val="20"/>
          <w:color w:val="auto"/>
        </w:rPr>
      </w:pPr>
    </w:p>
    <w:p>
      <w:pPr>
        <w:ind w:left="780" w:right="118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brain (Balance of Probabilities) (No. 86 of 2016)</w:t>
      </w:r>
    </w:p>
    <w:p>
      <w:pPr>
        <w:spacing w:after="0" w:line="21" w:lineRule="exact"/>
        <w:rPr>
          <w:sz w:val="20"/>
          <w:szCs w:val="20"/>
          <w:color w:val="auto"/>
        </w:rPr>
      </w:pPr>
    </w:p>
    <w:p>
      <w:pPr>
        <w:ind w:left="780" w:right="38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endometrium (Reasonable Hypothesis) (No. 11 of 2016)</w:t>
      </w:r>
    </w:p>
    <w:p>
      <w:pPr>
        <w:spacing w:after="0" w:line="19" w:lineRule="exact"/>
        <w:rPr>
          <w:sz w:val="20"/>
          <w:szCs w:val="20"/>
          <w:color w:val="auto"/>
        </w:rPr>
      </w:pPr>
    </w:p>
    <w:p>
      <w:pPr>
        <w:ind w:left="780" w:right="466"/>
        <w:spacing w:after="0" w:line="238"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endometrium (Balance of Probabilities) (No. 12 of 2016)</w:t>
      </w:r>
    </w:p>
    <w:p>
      <w:pPr>
        <w:spacing w:after="0" w:line="19" w:lineRule="exact"/>
        <w:rPr>
          <w:sz w:val="20"/>
          <w:szCs w:val="20"/>
          <w:color w:val="auto"/>
        </w:rPr>
      </w:pPr>
    </w:p>
    <w:p>
      <w:pPr>
        <w:ind w:left="780" w:right="74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gallbladder (No. 89 of 2015)</w:t>
      </w:r>
    </w:p>
    <w:p>
      <w:pPr>
        <w:spacing w:after="0" w:line="21" w:lineRule="exact"/>
        <w:rPr>
          <w:sz w:val="20"/>
          <w:szCs w:val="20"/>
          <w:color w:val="auto"/>
        </w:rPr>
      </w:pPr>
    </w:p>
    <w:p>
      <w:pPr>
        <w:ind w:left="780" w:right="74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gallbladder (No. 90 of 2015)</w:t>
      </w:r>
    </w:p>
    <w:p>
      <w:pPr>
        <w:spacing w:after="0" w:line="19" w:lineRule="exact"/>
        <w:rPr>
          <w:sz w:val="20"/>
          <w:szCs w:val="20"/>
          <w:color w:val="auto"/>
        </w:rPr>
      </w:pPr>
    </w:p>
    <w:p>
      <w:pPr>
        <w:ind w:left="780" w:right="546"/>
        <w:spacing w:after="0" w:line="238"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oesophagus (Reasonable Hypothesis) (No. 120 of 2015), as amended</w:t>
      </w:r>
    </w:p>
    <w:p>
      <w:pPr>
        <w:spacing w:after="0" w:line="20" w:lineRule="exact"/>
        <w:rPr>
          <w:sz w:val="20"/>
          <w:szCs w:val="20"/>
          <w:color w:val="auto"/>
        </w:rPr>
      </w:pPr>
    </w:p>
    <w:p>
      <w:pPr>
        <w:ind w:left="780" w:right="60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malignant neoplasm of the oesophagus (Balance of Probabilities) (No. 121 of 2015)</w:t>
      </w:r>
    </w:p>
    <w:p>
      <w:pPr>
        <w:spacing w:after="0" w:line="21" w:lineRule="exact"/>
        <w:rPr>
          <w:sz w:val="20"/>
          <w:szCs w:val="20"/>
          <w:color w:val="auto"/>
        </w:rPr>
      </w:pPr>
    </w:p>
    <w:p>
      <w:pPr>
        <w:ind w:left="780" w:right="52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mesothelioma (Reasonable Hypothesis) (No. 104 of 2015)</w:t>
      </w:r>
    </w:p>
    <w:p>
      <w:pPr>
        <w:spacing w:after="0" w:line="19" w:lineRule="exact"/>
        <w:rPr>
          <w:sz w:val="20"/>
          <w:szCs w:val="20"/>
          <w:color w:val="auto"/>
        </w:rPr>
      </w:pPr>
    </w:p>
    <w:p>
      <w:pPr>
        <w:ind w:left="780" w:right="486"/>
        <w:spacing w:after="0" w:line="238" w:lineRule="auto"/>
        <w:rPr>
          <w:sz w:val="20"/>
          <w:szCs w:val="20"/>
          <w:color w:val="auto"/>
        </w:rPr>
      </w:pPr>
      <w:r>
        <w:rPr>
          <w:rFonts w:ascii="Times New Roman" w:cs="Times New Roman" w:eastAsia="Times New Roman" w:hAnsi="Times New Roman"/>
          <w:sz w:val="22"/>
          <w:szCs w:val="22"/>
          <w:color w:val="auto"/>
        </w:rPr>
        <w:t>Statement of Principles concerning mesothelioma (Balance of Probabilities) (No. 105 of 2015)</w:t>
      </w:r>
    </w:p>
    <w:p>
      <w:pPr>
        <w:spacing w:after="0" w:line="19" w:lineRule="exact"/>
        <w:rPr>
          <w:sz w:val="20"/>
          <w:szCs w:val="20"/>
          <w:color w:val="auto"/>
        </w:rPr>
      </w:pPr>
    </w:p>
    <w:p>
      <w:pPr>
        <w:ind w:left="780" w:right="92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myelodysplastic syndrome (No. 73 of 2015), as amended</w:t>
      </w:r>
    </w:p>
    <w:p>
      <w:pPr>
        <w:spacing w:after="0" w:line="21" w:lineRule="exact"/>
        <w:rPr>
          <w:sz w:val="20"/>
          <w:szCs w:val="20"/>
          <w:color w:val="auto"/>
        </w:rPr>
      </w:pPr>
    </w:p>
    <w:p>
      <w:pPr>
        <w:ind w:left="780" w:right="92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myelodysplastic syndrome (No. 74 of 2015), as amended</w:t>
      </w:r>
    </w:p>
    <w:p>
      <w:pPr>
        <w:spacing w:after="0" w:line="19" w:lineRule="exact"/>
        <w:rPr>
          <w:sz w:val="20"/>
          <w:szCs w:val="20"/>
          <w:color w:val="auto"/>
        </w:rPr>
      </w:pPr>
    </w:p>
    <w:p>
      <w:pPr>
        <w:ind w:left="780" w:right="1006"/>
        <w:spacing w:after="0" w:line="238" w:lineRule="auto"/>
        <w:rPr>
          <w:sz w:val="20"/>
          <w:szCs w:val="20"/>
          <w:color w:val="auto"/>
        </w:rPr>
      </w:pPr>
      <w:r>
        <w:rPr>
          <w:rFonts w:ascii="Times New Roman" w:cs="Times New Roman" w:eastAsia="Times New Roman" w:hAnsi="Times New Roman"/>
          <w:sz w:val="22"/>
          <w:szCs w:val="22"/>
          <w:color w:val="auto"/>
        </w:rPr>
        <w:t>Statement of Principles concerning non-melanotic malignant neoplasm of the skin (Reasonable Hypothesis) (No. 7 of 2016)</w:t>
      </w:r>
    </w:p>
    <w:p>
      <w:pPr>
        <w:spacing w:after="0" w:line="19" w:lineRule="exact"/>
        <w:rPr>
          <w:sz w:val="20"/>
          <w:szCs w:val="20"/>
          <w:color w:val="auto"/>
        </w:rPr>
      </w:pPr>
    </w:p>
    <w:p>
      <w:pPr>
        <w:ind w:left="780" w:right="100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non-melanotic malignant neoplasm of the skin (Balance of Probabilities) (No. 8 of 2016)</w:t>
      </w:r>
    </w:p>
    <w:p>
      <w:pPr>
        <w:spacing w:after="0" w:line="22" w:lineRule="exact"/>
        <w:rPr>
          <w:sz w:val="20"/>
          <w:szCs w:val="20"/>
          <w:color w:val="auto"/>
        </w:rPr>
      </w:pPr>
    </w:p>
    <w:p>
      <w:pPr>
        <w:ind w:left="780" w:right="144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optochiasmatic arachnoiditis (Reasonable Hypothesis) (No. 57 of 2016)</w:t>
      </w:r>
    </w:p>
    <w:p>
      <w:pPr>
        <w:spacing w:after="0" w:line="19" w:lineRule="exact"/>
        <w:rPr>
          <w:sz w:val="20"/>
          <w:szCs w:val="20"/>
          <w:color w:val="auto"/>
        </w:rPr>
      </w:pPr>
    </w:p>
    <w:p>
      <w:pPr>
        <w:ind w:left="780" w:right="1506"/>
        <w:spacing w:after="0" w:line="238" w:lineRule="auto"/>
        <w:rPr>
          <w:sz w:val="20"/>
          <w:szCs w:val="20"/>
          <w:color w:val="auto"/>
        </w:rPr>
      </w:pPr>
      <w:r>
        <w:rPr>
          <w:rFonts w:ascii="Times New Roman" w:cs="Times New Roman" w:eastAsia="Times New Roman" w:hAnsi="Times New Roman"/>
          <w:sz w:val="22"/>
          <w:szCs w:val="22"/>
          <w:color w:val="auto"/>
        </w:rPr>
        <w:t>Statement of Principles concerning optochiasmatic arachnoiditis (Balance of Probabilities) (No. 58 of 2016)</w:t>
      </w:r>
    </w:p>
    <w:p>
      <w:pPr>
        <w:spacing w:after="0" w:line="19" w:lineRule="exact"/>
        <w:rPr>
          <w:sz w:val="20"/>
          <w:szCs w:val="20"/>
          <w:color w:val="auto"/>
        </w:rPr>
      </w:pPr>
    </w:p>
    <w:p>
      <w:pPr>
        <w:ind w:left="780" w:right="42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peritoneal adhesions (Reasonable Hypothesis) (No. 3 of 2016)</w:t>
      </w:r>
    </w:p>
    <w:p>
      <w:pPr>
        <w:spacing w:after="0" w:line="21" w:lineRule="exact"/>
        <w:rPr>
          <w:sz w:val="20"/>
          <w:szCs w:val="20"/>
          <w:color w:val="auto"/>
        </w:rPr>
      </w:pPr>
    </w:p>
    <w:p>
      <w:pPr>
        <w:ind w:left="780" w:right="366"/>
        <w:spacing w:after="0" w:line="237" w:lineRule="auto"/>
        <w:rPr>
          <w:sz w:val="20"/>
          <w:szCs w:val="20"/>
          <w:color w:val="auto"/>
        </w:rPr>
      </w:pPr>
      <w:r>
        <w:rPr>
          <w:rFonts w:ascii="Times New Roman" w:cs="Times New Roman" w:eastAsia="Times New Roman" w:hAnsi="Times New Roman"/>
          <w:sz w:val="22"/>
          <w:szCs w:val="22"/>
          <w:color w:val="auto"/>
        </w:rPr>
        <w:t>Statement of Principles concerning peritoneal adhesions (Balance of Probabilities) (No. 4 of 2016)</w:t>
      </w:r>
    </w:p>
    <w:p>
      <w:pPr>
        <w:spacing w:after="0" w:line="7"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trigeminal neuropathy (No. 79 of 2015)</w:t>
      </w:r>
    </w:p>
    <w:p>
      <w:pPr>
        <w:spacing w:after="0" w:line="9" w:lineRule="exact"/>
        <w:rPr>
          <w:sz w:val="20"/>
          <w:szCs w:val="20"/>
          <w:color w:val="auto"/>
        </w:rPr>
      </w:pPr>
    </w:p>
    <w:p>
      <w:pPr>
        <w:ind w:left="780"/>
        <w:spacing w:after="0"/>
        <w:rPr>
          <w:sz w:val="20"/>
          <w:szCs w:val="20"/>
          <w:color w:val="auto"/>
        </w:rPr>
      </w:pPr>
      <w:r>
        <w:rPr>
          <w:rFonts w:ascii="Times New Roman" w:cs="Times New Roman" w:eastAsia="Times New Roman" w:hAnsi="Times New Roman"/>
          <w:sz w:val="22"/>
          <w:szCs w:val="22"/>
          <w:color w:val="auto"/>
        </w:rPr>
        <w:t>Statement of Principles concerning trigeminal neuropathy (No. 80 of 2015)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jc w:val="right"/>
        <w:ind w:right="346"/>
        <w:spacing w:after="0"/>
        <w:rPr>
          <w:sz w:val="20"/>
          <w:szCs w:val="20"/>
          <w:color w:val="auto"/>
        </w:rPr>
      </w:pPr>
      <w:r>
        <w:rPr>
          <w:rFonts w:ascii="Times New Roman" w:cs="Times New Roman" w:eastAsia="Times New Roman" w:hAnsi="Times New Roman"/>
          <w:sz w:val="18"/>
          <w:szCs w:val="18"/>
          <w:i w:val="1"/>
          <w:iCs w:val="1"/>
          <w:color w:val="auto"/>
        </w:rPr>
        <w:t>8 of 8</w:t>
      </w:r>
    </w:p>
    <w:p>
      <w:pPr>
        <w:sectPr>
          <w:pgSz w:w="11900" w:h="16838" w:orient="portrait"/>
          <w:cols w:equalWidth="0" w:num="1">
            <w:col w:w="9026"/>
          </w:cols>
          <w:pgMar w:left="1440" w:top="754" w:right="1440" w:bottom="148" w:gutter="0" w:footer="0" w:header="0"/>
          <w:type w:val="continuous"/>
        </w:sectPr>
      </w:pPr>
    </w:p>
    <w:p>
      <w:pPr>
        <w:spacing w:after="0" w:line="10" w:lineRule="exact"/>
        <w:rPr>
          <w:sz w:val="20"/>
          <w:szCs w:val="20"/>
          <w:color w:val="auto"/>
        </w:rPr>
      </w:pPr>
    </w:p>
    <w:p>
      <w:pPr>
        <w:jc w:val="center"/>
        <w:ind w:left="1640" w:right="1626"/>
        <w:spacing w:after="0" w:line="236" w:lineRule="auto"/>
        <w:rPr>
          <w:sz w:val="20"/>
          <w:szCs w:val="20"/>
          <w:color w:val="auto"/>
        </w:rPr>
      </w:pPr>
      <w:r>
        <w:rPr>
          <w:rFonts w:ascii="Times New Roman" w:cs="Times New Roman" w:eastAsia="Times New Roman" w:hAnsi="Times New Roman"/>
          <w:sz w:val="18"/>
          <w:szCs w:val="18"/>
          <w:i w:val="1"/>
          <w:iCs w:val="1"/>
          <w:color w:val="auto"/>
        </w:rPr>
        <w:t>Veterans' Entitlements (Statements of Principles—Cumulative Equivalent Dose) Amendment Determination 2017 (No. 58 of 2017) Veterans' Entitlements Act 1986</w:t>
      </w:r>
    </w:p>
    <w:sectPr>
      <w:pgSz w:w="11900" w:h="16838" w:orient="portrait"/>
      <w:cols w:equalWidth="0" w:num="1">
        <w:col w:w="9026"/>
      </w:cols>
      <w:pgMar w:left="1440" w:top="754" w:right="1440" w:bottom="148"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19495CFF"/>
    <w:multiLevelType w:val="hybridMultilevel"/>
    <w:lvl w:ilvl="0">
      <w:lvlJc w:val="left"/>
      <w:lvlText w:val="%1"/>
      <w:numFmt w:val="decimal"/>
      <w:start w:val="1"/>
    </w:lvl>
  </w:abstractNum>
  <w:abstractNum w:abstractNumId="1">
    <w:nsid w:val="2AE8944A"/>
    <w:multiLevelType w:val="hybridMultilevel"/>
    <w:lvl w:ilvl="0">
      <w:lvlJc w:val="left"/>
      <w:lvlText w:val="%1."/>
      <w:numFmt w:val="decimal"/>
      <w:start w:val="1"/>
    </w:lvl>
  </w:abstractNum>
  <w:abstractNum w:abstractNumId="2">
    <w:nsid w:val="625558EC"/>
    <w:multiLevelType w:val="hybridMultilevel"/>
    <w:lvl w:ilvl="0">
      <w:lvlJc w:val="left"/>
      <w:lvlText w:val="%1."/>
      <w:numFmt w:val="decimal"/>
      <w:start w:val="2"/>
    </w:lvl>
  </w:abstractNum>
  <w:abstractNum w:abstractNumId="3">
    <w:nsid w:val="238E1F29"/>
    <w:multiLevelType w:val="hybridMultilevel"/>
    <w:lvl w:ilvl="0">
      <w:lvlJc w:val="left"/>
      <w:lvlText w:val="%1."/>
      <w:numFmt w:val="decimal"/>
      <w:start w:val="1"/>
    </w:lvl>
  </w:abstractNum>
  <w:abstractNum w:abstractNumId="4">
    <w:nsid w:val="46E87CCD"/>
    <w:multiLevelType w:val="hybridMultilevel"/>
    <w:lvl w:ilvl="0">
      <w:lvlJc w:val="left"/>
      <w:lvlText w:val="%1."/>
      <w:numFmt w:val="decimal"/>
      <w:start w:val="2"/>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2018-05-17T20:58:09Z</dcterms:created>
  <dcterms:modified xsi:type="dcterms:W3CDTF">2018-05-17T20:58:09Z</dcterms:modified>
</cp:coreProperties>
</file>