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D16B53" w:rsidP="006647B7">
      <w:pPr>
        <w:pStyle w:val="Plainheader"/>
      </w:pPr>
      <w:bookmarkStart w:id="1" w:name="SoP_Name_Title"/>
      <w:r>
        <w:t>BRUXISM</w:t>
      </w:r>
      <w:bookmarkEnd w:id="1"/>
      <w:r w:rsidR="00997416">
        <w:br/>
        <w:t xml:space="preserve">(Balance of Probabilities) </w:t>
      </w:r>
    </w:p>
    <w:p w:rsidR="00715914" w:rsidRPr="00024911" w:rsidRDefault="00E55F66" w:rsidP="006647B7">
      <w:pPr>
        <w:pStyle w:val="Plainheader"/>
      </w:pPr>
      <w:r w:rsidRPr="00024911">
        <w:t xml:space="preserve">(No. </w:t>
      </w:r>
      <w:r w:rsidR="006365EC">
        <w:t>92</w:t>
      </w:r>
      <w:r w:rsidRPr="00024911">
        <w:t xml:space="preserve"> of</w:t>
      </w:r>
      <w:r w:rsidR="00085567">
        <w:t xml:space="preserve"> </w:t>
      </w:r>
      <w:bookmarkStart w:id="2" w:name="year"/>
      <w:r w:rsidR="00D16B53">
        <w:t>2016</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693F5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6365EC" w:rsidRPr="00420BF8" w:rsidRDefault="006365EC" w:rsidP="006365EC">
      <w:pPr>
        <w:pStyle w:val="Plain"/>
        <w:tabs>
          <w:tab w:val="clear" w:pos="567"/>
          <w:tab w:val="left" w:pos="851"/>
        </w:tabs>
      </w:pPr>
      <w:r w:rsidRPr="00420BF8">
        <w:t>Dated</w:t>
      </w:r>
      <w:r w:rsidRPr="00420BF8">
        <w:tab/>
      </w:r>
      <w:r w:rsidRPr="00420BF8">
        <w:tab/>
        <w:t>28 October 2016</w:t>
      </w:r>
    </w:p>
    <w:p w:rsidR="006365EC" w:rsidRDefault="006365EC" w:rsidP="006365EC">
      <w:pPr>
        <w:pStyle w:val="Plain"/>
      </w:pPr>
    </w:p>
    <w:p w:rsidR="006365EC" w:rsidRDefault="006365EC" w:rsidP="006365EC">
      <w:pPr>
        <w:pStyle w:val="Plain"/>
      </w:pPr>
    </w:p>
    <w:p w:rsidR="006365EC" w:rsidRDefault="006365EC" w:rsidP="006365EC">
      <w:pPr>
        <w:pStyle w:val="Plain"/>
      </w:pPr>
    </w:p>
    <w:p w:rsidR="006365EC" w:rsidRDefault="006365EC" w:rsidP="006365EC">
      <w:pPr>
        <w:pStyle w:val="Plain"/>
      </w:pPr>
    </w:p>
    <w:p w:rsidR="006365EC" w:rsidRPr="007527C1" w:rsidRDefault="006365EC" w:rsidP="006365EC">
      <w:pPr>
        <w:pStyle w:val="Plain"/>
      </w:pPr>
    </w:p>
    <w:p w:rsidR="006365EC" w:rsidRDefault="006365EC" w:rsidP="006365EC">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6365EC" w:rsidRDefault="006365EC" w:rsidP="006365EC">
      <w:pPr>
        <w:pStyle w:val="Plain"/>
      </w:pPr>
      <w:r w:rsidRPr="00326052">
        <w:rPr>
          <w:noProof/>
        </w:rPr>
        <w:drawing>
          <wp:anchor distT="0" distB="0" distL="114300" distR="114300" simplePos="0" relativeHeight="251659264" behindDoc="1" locked="0" layoutInCell="1" allowOverlap="1" wp14:anchorId="60F21483" wp14:editId="4209D130">
            <wp:simplePos x="0" y="0"/>
            <wp:positionH relativeFrom="column">
              <wp:posOffset>0</wp:posOffset>
            </wp:positionH>
            <wp:positionV relativeFrom="paragraph">
              <wp:posOffset>170815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6365EC" w:rsidRDefault="006365EC" w:rsidP="006365EC">
      <w:pPr>
        <w:pStyle w:val="Plain"/>
      </w:pPr>
    </w:p>
    <w:p w:rsidR="006365EC" w:rsidRDefault="006365EC" w:rsidP="006365EC">
      <w:pPr>
        <w:pStyle w:val="Plain"/>
      </w:pPr>
    </w:p>
    <w:p w:rsidR="006365EC" w:rsidRDefault="006365EC" w:rsidP="006365EC">
      <w:pPr>
        <w:pStyle w:val="Plain"/>
      </w:pPr>
    </w:p>
    <w:p w:rsidR="006365EC" w:rsidRPr="007527C1" w:rsidRDefault="006365EC" w:rsidP="006365EC">
      <w:pPr>
        <w:pStyle w:val="Plain"/>
      </w:pPr>
    </w:p>
    <w:p w:rsidR="006365EC" w:rsidRPr="007527C1" w:rsidRDefault="006365EC" w:rsidP="006365EC">
      <w:pPr>
        <w:pStyle w:val="Plain"/>
      </w:pPr>
      <w:r w:rsidRPr="007527C1">
        <w:t>Professor Nicholas Saunders AO</w:t>
      </w:r>
    </w:p>
    <w:p w:rsidR="006365EC" w:rsidRPr="007527C1" w:rsidRDefault="006365EC" w:rsidP="006365EC">
      <w:pPr>
        <w:pStyle w:val="Plain"/>
      </w:pPr>
      <w:r w:rsidRPr="007527C1">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D16B5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16B53">
        <w:rPr>
          <w:noProof/>
        </w:rPr>
        <w:t>1</w:t>
      </w:r>
      <w:r w:rsidR="00D16B53">
        <w:rPr>
          <w:rFonts w:asciiTheme="minorHAnsi" w:eastAsiaTheme="minorEastAsia" w:hAnsiTheme="minorHAnsi" w:cstheme="minorBidi"/>
          <w:noProof/>
          <w:kern w:val="0"/>
          <w:sz w:val="22"/>
          <w:szCs w:val="22"/>
        </w:rPr>
        <w:tab/>
      </w:r>
      <w:r w:rsidR="00D16B53">
        <w:rPr>
          <w:noProof/>
        </w:rPr>
        <w:t>Name</w:t>
      </w:r>
      <w:r w:rsidR="00D16B53">
        <w:rPr>
          <w:noProof/>
        </w:rPr>
        <w:tab/>
      </w:r>
      <w:r w:rsidR="00D16B53">
        <w:rPr>
          <w:noProof/>
        </w:rPr>
        <w:fldChar w:fldCharType="begin"/>
      </w:r>
      <w:r w:rsidR="00D16B53">
        <w:rPr>
          <w:noProof/>
        </w:rPr>
        <w:instrText xml:space="preserve"> PAGEREF _Toc459109909 \h </w:instrText>
      </w:r>
      <w:r w:rsidR="00D16B53">
        <w:rPr>
          <w:noProof/>
        </w:rPr>
      </w:r>
      <w:r w:rsidR="00D16B53">
        <w:rPr>
          <w:noProof/>
        </w:rPr>
        <w:fldChar w:fldCharType="separate"/>
      </w:r>
      <w:r w:rsidR="00BD3D3A">
        <w:rPr>
          <w:noProof/>
        </w:rPr>
        <w:t>3</w:t>
      </w:r>
      <w:r w:rsidR="00D16B53">
        <w:rPr>
          <w:noProof/>
        </w:rPr>
        <w:fldChar w:fldCharType="end"/>
      </w:r>
    </w:p>
    <w:p w:rsidR="00D16B53" w:rsidRDefault="00D16B5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_Toc459109910 \h </w:instrText>
      </w:r>
      <w:r>
        <w:rPr>
          <w:noProof/>
        </w:rPr>
      </w:r>
      <w:r>
        <w:rPr>
          <w:noProof/>
        </w:rPr>
        <w:fldChar w:fldCharType="separate"/>
      </w:r>
      <w:r w:rsidR="00BD3D3A">
        <w:rPr>
          <w:noProof/>
        </w:rPr>
        <w:t>3</w:t>
      </w:r>
      <w:r>
        <w:rPr>
          <w:noProof/>
        </w:rPr>
        <w:fldChar w:fldCharType="end"/>
      </w:r>
    </w:p>
    <w:p w:rsidR="00D16B53" w:rsidRDefault="00D16B5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_Toc459109911 \h </w:instrText>
      </w:r>
      <w:r>
        <w:rPr>
          <w:noProof/>
        </w:rPr>
      </w:r>
      <w:r>
        <w:rPr>
          <w:noProof/>
        </w:rPr>
        <w:fldChar w:fldCharType="separate"/>
      </w:r>
      <w:r w:rsidR="00BD3D3A">
        <w:rPr>
          <w:noProof/>
        </w:rPr>
        <w:t>3</w:t>
      </w:r>
      <w:r>
        <w:rPr>
          <w:noProof/>
        </w:rPr>
        <w:fldChar w:fldCharType="end"/>
      </w:r>
    </w:p>
    <w:p w:rsidR="00D16B53" w:rsidRDefault="00D16B5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_Toc459109912 \h </w:instrText>
      </w:r>
      <w:r>
        <w:rPr>
          <w:noProof/>
        </w:rPr>
      </w:r>
      <w:r>
        <w:rPr>
          <w:noProof/>
        </w:rPr>
        <w:fldChar w:fldCharType="separate"/>
      </w:r>
      <w:r w:rsidR="00BD3D3A">
        <w:rPr>
          <w:noProof/>
        </w:rPr>
        <w:t>3</w:t>
      </w:r>
      <w:r>
        <w:rPr>
          <w:noProof/>
        </w:rPr>
        <w:fldChar w:fldCharType="end"/>
      </w:r>
    </w:p>
    <w:p w:rsidR="00D16B53" w:rsidRDefault="00D16B53">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_Toc459109913 \h </w:instrText>
      </w:r>
      <w:r>
        <w:rPr>
          <w:noProof/>
        </w:rPr>
      </w:r>
      <w:r>
        <w:rPr>
          <w:noProof/>
        </w:rPr>
        <w:fldChar w:fldCharType="separate"/>
      </w:r>
      <w:r w:rsidR="00BD3D3A">
        <w:rPr>
          <w:noProof/>
        </w:rPr>
        <w:t>3</w:t>
      </w:r>
      <w:r>
        <w:rPr>
          <w:noProof/>
        </w:rPr>
        <w:fldChar w:fldCharType="end"/>
      </w:r>
    </w:p>
    <w:p w:rsidR="00D16B53" w:rsidRDefault="00D16B53">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_Toc459109914 \h </w:instrText>
      </w:r>
      <w:r>
        <w:rPr>
          <w:noProof/>
        </w:rPr>
      </w:r>
      <w:r>
        <w:rPr>
          <w:noProof/>
        </w:rPr>
        <w:fldChar w:fldCharType="separate"/>
      </w:r>
      <w:r w:rsidR="00BD3D3A">
        <w:rPr>
          <w:noProof/>
        </w:rPr>
        <w:t>3</w:t>
      </w:r>
      <w:r>
        <w:rPr>
          <w:noProof/>
        </w:rPr>
        <w:fldChar w:fldCharType="end"/>
      </w:r>
    </w:p>
    <w:p w:rsidR="00D16B53" w:rsidRDefault="00D16B53">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_Toc459109915 \h </w:instrText>
      </w:r>
      <w:r>
        <w:rPr>
          <w:noProof/>
        </w:rPr>
      </w:r>
      <w:r>
        <w:rPr>
          <w:noProof/>
        </w:rPr>
        <w:fldChar w:fldCharType="separate"/>
      </w:r>
      <w:r w:rsidR="00BD3D3A">
        <w:rPr>
          <w:noProof/>
        </w:rPr>
        <w:t>3</w:t>
      </w:r>
      <w:r>
        <w:rPr>
          <w:noProof/>
        </w:rPr>
        <w:fldChar w:fldCharType="end"/>
      </w:r>
    </w:p>
    <w:p w:rsidR="00D16B53" w:rsidRDefault="00D16B53">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_Toc459109916 \h </w:instrText>
      </w:r>
      <w:r>
        <w:rPr>
          <w:noProof/>
        </w:rPr>
      </w:r>
      <w:r>
        <w:rPr>
          <w:noProof/>
        </w:rPr>
        <w:fldChar w:fldCharType="separate"/>
      </w:r>
      <w:r w:rsidR="00BD3D3A">
        <w:rPr>
          <w:noProof/>
        </w:rPr>
        <w:t>4</w:t>
      </w:r>
      <w:r>
        <w:rPr>
          <w:noProof/>
        </w:rPr>
        <w:fldChar w:fldCharType="end"/>
      </w:r>
    </w:p>
    <w:p w:rsidR="00D16B53" w:rsidRDefault="00D16B53">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_Toc459109917 \h </w:instrText>
      </w:r>
      <w:r>
        <w:rPr>
          <w:noProof/>
        </w:rPr>
      </w:r>
      <w:r>
        <w:rPr>
          <w:noProof/>
        </w:rPr>
        <w:fldChar w:fldCharType="separate"/>
      </w:r>
      <w:r w:rsidR="00BD3D3A">
        <w:rPr>
          <w:noProof/>
        </w:rPr>
        <w:t>5</w:t>
      </w:r>
      <w:r>
        <w:rPr>
          <w:noProof/>
        </w:rPr>
        <w:fldChar w:fldCharType="end"/>
      </w:r>
    </w:p>
    <w:p w:rsidR="00D16B53" w:rsidRDefault="00D16B53">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_Toc459109918 \h </w:instrText>
      </w:r>
      <w:r>
        <w:rPr>
          <w:noProof/>
        </w:rPr>
      </w:r>
      <w:r>
        <w:rPr>
          <w:noProof/>
        </w:rPr>
        <w:fldChar w:fldCharType="separate"/>
      </w:r>
      <w:r w:rsidR="00BD3D3A">
        <w:rPr>
          <w:noProof/>
        </w:rPr>
        <w:t>5</w:t>
      </w:r>
      <w:r>
        <w:rPr>
          <w:noProof/>
        </w:rPr>
        <w:fldChar w:fldCharType="end"/>
      </w:r>
    </w:p>
    <w:p w:rsidR="00D16B53" w:rsidRDefault="00D16B53">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_Toc459109919 \h </w:instrText>
      </w:r>
      <w:r>
        <w:rPr>
          <w:noProof/>
        </w:rPr>
      </w:r>
      <w:r>
        <w:rPr>
          <w:noProof/>
        </w:rPr>
        <w:fldChar w:fldCharType="separate"/>
      </w:r>
      <w:r w:rsidR="00BD3D3A">
        <w:rPr>
          <w:noProof/>
        </w:rPr>
        <w:t>6</w:t>
      </w:r>
      <w:r>
        <w:rPr>
          <w:noProof/>
        </w:rPr>
        <w:fldChar w:fldCharType="end"/>
      </w:r>
    </w:p>
    <w:p w:rsidR="00D16B53" w:rsidRDefault="00D16B53">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_Toc459109920 \h </w:instrText>
      </w:r>
      <w:r>
        <w:rPr>
          <w:noProof/>
        </w:rPr>
      </w:r>
      <w:r>
        <w:rPr>
          <w:noProof/>
        </w:rPr>
        <w:fldChar w:fldCharType="separate"/>
      </w:r>
      <w:r w:rsidR="00BD3D3A">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59109909"/>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D16B53">
        <w:rPr>
          <w:i/>
        </w:rPr>
        <w:t>bruxism</w:t>
      </w:r>
      <w:bookmarkEnd w:id="6"/>
      <w:r w:rsidR="00E55F66" w:rsidRPr="00F97A62">
        <w:t xml:space="preserve"> </w:t>
      </w:r>
      <w:r w:rsidR="00997416">
        <w:rPr>
          <w:i/>
        </w:rPr>
        <w:t xml:space="preserve">(Balance of Probabilities) </w:t>
      </w:r>
      <w:r w:rsidR="00E55F66" w:rsidRPr="00F97A62">
        <w:t xml:space="preserve">(No. </w:t>
      </w:r>
      <w:r w:rsidR="006365EC">
        <w:t>92</w:t>
      </w:r>
      <w:r w:rsidR="00085567">
        <w:t xml:space="preserve"> </w:t>
      </w:r>
      <w:r w:rsidR="00E55F66" w:rsidRPr="00F97A62">
        <w:t>of</w:t>
      </w:r>
      <w:r w:rsidR="00085567">
        <w:t xml:space="preserve"> </w:t>
      </w:r>
      <w:r w:rsidR="00D16B53">
        <w:t>2016</w:t>
      </w:r>
      <w:r w:rsidR="00E55F66" w:rsidRPr="00F97A62">
        <w:t>)</w:t>
      </w:r>
      <w:r w:rsidRPr="00F97A62">
        <w:t>.</w:t>
      </w:r>
    </w:p>
    <w:p w:rsidR="00F67B67" w:rsidRPr="00684C0E" w:rsidRDefault="00F67B67" w:rsidP="00C96667">
      <w:pPr>
        <w:pStyle w:val="LV1"/>
      </w:pPr>
      <w:bookmarkStart w:id="7" w:name="_Toc459109910"/>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6365EC">
        <w:t>28 November 2016</w:t>
      </w:r>
      <w:r w:rsidR="00F67B67" w:rsidRPr="007527C1">
        <w:t>.</w:t>
      </w:r>
    </w:p>
    <w:p w:rsidR="00F67B67" w:rsidRPr="00684C0E" w:rsidRDefault="00F67B67" w:rsidP="00C96667">
      <w:pPr>
        <w:pStyle w:val="LV1"/>
      </w:pPr>
      <w:bookmarkStart w:id="8" w:name="_Toc459109911"/>
      <w:r w:rsidRPr="00684C0E">
        <w:t>Authority</w:t>
      </w:r>
      <w:bookmarkEnd w:id="8"/>
    </w:p>
    <w:p w:rsidR="00F67B67" w:rsidRPr="007527C1"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693F5A">
        <w:rPr>
          <w:i/>
        </w:rPr>
        <w:t>'</w:t>
      </w:r>
      <w:r w:rsidRPr="007527C1">
        <w:rPr>
          <w:i/>
        </w:rPr>
        <w:t xml:space="preserve"> Entitlements Act 1986</w:t>
      </w:r>
      <w:r w:rsidRPr="007527C1">
        <w:t>.</w:t>
      </w:r>
    </w:p>
    <w:p w:rsidR="007C7DEE" w:rsidRPr="00684C0E" w:rsidRDefault="007C7DEE" w:rsidP="00C96667">
      <w:pPr>
        <w:pStyle w:val="LV1"/>
      </w:pPr>
      <w:bookmarkStart w:id="9" w:name="_Toc459109912"/>
      <w:r w:rsidRPr="00684C0E">
        <w:t>Application</w:t>
      </w:r>
      <w:bookmarkEnd w:id="9"/>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0" w:name="_Ref410129949"/>
      <w:bookmarkStart w:id="11" w:name="_Toc459109913"/>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2" w:name="_Ref409687573"/>
      <w:bookmarkStart w:id="13" w:name="_Ref409687579"/>
      <w:bookmarkStart w:id="14" w:name="_Ref409687725"/>
      <w:bookmarkStart w:id="15" w:name="_Toc459109914"/>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7A2AA2">
      <w:pPr>
        <w:pStyle w:val="LV2"/>
      </w:pPr>
      <w:bookmarkStart w:id="16" w:name="_Ref403053584"/>
      <w:r w:rsidRPr="00D5620B">
        <w:t xml:space="preserve">This Statement of Principles is </w:t>
      </w:r>
      <w:r w:rsidRPr="002F77A1">
        <w:t xml:space="preserve">about </w:t>
      </w:r>
      <w:r w:rsidR="00D16B53" w:rsidRPr="00D16B53">
        <w:t>bruxism</w:t>
      </w:r>
      <w:r w:rsidR="00D5620B" w:rsidRPr="002F77A1">
        <w:t xml:space="preserve"> </w:t>
      </w:r>
      <w:r w:rsidRPr="002F77A1">
        <w:t>and death</w:t>
      </w:r>
      <w:r w:rsidRPr="00D5620B">
        <w:t xml:space="preserve"> from</w:t>
      </w:r>
      <w:r w:rsidR="002F77A1">
        <w:t xml:space="preserve"> </w:t>
      </w:r>
      <w:r w:rsidR="00D16B53" w:rsidRPr="00D16B53">
        <w:t>bruxism</w:t>
      </w:r>
      <w:r w:rsidRPr="00D5620B">
        <w:t>.</w:t>
      </w:r>
      <w:bookmarkEnd w:id="16"/>
    </w:p>
    <w:p w:rsidR="00215860" w:rsidRPr="007142FB" w:rsidRDefault="00215860" w:rsidP="0083517B">
      <w:pPr>
        <w:pStyle w:val="LVtext"/>
      </w:pPr>
      <w:r w:rsidRPr="007142FB">
        <w:t>Meaning of</w:t>
      </w:r>
      <w:r w:rsidR="00D60FC8" w:rsidRPr="007142FB">
        <w:t xml:space="preserve"> </w:t>
      </w:r>
      <w:r w:rsidR="00D16B53" w:rsidRPr="00D16B53">
        <w:rPr>
          <w:b/>
        </w:rPr>
        <w:t>bruxism</w:t>
      </w:r>
    </w:p>
    <w:p w:rsidR="00482A77" w:rsidRPr="00237BAF" w:rsidRDefault="00482A77" w:rsidP="007A2AA2">
      <w:pPr>
        <w:pStyle w:val="LV2"/>
      </w:pPr>
      <w:bookmarkStart w:id="17" w:name="_Ref409598124"/>
      <w:bookmarkStart w:id="18" w:name="_Ref402529683"/>
      <w:r w:rsidRPr="00237BAF">
        <w:t>For the purposes of this Statement of Principles,</w:t>
      </w:r>
      <w:r w:rsidRPr="002F77A1">
        <w:t xml:space="preserve"> </w:t>
      </w:r>
      <w:r w:rsidRPr="00B8513E">
        <w:t>bruxism</w:t>
      </w:r>
      <w:r>
        <w:t xml:space="preserve"> means </w:t>
      </w:r>
      <w:r w:rsidRPr="00B8513E">
        <w:t>a disorder of jaw muscle activity characterised by repetitive, involuntary clenching or grinding of the teeth or by bracing or thrusting of the mandible, occurring during wakefulness or sleep</w:t>
      </w:r>
      <w:bookmarkEnd w:id="17"/>
      <w:r>
        <w:t>.</w:t>
      </w:r>
    </w:p>
    <w:bookmarkEnd w:id="18"/>
    <w:p w:rsidR="008F572A" w:rsidRPr="00FA33FB" w:rsidRDefault="00237BAF" w:rsidP="00AD22E2">
      <w:pPr>
        <w:pStyle w:val="LVtext"/>
      </w:pPr>
      <w:r w:rsidRPr="003A5C26">
        <w:t>Death from</w:t>
      </w:r>
      <w:r w:rsidR="008F572A" w:rsidRPr="00237BAF">
        <w:t xml:space="preserve"> </w:t>
      </w:r>
      <w:r w:rsidR="00D16B53" w:rsidRPr="00D16B53">
        <w:rPr>
          <w:b/>
        </w:rPr>
        <w:t>bruxism</w:t>
      </w:r>
    </w:p>
    <w:p w:rsidR="008F572A" w:rsidRPr="00237BAF" w:rsidRDefault="008F572A" w:rsidP="007A2AA2">
      <w:pPr>
        <w:pStyle w:val="LV2"/>
      </w:pPr>
      <w:r w:rsidRPr="00237BAF">
        <w:t xml:space="preserve">For the purposes of this Statement of </w:t>
      </w:r>
      <w:r w:rsidR="00D5620B">
        <w:t xml:space="preserve">Principles, </w:t>
      </w:r>
      <w:r w:rsidR="00D16B53" w:rsidRPr="00D16B53">
        <w:t>bruxism</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693F5A">
        <w:t>'</w:t>
      </w:r>
      <w:r w:rsidRPr="00D5620B">
        <w:t>s</w:t>
      </w:r>
      <w:r w:rsidR="002F77A1">
        <w:t xml:space="preserve"> </w:t>
      </w:r>
      <w:r w:rsidR="00D16B53" w:rsidRPr="00D16B53">
        <w:t>bruxism</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8486E">
        <w:t>–</w:t>
      </w:r>
      <w:r w:rsidR="00D32F71">
        <w:t xml:space="preserve"> </w:t>
      </w:r>
      <w:r w:rsidR="00885EAB" w:rsidRPr="00046E67">
        <w:t>Dictionary</w:t>
      </w:r>
      <w:r w:rsidR="0048486E">
        <w:t>.</w:t>
      </w:r>
    </w:p>
    <w:p w:rsidR="007C7DEE" w:rsidRPr="00A20CA1" w:rsidRDefault="007C7DEE" w:rsidP="00C96667">
      <w:pPr>
        <w:pStyle w:val="LV1"/>
      </w:pPr>
      <w:bookmarkStart w:id="19" w:name="_Toc459109915"/>
      <w:r w:rsidRPr="00A20CA1">
        <w:t>Basis for determining the factors</w:t>
      </w:r>
      <w:bookmarkEnd w:id="1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D16B53" w:rsidRPr="00D16B53">
        <w:t>bruxism</w:t>
      </w:r>
      <w:r w:rsidR="007A3989">
        <w:t xml:space="preserve"> </w:t>
      </w:r>
      <w:r w:rsidRPr="00D5620B">
        <w:t>and death from</w:t>
      </w:r>
      <w:r w:rsidR="007A3989">
        <w:t xml:space="preserve"> </w:t>
      </w:r>
      <w:r w:rsidR="00D16B53" w:rsidRPr="00D16B53">
        <w:t>bruxism</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0" w:name="_Ref411946955"/>
      <w:bookmarkStart w:id="21" w:name="_Ref411946997"/>
      <w:bookmarkStart w:id="22" w:name="_Ref412032503"/>
      <w:bookmarkStart w:id="23" w:name="_Toc459109916"/>
      <w:r w:rsidRPr="00301C54">
        <w:lastRenderedPageBreak/>
        <w:t xml:space="preserve">Factors that must </w:t>
      </w:r>
      <w:r w:rsidR="00D32F71">
        <w:t>exist</w:t>
      </w:r>
      <w:bookmarkEnd w:id="20"/>
      <w:bookmarkEnd w:id="21"/>
      <w:bookmarkEnd w:id="22"/>
      <w:bookmarkEnd w:id="23"/>
    </w:p>
    <w:p w:rsidR="007C7DEE" w:rsidRPr="00AA6D8B" w:rsidRDefault="002716E4" w:rsidP="006647B7">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D16B53" w:rsidRPr="00D16B53">
        <w:t>bruxism</w:t>
      </w:r>
      <w:r w:rsidR="007A3989">
        <w:t xml:space="preserve"> </w:t>
      </w:r>
      <w:r w:rsidR="007C7DEE" w:rsidRPr="00AA6D8B">
        <w:t xml:space="preserve">or death from </w:t>
      </w:r>
      <w:r w:rsidR="00D16B53" w:rsidRPr="00D16B53">
        <w:t>bruxism</w:t>
      </w:r>
      <w:r w:rsidR="007A3989">
        <w:t xml:space="preserve"> </w:t>
      </w:r>
      <w:r w:rsidR="007C7DEE" w:rsidRPr="00AA6D8B">
        <w:t>is connected with the circumstances of a pers</w:t>
      </w:r>
      <w:r w:rsidR="002A1ECC" w:rsidRPr="00AA6D8B">
        <w:t>on</w:t>
      </w:r>
      <w:r w:rsidR="00693F5A">
        <w:t>'</w:t>
      </w:r>
      <w:r w:rsidR="002A1ECC" w:rsidRPr="00AA6D8B">
        <w:t>s relevant service</w:t>
      </w:r>
      <w:r w:rsidR="007C7DEE" w:rsidRPr="00AA6D8B">
        <w:t>:</w:t>
      </w:r>
      <w:bookmarkEnd w:id="24"/>
    </w:p>
    <w:p w:rsidR="00482A77" w:rsidRDefault="00482A77" w:rsidP="007A2AA2">
      <w:pPr>
        <w:pStyle w:val="LV2"/>
      </w:pPr>
      <w:bookmarkStart w:id="25" w:name="_Ref402530260"/>
      <w:bookmarkStart w:id="26" w:name="_Ref409598844"/>
      <w:r w:rsidRPr="000F69E2">
        <w:t>experiencing a moderate to severe traumatic brain injury within the 30 days before the clinical onset of bruxism</w:t>
      </w:r>
      <w:r w:rsidRPr="008D1B8B">
        <w:t>;</w:t>
      </w:r>
    </w:p>
    <w:p w:rsidR="00482A77" w:rsidRPr="008D1B8B" w:rsidRDefault="00482A77" w:rsidP="007A2AA2">
      <w:pPr>
        <w:pStyle w:val="LV2"/>
      </w:pPr>
      <w:r w:rsidRPr="000F69E2">
        <w:rPr>
          <w:lang w:val="en-GB"/>
        </w:rPr>
        <w:t>having a clinically significant neurological condition as specified at the time of the clinical onset of bruxism</w:t>
      </w:r>
      <w:r>
        <w:rPr>
          <w:lang w:val="en-GB"/>
        </w:rPr>
        <w:t>;</w:t>
      </w:r>
    </w:p>
    <w:p w:rsidR="00482A77" w:rsidRPr="00046E67" w:rsidRDefault="00482A77" w:rsidP="00482A77">
      <w:pPr>
        <w:pStyle w:val="NOTE"/>
      </w:pPr>
      <w:r>
        <w:t xml:space="preserve">Note: </w:t>
      </w:r>
      <w:r w:rsidRPr="000F69E2">
        <w:rPr>
          <w:b/>
          <w:i/>
        </w:rPr>
        <w:t>clinically significant neurological condition as specified</w:t>
      </w:r>
      <w:r w:rsidRPr="00046E67">
        <w:t xml:space="preserve"> is defined in the </w:t>
      </w:r>
      <w:r w:rsidR="00D71A38">
        <w:t>Schedule 1 - Dictionary</w:t>
      </w:r>
      <w:r w:rsidRPr="00046E67">
        <w:t>.</w:t>
      </w:r>
      <w:r w:rsidRPr="00046E67">
        <w:tab/>
      </w:r>
      <w:r>
        <w:t xml:space="preserve"> </w:t>
      </w:r>
    </w:p>
    <w:p w:rsidR="00482A77" w:rsidRPr="005A56D4" w:rsidRDefault="00482A77" w:rsidP="007A2AA2">
      <w:pPr>
        <w:pStyle w:val="LV2"/>
      </w:pPr>
      <w:r w:rsidRPr="005A56D4">
        <w:rPr>
          <w:lang w:val="en-US"/>
        </w:rPr>
        <w:t>taking a drug or a drug from a class of drugs from the specified list of drugs, at the time of the clinical onset of bruxism;</w:t>
      </w:r>
    </w:p>
    <w:p w:rsidR="00482A77" w:rsidRDefault="00482A77" w:rsidP="00482A77">
      <w:pPr>
        <w:pStyle w:val="NOTE"/>
      </w:pPr>
      <w:r>
        <w:t xml:space="preserve">Note: </w:t>
      </w:r>
      <w:r w:rsidRPr="005A56D4">
        <w:rPr>
          <w:b/>
          <w:i/>
        </w:rPr>
        <w:t>specified list of drugs</w:t>
      </w:r>
      <w:r w:rsidRPr="00046E67">
        <w:t xml:space="preserve"> is defined in the </w:t>
      </w:r>
      <w:r>
        <w:t xml:space="preserve">Schedule 1 - </w:t>
      </w:r>
      <w:r w:rsidRPr="002717B2">
        <w:t>Dictionary</w:t>
      </w:r>
      <w:r w:rsidRPr="00046E67">
        <w:t>.</w:t>
      </w:r>
    </w:p>
    <w:p w:rsidR="00482A77" w:rsidRDefault="00482A77" w:rsidP="007A2AA2">
      <w:pPr>
        <w:pStyle w:val="LV2"/>
      </w:pPr>
      <w:r w:rsidRPr="005A56D4">
        <w:t>smoking at least one pack-year of cigarettes, or the equivalent thereof in other tobacco products, before the clinical onset of bruxism, and where smoking has ceased, the clinical onset of bruxism has occurred within one year of cessation;</w:t>
      </w:r>
    </w:p>
    <w:p w:rsidR="00482A77" w:rsidRDefault="00482A77" w:rsidP="00482A77">
      <w:pPr>
        <w:pStyle w:val="NOTE"/>
      </w:pPr>
      <w:r>
        <w:t xml:space="preserve">Note: </w:t>
      </w:r>
      <w:r>
        <w:rPr>
          <w:b/>
          <w:i/>
        </w:rPr>
        <w:t>pack-year of cigarettes, or the equivalent thereof in other tobacco products</w:t>
      </w:r>
      <w:r w:rsidRPr="00046E67">
        <w:t xml:space="preserve"> is defined in the </w:t>
      </w:r>
      <w:r>
        <w:t xml:space="preserve">Schedule 1 - </w:t>
      </w:r>
      <w:r w:rsidRPr="002717B2">
        <w:t>Dictionary</w:t>
      </w:r>
      <w:r w:rsidRPr="00046E67">
        <w:t>.</w:t>
      </w:r>
    </w:p>
    <w:p w:rsidR="003601FE" w:rsidRDefault="003601FE" w:rsidP="007A2AA2">
      <w:pPr>
        <w:pStyle w:val="LV2"/>
      </w:pPr>
      <w:r w:rsidRPr="005A56D4">
        <w:t>having gastro-oesophageal reflux disease at the time of the clinical onset of bruxism</w:t>
      </w:r>
      <w:r>
        <w:t xml:space="preserve">; </w:t>
      </w:r>
    </w:p>
    <w:p w:rsidR="00482A77" w:rsidRDefault="00482A77" w:rsidP="007A2AA2">
      <w:pPr>
        <w:pStyle w:val="LV2"/>
      </w:pPr>
      <w:r w:rsidRPr="000F69E2">
        <w:t>experiencing a moderate to severe traumatic brain injury within the 30 days before the clinical worsening of bruxism</w:t>
      </w:r>
      <w:r w:rsidRPr="008D1B8B">
        <w:t>;</w:t>
      </w:r>
    </w:p>
    <w:p w:rsidR="00482A77" w:rsidRPr="008D1B8B" w:rsidRDefault="00482A77" w:rsidP="007A2AA2">
      <w:pPr>
        <w:pStyle w:val="LV2"/>
      </w:pPr>
      <w:r w:rsidRPr="000F69E2">
        <w:rPr>
          <w:lang w:val="en-GB"/>
        </w:rPr>
        <w:t>having a clinically significant neurological condition as specified at the time of the clinical worsening of bruxism</w:t>
      </w:r>
      <w:r>
        <w:rPr>
          <w:lang w:val="en-GB"/>
        </w:rPr>
        <w:t>;</w:t>
      </w:r>
    </w:p>
    <w:p w:rsidR="00482A77" w:rsidRPr="00046E67" w:rsidRDefault="00482A77" w:rsidP="00482A77">
      <w:pPr>
        <w:pStyle w:val="NOTE"/>
      </w:pPr>
      <w:r>
        <w:t xml:space="preserve">Note: </w:t>
      </w:r>
      <w:r w:rsidRPr="000F69E2">
        <w:rPr>
          <w:b/>
          <w:i/>
        </w:rPr>
        <w:t>clinically significant neurological condition as specified</w:t>
      </w:r>
      <w:r w:rsidRPr="00046E67">
        <w:t xml:space="preserve"> is defined in the </w:t>
      </w:r>
      <w:r w:rsidR="00D71A38">
        <w:t>Schedule 1 - Dictionary</w:t>
      </w:r>
      <w:r w:rsidRPr="00046E67">
        <w:t>.</w:t>
      </w:r>
      <w:r w:rsidRPr="00046E67">
        <w:tab/>
      </w:r>
      <w:r>
        <w:t xml:space="preserve"> </w:t>
      </w:r>
    </w:p>
    <w:p w:rsidR="00482A77" w:rsidRPr="005A56D4" w:rsidRDefault="00482A77" w:rsidP="007A2AA2">
      <w:pPr>
        <w:pStyle w:val="LV2"/>
      </w:pPr>
      <w:r w:rsidRPr="005A56D4">
        <w:rPr>
          <w:lang w:val="en-US"/>
        </w:rPr>
        <w:t>taking a drug or a drug from a class of drugs from the specified list of drugs, at the time of the clinical worsening of bruxism;</w:t>
      </w:r>
    </w:p>
    <w:p w:rsidR="00482A77" w:rsidRDefault="00482A77" w:rsidP="00482A77">
      <w:pPr>
        <w:pStyle w:val="NOTE"/>
      </w:pPr>
      <w:r>
        <w:t xml:space="preserve">Note: </w:t>
      </w:r>
      <w:r w:rsidRPr="005A56D4">
        <w:rPr>
          <w:b/>
          <w:i/>
        </w:rPr>
        <w:t>specified list of drugs</w:t>
      </w:r>
      <w:r w:rsidRPr="00046E67">
        <w:t xml:space="preserve"> is defined in the </w:t>
      </w:r>
      <w:r>
        <w:t xml:space="preserve">Schedule 1 - </w:t>
      </w:r>
      <w:r w:rsidRPr="002717B2">
        <w:t>Dictionary</w:t>
      </w:r>
      <w:r w:rsidRPr="00046E67">
        <w:t>.</w:t>
      </w:r>
    </w:p>
    <w:p w:rsidR="00482A77" w:rsidRDefault="00482A77" w:rsidP="007A2AA2">
      <w:pPr>
        <w:pStyle w:val="LV2"/>
      </w:pPr>
      <w:r w:rsidRPr="005A56D4">
        <w:t>smoking at least one pack-year of cigarettes, or the equivalent thereof in other tobacco products, before the clinical worsening of bruxism, and where smoking has ceased, the clinical worsening of bruxism has occurred within one year of cessation;</w:t>
      </w:r>
    </w:p>
    <w:p w:rsidR="00482A77" w:rsidRDefault="00482A77" w:rsidP="00482A77">
      <w:pPr>
        <w:pStyle w:val="NOTE"/>
      </w:pPr>
      <w:r>
        <w:t xml:space="preserve">Note: </w:t>
      </w:r>
      <w:r>
        <w:rPr>
          <w:b/>
          <w:i/>
        </w:rPr>
        <w:t>pack-year of cigarettes, or the equivalent thereof in other tobacco products</w:t>
      </w:r>
      <w:r w:rsidRPr="00046E67">
        <w:t xml:space="preserve"> is defined in the </w:t>
      </w:r>
      <w:r>
        <w:t xml:space="preserve">Schedule 1 - </w:t>
      </w:r>
      <w:r w:rsidRPr="002717B2">
        <w:t>Dictionary</w:t>
      </w:r>
      <w:r w:rsidRPr="00046E67">
        <w:t>.</w:t>
      </w:r>
    </w:p>
    <w:p w:rsidR="003601FE" w:rsidRDefault="003601FE" w:rsidP="007A2AA2">
      <w:pPr>
        <w:pStyle w:val="LV2"/>
      </w:pPr>
      <w:r w:rsidRPr="005A56D4">
        <w:t>having gastro-oesophageal reflux disease at the time of the clinical worsening of bruxism</w:t>
      </w:r>
      <w:r>
        <w:t xml:space="preserve">; </w:t>
      </w:r>
    </w:p>
    <w:p w:rsidR="007C7DEE" w:rsidRPr="008D1B8B" w:rsidRDefault="007C7DEE" w:rsidP="007A2AA2">
      <w:pPr>
        <w:pStyle w:val="LV2"/>
      </w:pPr>
      <w:r w:rsidRPr="008D1B8B">
        <w:t>inability to obtain appropriate clinical management for</w:t>
      </w:r>
      <w:bookmarkEnd w:id="25"/>
      <w:r w:rsidR="007A3989">
        <w:t xml:space="preserve"> </w:t>
      </w:r>
      <w:r w:rsidR="00D16B53" w:rsidRPr="00D16B53">
        <w:t>bruxism</w:t>
      </w:r>
      <w:r w:rsidR="00D5620B" w:rsidRPr="008D1B8B">
        <w:t>.</w:t>
      </w:r>
      <w:bookmarkEnd w:id="26"/>
    </w:p>
    <w:p w:rsidR="000C21A3" w:rsidRPr="00684C0E" w:rsidRDefault="00D32F71" w:rsidP="00C96667">
      <w:pPr>
        <w:pStyle w:val="LV1"/>
      </w:pPr>
      <w:bookmarkStart w:id="27" w:name="_Toc459109917"/>
      <w:bookmarkStart w:id="28" w:name="_Ref402530057"/>
      <w:r>
        <w:lastRenderedPageBreak/>
        <w:t>Relationship to s</w:t>
      </w:r>
      <w:r w:rsidR="000C21A3" w:rsidRPr="00684C0E">
        <w:t>ervice</w:t>
      </w:r>
      <w:bookmarkEnd w:id="27"/>
    </w:p>
    <w:p w:rsidR="00F03C06" w:rsidRPr="00187DE1" w:rsidRDefault="00F03C06" w:rsidP="007A2AA2">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7A2AA2">
      <w:pPr>
        <w:pStyle w:val="LV2"/>
      </w:pPr>
      <w:r w:rsidRPr="00187DE1">
        <w:t>The factor</w:t>
      </w:r>
      <w:r w:rsidR="00FF1D47">
        <w:t>s</w:t>
      </w:r>
      <w:r w:rsidRPr="00187DE1">
        <w:t xml:space="preserve"> set out in </w:t>
      </w:r>
      <w:r w:rsidR="009056AF">
        <w:t>subsections</w:t>
      </w:r>
      <w:r w:rsidR="00FF1D47">
        <w:t xml:space="preserve"> 8(</w:t>
      </w:r>
      <w:r w:rsidR="0041006B">
        <w:t>6</w:t>
      </w:r>
      <w:r w:rsidR="00FF1D47">
        <w:t>)</w:t>
      </w:r>
      <w:r w:rsidR="00B7047F">
        <w:t xml:space="preserve"> to 8(1</w:t>
      </w:r>
      <w:r w:rsidR="0041006B">
        <w:t>1</w:t>
      </w:r>
      <w:r w:rsidR="00B7047F">
        <w:t>)</w:t>
      </w:r>
      <w:r w:rsidR="00FF1D47">
        <w:t xml:space="preserve"> </w:t>
      </w:r>
      <w:r w:rsidRPr="00187DE1">
        <w:t>appl</w:t>
      </w:r>
      <w:r w:rsidR="00FF1D47">
        <w:t>y</w:t>
      </w:r>
      <w:r w:rsidRPr="00187DE1">
        <w:t xml:space="preserve"> only to material contribution to, or aggravation of, </w:t>
      </w:r>
      <w:r w:rsidR="00D16B53" w:rsidRPr="00D16B53">
        <w:t>bruxism</w:t>
      </w:r>
      <w:r w:rsidR="007A3989">
        <w:t xml:space="preserve"> </w:t>
      </w:r>
      <w:r w:rsidRPr="00187DE1">
        <w:t>where the person</w:t>
      </w:r>
      <w:r w:rsidR="00693F5A">
        <w:t>'</w:t>
      </w:r>
      <w:r w:rsidRPr="00187DE1">
        <w:t xml:space="preserve">s </w:t>
      </w:r>
      <w:r w:rsidR="00D16B53" w:rsidRPr="00D16B53">
        <w:t>bruxism</w:t>
      </w:r>
      <w:r w:rsidR="007A3989">
        <w:t xml:space="preserve"> </w:t>
      </w:r>
      <w:r w:rsidRPr="00187DE1">
        <w:t>was suffered or contracted before or during (but did not arise out of) the person</w:t>
      </w:r>
      <w:r w:rsidR="00693F5A">
        <w:t>'</w:t>
      </w:r>
      <w:r w:rsidRPr="00187DE1">
        <w:t xml:space="preserve">s relevant service. </w:t>
      </w:r>
    </w:p>
    <w:p w:rsidR="00774897" w:rsidRPr="00301C54" w:rsidRDefault="00774897" w:rsidP="00C96667">
      <w:pPr>
        <w:pStyle w:val="LV1"/>
      </w:pPr>
      <w:bookmarkStart w:id="29" w:name="_Toc459109918"/>
      <w:r w:rsidRPr="00301C54">
        <w:t>Factors referring to an injury or disea</w:t>
      </w:r>
      <w:r w:rsidR="008B2204">
        <w:t>se covered by another Statement</w:t>
      </w:r>
      <w:r w:rsidRPr="00301C54">
        <w:t xml:space="preserve"> of Principles</w:t>
      </w:r>
      <w:bookmarkEnd w:id="29"/>
    </w:p>
    <w:p w:rsidR="00F03C06" w:rsidRPr="00E64EE4" w:rsidRDefault="00F03C06" w:rsidP="00F97A62">
      <w:pPr>
        <w:pStyle w:val="PlainIndent"/>
      </w:pPr>
      <w:r w:rsidRPr="00E64EE4">
        <w:t>In this Statement of Principles:</w:t>
      </w:r>
    </w:p>
    <w:p w:rsidR="00F03C06" w:rsidRPr="00E64EE4" w:rsidRDefault="00F03C06" w:rsidP="007A2AA2">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7A2AA2">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0" w:name="opcAmSched"/>
      <w:bookmarkStart w:id="31" w:name="opcCurrentFind"/>
      <w:bookmarkStart w:id="32" w:name="_Toc45910991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459109920"/>
      <w:r w:rsidRPr="00D97BB3">
        <w:t>Definitions</w:t>
      </w:r>
      <w:bookmarkEnd w:id="33"/>
      <w:bookmarkEnd w:id="34"/>
    </w:p>
    <w:p w:rsidR="00702C42" w:rsidRPr="00516768" w:rsidRDefault="00702C42" w:rsidP="00F97A62">
      <w:pPr>
        <w:pStyle w:val="SH2"/>
      </w:pPr>
      <w:r w:rsidRPr="00516768">
        <w:t>In this instrument:</w:t>
      </w:r>
    </w:p>
    <w:p w:rsidR="00482A77" w:rsidRPr="00513D05" w:rsidRDefault="00482A77" w:rsidP="00482A77">
      <w:pPr>
        <w:pStyle w:val="SH3"/>
        <w:ind w:left="851" w:hanging="851"/>
      </w:pPr>
      <w:bookmarkStart w:id="35" w:name="_Ref402530810"/>
      <w:r w:rsidRPr="00B8513E">
        <w:rPr>
          <w:b/>
          <w:i/>
        </w:rPr>
        <w:t>bruxism</w:t>
      </w:r>
      <w:r w:rsidRPr="00513D05">
        <w:t>—see subsection</w:t>
      </w:r>
      <w:r>
        <w:t xml:space="preserve"> 6(2).</w:t>
      </w:r>
    </w:p>
    <w:p w:rsidR="00482A77" w:rsidRDefault="00482A77" w:rsidP="00482A77">
      <w:pPr>
        <w:pStyle w:val="SH3"/>
      </w:pPr>
      <w:r w:rsidRPr="000F69E2">
        <w:rPr>
          <w:b/>
          <w:i/>
        </w:rPr>
        <w:t>clinically significant neurological condition as specified</w:t>
      </w:r>
      <w:r>
        <w:t xml:space="preserve"> means one of the following conditions:</w:t>
      </w:r>
    </w:p>
    <w:p w:rsidR="00482A77" w:rsidRDefault="00482A77" w:rsidP="00482A77">
      <w:pPr>
        <w:pStyle w:val="SH4"/>
        <w:ind w:left="1418"/>
      </w:pPr>
      <w:r>
        <w:t xml:space="preserve">craniocervical dystonia; </w:t>
      </w:r>
    </w:p>
    <w:p w:rsidR="00482A77" w:rsidRDefault="00482A77" w:rsidP="00482A77">
      <w:pPr>
        <w:pStyle w:val="SH4"/>
        <w:ind w:left="1418"/>
      </w:pPr>
      <w:r>
        <w:t>Huntington's chorea;</w:t>
      </w:r>
      <w:r w:rsidR="00B7047F">
        <w:t xml:space="preserve"> or</w:t>
      </w:r>
    </w:p>
    <w:p w:rsidR="00482A77" w:rsidRDefault="00482A77" w:rsidP="00482A77">
      <w:pPr>
        <w:pStyle w:val="SH4"/>
        <w:ind w:left="1418"/>
      </w:pPr>
      <w:r>
        <w:t>Parkinson's dise</w:t>
      </w:r>
      <w:r w:rsidR="00B7047F">
        <w:t xml:space="preserve">ase </w:t>
      </w:r>
      <w:r w:rsidR="00EE7B8A">
        <w:t>or</w:t>
      </w:r>
      <w:r w:rsidR="00B7047F">
        <w:t xml:space="preserve"> secondary parkinsonism.</w:t>
      </w:r>
    </w:p>
    <w:p w:rsidR="00482A77" w:rsidRDefault="00482A77" w:rsidP="00482A77">
      <w:pPr>
        <w:pStyle w:val="NOTE"/>
      </w:pPr>
      <w:r w:rsidRPr="00117E4A">
        <w:t xml:space="preserve">Note: </w:t>
      </w:r>
      <w:r>
        <w:rPr>
          <w:b/>
          <w:i/>
        </w:rPr>
        <w:t>craniocervical dystonia</w:t>
      </w:r>
      <w:r w:rsidRPr="00117E4A">
        <w:t xml:space="preserve"> </w:t>
      </w:r>
      <w:r>
        <w:t>is</w:t>
      </w:r>
      <w:r w:rsidRPr="00117E4A">
        <w:t xml:space="preserve"> also defined in the Schedule 1 - Dictionary.</w:t>
      </w:r>
    </w:p>
    <w:p w:rsidR="00482A77" w:rsidRDefault="00482A77" w:rsidP="00482A77">
      <w:pPr>
        <w:pStyle w:val="SH3"/>
      </w:pPr>
      <w:r w:rsidRPr="000F69E2">
        <w:rPr>
          <w:b/>
          <w:i/>
        </w:rPr>
        <w:t>craniocervical dystonia</w:t>
      </w:r>
      <w:r>
        <w:t xml:space="preserve"> means cervical, facial, cranial or oromandibular dystonia, including spasmodic torticollis.</w:t>
      </w:r>
    </w:p>
    <w:p w:rsidR="00482A77" w:rsidRPr="009C404D" w:rsidRDefault="00482A77" w:rsidP="00482A77">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5"/>
    <w:p w:rsidR="00482A77" w:rsidRPr="00C50049" w:rsidRDefault="00482A77" w:rsidP="00482A77">
      <w:pPr>
        <w:pStyle w:val="SH3"/>
      </w:pPr>
      <w:r w:rsidRPr="00C50049">
        <w:rPr>
          <w:b/>
          <w:i/>
        </w:rPr>
        <w:t>pack-year of cigarettes, or the equivalent thereof in other tobacco products</w:t>
      </w:r>
      <w:r w:rsidRPr="00C50049">
        <w:t xml:space="preserve"> means a calculation of consumption where one pack-year of cigarettes equals 20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Default="00C77046" w:rsidP="00984EE9">
      <w:pPr>
        <w:pStyle w:val="SH4"/>
        <w:ind w:left="1418"/>
      </w:pPr>
      <w:r>
        <w:t>peacetime service under the MRCA.</w:t>
      </w:r>
    </w:p>
    <w:p w:rsidR="00970E5E" w:rsidRPr="00513D05" w:rsidRDefault="00970E5E" w:rsidP="00970E5E">
      <w:pPr>
        <w:pStyle w:val="NOTE"/>
      </w:pPr>
      <w:r>
        <w:t xml:space="preserve">Note: </w:t>
      </w:r>
      <w:r>
        <w:rPr>
          <w:b/>
          <w:i/>
        </w:rPr>
        <w:t>MRCA</w:t>
      </w:r>
      <w:r w:rsidRPr="00DE72B1">
        <w:t xml:space="preserve"> </w:t>
      </w:r>
      <w:r w:rsidRPr="00D3768C">
        <w:t>and</w:t>
      </w:r>
      <w:r w:rsidRPr="00DE72B1">
        <w:t xml:space="preserve"> </w:t>
      </w:r>
      <w:r>
        <w:rPr>
          <w:b/>
          <w:i/>
        </w:rPr>
        <w:t>VEA</w:t>
      </w:r>
      <w:r>
        <w:t xml:space="preserve"> are also</w:t>
      </w:r>
      <w:r w:rsidRPr="00046E67">
        <w:t xml:space="preserve"> defined in the </w:t>
      </w:r>
      <w:r>
        <w:t xml:space="preserve">Schedule 1 - </w:t>
      </w:r>
      <w:r w:rsidRPr="00046E67">
        <w:t>Dictionary.</w:t>
      </w:r>
      <w:r w:rsidRPr="00046E67">
        <w:tab/>
      </w:r>
    </w:p>
    <w:p w:rsidR="00482A77" w:rsidRDefault="00482A77" w:rsidP="00482A77">
      <w:pPr>
        <w:pStyle w:val="SH3"/>
      </w:pPr>
      <w:r w:rsidRPr="005A56D4">
        <w:rPr>
          <w:b/>
          <w:i/>
        </w:rPr>
        <w:t>specified list of drugs</w:t>
      </w:r>
      <w:r>
        <w:t xml:space="preserve"> means: </w:t>
      </w:r>
    </w:p>
    <w:p w:rsidR="00482A77" w:rsidRDefault="00482A77" w:rsidP="00482A77">
      <w:pPr>
        <w:pStyle w:val="SH4"/>
        <w:ind w:left="1418"/>
      </w:pPr>
      <w:r>
        <w:t>amphetamines and amphetamine-type substances including methamphetamine, 3,4-methylenedioxymethamphetamine (ecstasy), dexamphetamine (Dexedrine) and methylphenidate (Ritalin);</w:t>
      </w:r>
    </w:p>
    <w:p w:rsidR="00482A77" w:rsidRDefault="00482A77" w:rsidP="00482A77">
      <w:pPr>
        <w:pStyle w:val="SH4"/>
        <w:ind w:left="1418"/>
      </w:pPr>
      <w:r>
        <w:t xml:space="preserve">antipsychotics; </w:t>
      </w:r>
    </w:p>
    <w:p w:rsidR="00482A77" w:rsidRDefault="00482A77" w:rsidP="00482A77">
      <w:pPr>
        <w:pStyle w:val="SH4"/>
        <w:ind w:left="1418"/>
      </w:pPr>
      <w:r>
        <w:t>levodopa;</w:t>
      </w:r>
    </w:p>
    <w:p w:rsidR="00367AB4" w:rsidRDefault="00367AB4" w:rsidP="00482A77">
      <w:pPr>
        <w:pStyle w:val="SH4"/>
        <w:ind w:left="1418"/>
      </w:pPr>
      <w:r>
        <w:t xml:space="preserve">selective serotonin reuptake inhibitors; </w:t>
      </w:r>
    </w:p>
    <w:p w:rsidR="00482A77" w:rsidRDefault="00482A77" w:rsidP="00482A77">
      <w:pPr>
        <w:pStyle w:val="SH4"/>
        <w:ind w:left="1418"/>
      </w:pPr>
      <w:r>
        <w:t>serotonin and noradrenaline (norepinephrine) reuptake inhibitors;</w:t>
      </w:r>
      <w:r w:rsidR="00367AB4">
        <w:t xml:space="preserve"> or</w:t>
      </w:r>
    </w:p>
    <w:p w:rsidR="00482A77" w:rsidRDefault="00482A77" w:rsidP="00482A77">
      <w:pPr>
        <w:pStyle w:val="SH4"/>
        <w:ind w:left="1418"/>
      </w:pPr>
      <w:r>
        <w:t>tricyclic antidepressants</w:t>
      </w:r>
      <w:r w:rsidR="00B7047F">
        <w:t>.</w:t>
      </w:r>
    </w:p>
    <w:p w:rsidR="00885EAB" w:rsidRPr="009C404D" w:rsidRDefault="00054930" w:rsidP="004655DF">
      <w:pPr>
        <w:pStyle w:val="SH3"/>
        <w:keepNext/>
        <w:ind w:left="851" w:hanging="851"/>
      </w:pPr>
      <w:r>
        <w:rPr>
          <w:b/>
          <w:i/>
        </w:rPr>
        <w:lastRenderedPageBreak/>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836587">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795F0E" w:rsidRPr="00795F0E">
            <w:rPr>
              <w:i/>
              <w:sz w:val="18"/>
              <w:szCs w:val="18"/>
            </w:rPr>
            <w:t>Sop Name</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6365EC">
            <w:rPr>
              <w:i/>
              <w:sz w:val="18"/>
              <w:szCs w:val="18"/>
            </w:rPr>
            <w:t>92</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795F0E" w:rsidRPr="00795F0E">
            <w:rPr>
              <w:i/>
              <w:sz w:val="18"/>
              <w:szCs w:val="18"/>
            </w:rPr>
            <w:t>year</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693F5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6F2D64">
            <w:rPr>
              <w:i/>
              <w:noProof/>
              <w:sz w:val="18"/>
            </w:rPr>
            <w:t>6</w:t>
          </w:r>
          <w:r w:rsidR="00836587">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F03C06" w:rsidRPr="00C01863" w:rsidTr="00836587">
      <w:tc>
        <w:tcPr>
          <w:tcW w:w="851"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763"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D16B53" w:rsidP="005226B5">
          <w:pPr>
            <w:spacing w:line="0" w:lineRule="atLeast"/>
            <w:jc w:val="center"/>
            <w:rPr>
              <w:i/>
              <w:sz w:val="18"/>
              <w:szCs w:val="18"/>
            </w:rPr>
          </w:pPr>
          <w:r w:rsidRPr="00D16B53">
            <w:rPr>
              <w:i/>
              <w:sz w:val="18"/>
              <w:szCs w:val="18"/>
            </w:rPr>
            <w:t>Bruxism</w:t>
          </w:r>
          <w:r w:rsidR="005226B5">
            <w:rPr>
              <w:i/>
              <w:sz w:val="18"/>
              <w:szCs w:val="18"/>
            </w:rPr>
            <w:t xml:space="preserve"> (Balance of Probabilities) </w:t>
          </w:r>
          <w:r w:rsidR="005226B5" w:rsidRPr="007C5CE0">
            <w:rPr>
              <w:i/>
              <w:sz w:val="18"/>
            </w:rPr>
            <w:t xml:space="preserve">(No. </w:t>
          </w:r>
          <w:r w:rsidR="006365EC">
            <w:rPr>
              <w:i/>
              <w:sz w:val="18"/>
              <w:szCs w:val="18"/>
            </w:rPr>
            <w:t>92</w:t>
          </w:r>
          <w:r w:rsidR="005226B5" w:rsidRPr="007C5CE0">
            <w:rPr>
              <w:i/>
              <w:sz w:val="18"/>
              <w:szCs w:val="18"/>
            </w:rPr>
            <w:t xml:space="preserve"> of </w:t>
          </w:r>
          <w:r w:rsidRPr="00D16B53">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693F5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45612">
            <w:rPr>
              <w:i/>
              <w:noProof/>
              <w:sz w:val="18"/>
            </w:rPr>
            <w:t>7</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D45612">
            <w:rPr>
              <w:i/>
              <w:noProof/>
              <w:sz w:val="18"/>
            </w:rPr>
            <w:t>7</w:t>
          </w:r>
          <w:r w:rsidR="00836587">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7F2378" w:rsidRPr="00C01863" w:rsidTr="00836587">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088"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D16B53" w:rsidP="005226B5">
          <w:pPr>
            <w:spacing w:line="0" w:lineRule="atLeast"/>
            <w:jc w:val="center"/>
            <w:rPr>
              <w:i/>
              <w:sz w:val="18"/>
              <w:szCs w:val="18"/>
            </w:rPr>
          </w:pPr>
          <w:r w:rsidRPr="00D16B53">
            <w:rPr>
              <w:i/>
              <w:sz w:val="18"/>
              <w:szCs w:val="18"/>
            </w:rPr>
            <w:t>Bruxism</w:t>
          </w:r>
          <w:r w:rsidR="005226B5">
            <w:rPr>
              <w:i/>
              <w:sz w:val="18"/>
              <w:szCs w:val="18"/>
            </w:rPr>
            <w:t xml:space="preserve"> (Balance of Probabilities) </w:t>
          </w:r>
          <w:r w:rsidR="007F2378" w:rsidRPr="007C5CE0">
            <w:rPr>
              <w:i/>
              <w:sz w:val="18"/>
            </w:rPr>
            <w:t xml:space="preserve">(No. </w:t>
          </w:r>
          <w:r w:rsidR="006365EC">
            <w:rPr>
              <w:i/>
              <w:sz w:val="18"/>
              <w:szCs w:val="18"/>
            </w:rPr>
            <w:t>92</w:t>
          </w:r>
          <w:r w:rsidR="007F2378" w:rsidRPr="007C5CE0">
            <w:rPr>
              <w:i/>
              <w:sz w:val="18"/>
              <w:szCs w:val="18"/>
            </w:rPr>
            <w:t xml:space="preserve"> of </w:t>
          </w:r>
          <w:r w:rsidRPr="00D16B53">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sidR="00693F5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45612">
            <w:rPr>
              <w:i/>
              <w:noProof/>
              <w:sz w:val="18"/>
            </w:rPr>
            <w:t>1</w:t>
          </w:r>
          <w:r w:rsidRPr="00C01863">
            <w:rPr>
              <w:i/>
              <w:sz w:val="18"/>
            </w:rPr>
            <w:fldChar w:fldCharType="end"/>
          </w:r>
          <w:r w:rsidR="00160E32">
            <w:rPr>
              <w:i/>
              <w:sz w:val="18"/>
            </w:rPr>
            <w:t xml:space="preserve"> of </w:t>
          </w:r>
          <w:r w:rsidR="00160E32">
            <w:rPr>
              <w:i/>
              <w:sz w:val="18"/>
            </w:rPr>
            <w:fldChar w:fldCharType="begin"/>
          </w:r>
          <w:r w:rsidR="00160E32">
            <w:rPr>
              <w:i/>
              <w:sz w:val="18"/>
            </w:rPr>
            <w:instrText xml:space="preserve"> NUMPAGES </w:instrText>
          </w:r>
          <w:r w:rsidR="00160E32">
            <w:rPr>
              <w:i/>
              <w:sz w:val="18"/>
            </w:rPr>
            <w:fldChar w:fldCharType="separate"/>
          </w:r>
          <w:r w:rsidR="00D45612">
            <w:rPr>
              <w:i/>
              <w:noProof/>
              <w:sz w:val="18"/>
            </w:rPr>
            <w:t>7</w:t>
          </w:r>
          <w:r w:rsidR="00160E32">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95F0E">
            <w:rPr>
              <w:i/>
              <w:sz w:val="18"/>
            </w:rPr>
            <w:t>Veterans</w:t>
          </w:r>
          <w:r w:rsidR="00693F5A">
            <w:rPr>
              <w:i/>
              <w:sz w:val="18"/>
            </w:rPr>
            <w:t>'</w:t>
          </w:r>
          <w:r w:rsidR="00795F0E">
            <w:rPr>
              <w:i/>
              <w:sz w:val="18"/>
            </w:rPr>
            <w:t xml:space="preserve"> Entitlements (Soft Tissue Sarcoma) Statement of Principles 2015 (No. </w:t>
          </w:r>
          <w:r w:rsidR="006365EC">
            <w:rPr>
              <w:i/>
              <w:sz w:val="18"/>
            </w:rPr>
            <w:t>92</w:t>
          </w:r>
          <w:r w:rsidR="00795F0E">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713802EC" wp14:editId="0CD5152B">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802EC"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95F0E">
            <w:rPr>
              <w:i/>
              <w:sz w:val="18"/>
            </w:rPr>
            <w:t>Veterans</w:t>
          </w:r>
          <w:r w:rsidR="00693F5A">
            <w:rPr>
              <w:i/>
              <w:sz w:val="18"/>
            </w:rPr>
            <w:t>'</w:t>
          </w:r>
          <w:r w:rsidR="00795F0E">
            <w:rPr>
              <w:i/>
              <w:sz w:val="18"/>
            </w:rPr>
            <w:t xml:space="preserve"> Entitlements (Soft Tissue Sarcoma) Statement of Principles 2015 (No. </w:t>
          </w:r>
          <w:r w:rsidR="006365EC">
            <w:rPr>
              <w:i/>
              <w:sz w:val="18"/>
            </w:rPr>
            <w:t>92</w:t>
          </w:r>
          <w:r w:rsidR="00795F0E">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82A77">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95F0E">
            <w:rPr>
              <w:i/>
              <w:sz w:val="18"/>
            </w:rPr>
            <w:t>Veterans</w:t>
          </w:r>
          <w:r w:rsidR="00693F5A">
            <w:rPr>
              <w:i/>
              <w:sz w:val="18"/>
            </w:rPr>
            <w:t>'</w:t>
          </w:r>
          <w:r w:rsidR="00795F0E">
            <w:rPr>
              <w:i/>
              <w:sz w:val="18"/>
            </w:rPr>
            <w:t xml:space="preserve"> Entitlements (Soft Tissue Sarcoma) Statement of Principles 2015 (No. </w:t>
          </w:r>
          <w:r w:rsidR="006365EC">
            <w:rPr>
              <w:i/>
              <w:sz w:val="18"/>
            </w:rPr>
            <w:t>92</w:t>
          </w:r>
          <w:r w:rsidR="00795F0E">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6F2D64">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6F2D64">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6365EC" w:rsidP="0053697E">
    <w:pPr>
      <w:rPr>
        <w:sz w:val="20"/>
      </w:rPr>
    </w:pPr>
    <w:r>
      <w:rPr>
        <w:b/>
        <w:noProof/>
        <w:sz w:val="20"/>
      </w:rPr>
      <w:t>Schedule 1</w:t>
    </w:r>
    <w:r w:rsidR="0053697E">
      <w:rPr>
        <w:sz w:val="20"/>
      </w:rPr>
      <w:t xml:space="preserve"> - </w:t>
    </w:r>
    <w:r>
      <w:rPr>
        <w:noProof/>
        <w:sz w:val="20"/>
      </w:rPr>
      <w:t>Dictionary</w:t>
    </w:r>
  </w:p>
  <w:p w:rsidR="00885EAB" w:rsidRDefault="00885EAB" w:rsidP="0053697E">
    <w:pPr>
      <w:rPr>
        <w:b/>
        <w:sz w:val="20"/>
      </w:rPr>
    </w:pP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482A77">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482A77">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82A77">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482A77">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482A77">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95F0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482A77">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B0C61E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0"/>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1FE"/>
    <w:rsid w:val="00360459"/>
    <w:rsid w:val="00365E25"/>
    <w:rsid w:val="00367AB4"/>
    <w:rsid w:val="003734C6"/>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006B"/>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55DF"/>
    <w:rsid w:val="00467661"/>
    <w:rsid w:val="004705B7"/>
    <w:rsid w:val="00472DBE"/>
    <w:rsid w:val="00474A19"/>
    <w:rsid w:val="00482A77"/>
    <w:rsid w:val="004834A1"/>
    <w:rsid w:val="004840A6"/>
    <w:rsid w:val="0048486E"/>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365EC"/>
    <w:rsid w:val="0066266D"/>
    <w:rsid w:val="006647B7"/>
    <w:rsid w:val="00667A4E"/>
    <w:rsid w:val="00670EA1"/>
    <w:rsid w:val="00677CC2"/>
    <w:rsid w:val="006840B0"/>
    <w:rsid w:val="00684C0E"/>
    <w:rsid w:val="006905DE"/>
    <w:rsid w:val="0069207B"/>
    <w:rsid w:val="00693F5A"/>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2AA2"/>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0E5E"/>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39D8"/>
    <w:rsid w:val="00A931D7"/>
    <w:rsid w:val="00AA64D6"/>
    <w:rsid w:val="00AA6D8B"/>
    <w:rsid w:val="00AD22E2"/>
    <w:rsid w:val="00AD2DC7"/>
    <w:rsid w:val="00AD5641"/>
    <w:rsid w:val="00AD7889"/>
    <w:rsid w:val="00AD7AC2"/>
    <w:rsid w:val="00AD7DCC"/>
    <w:rsid w:val="00AE23A9"/>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047F"/>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3D3A"/>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1E9"/>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16B53"/>
    <w:rsid w:val="00D32F65"/>
    <w:rsid w:val="00D32F71"/>
    <w:rsid w:val="00D3768C"/>
    <w:rsid w:val="00D377E3"/>
    <w:rsid w:val="00D45612"/>
    <w:rsid w:val="00D50484"/>
    <w:rsid w:val="00D527C9"/>
    <w:rsid w:val="00D52DC2"/>
    <w:rsid w:val="00D53BCC"/>
    <w:rsid w:val="00D5599D"/>
    <w:rsid w:val="00D5620B"/>
    <w:rsid w:val="00D60FC8"/>
    <w:rsid w:val="00D64E0A"/>
    <w:rsid w:val="00D70DFB"/>
    <w:rsid w:val="00D71633"/>
    <w:rsid w:val="00D71A38"/>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E72B1"/>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7B8A"/>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7A2AA2"/>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1219</Words>
  <Characters>6954</Characters>
  <Application>Microsoft Office Word</Application>
  <DocSecurity>0</DocSecurity>
  <PresentationFormat/>
  <Lines>57</Lines>
  <Paragraphs>16</Paragraphs>
  <ScaleCrop>false</ScaleCrop>
  <Manager/>
  <Company/>
  <LinksUpToDate>false</LinksUpToDate>
  <CharactersWithSpaces>8157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2016-10-25T02:18:00Z</dcterms:created>
  <dcterms:modified xsi:type="dcterms:W3CDTF">2016-10-25T02:19:00Z</dcterms:modified>
  <cp:category/>
  <cp:contentStatus/>
  <dc:language/>
  <cp:version/>
</cp:coreProperties>
</file>