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A25BE8" w:rsidP="006647B7">
      <w:pPr>
        <w:pStyle w:val="Plainheader"/>
      </w:pPr>
      <w:bookmarkStart w:id="1" w:name="SoP_Name_Title"/>
      <w:r>
        <w:t>OPISTHORCHIASIS</w:t>
      </w:r>
      <w:bookmarkEnd w:id="1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090329">
        <w:t>45</w:t>
      </w:r>
      <w:r w:rsidRPr="00024911">
        <w:t xml:space="preserve"> of</w:t>
      </w:r>
      <w:r w:rsidR="00085567">
        <w:t xml:space="preserve"> </w:t>
      </w:r>
      <w:bookmarkStart w:id="2" w:name="year"/>
      <w:r w:rsidR="00A25BE8">
        <w:t>2016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Veterans’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90329">
        <w:t>22 April 2016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090329" w:rsidRPr="00090329" w:rsidRDefault="00090329" w:rsidP="00090329">
      <w:pPr>
        <w:pStyle w:val="Plain"/>
      </w:pPr>
      <w:r w:rsidRPr="00090329">
        <w:t>The Common Seal of the</w:t>
      </w:r>
      <w:r w:rsidRPr="00090329">
        <w:br/>
        <w:t>Repatriation Medical Authority</w:t>
      </w:r>
      <w:r w:rsidRPr="00090329">
        <w:br/>
        <w:t>was affixed to this instrument</w:t>
      </w:r>
      <w:r w:rsidRPr="00090329">
        <w:br/>
        <w:t>at the direction of:</w:t>
      </w:r>
    </w:p>
    <w:p w:rsidR="00090329" w:rsidRPr="00090329" w:rsidRDefault="00090329" w:rsidP="00090329">
      <w:pPr>
        <w:pStyle w:val="Plain"/>
      </w:pPr>
      <w:r w:rsidRPr="00090329">
        <w:rPr>
          <w:noProof/>
        </w:rPr>
        <w:drawing>
          <wp:anchor distT="0" distB="0" distL="114300" distR="114300" simplePos="0" relativeHeight="251659264" behindDoc="1" locked="0" layoutInCell="1" allowOverlap="1" wp14:anchorId="4B3A9120" wp14:editId="20DE4CFF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329" w:rsidRPr="00090329" w:rsidRDefault="00090329" w:rsidP="00090329">
      <w:pPr>
        <w:pStyle w:val="Plain"/>
      </w:pPr>
    </w:p>
    <w:p w:rsidR="00090329" w:rsidRPr="00090329" w:rsidRDefault="00090329" w:rsidP="00090329">
      <w:pPr>
        <w:pStyle w:val="Plain"/>
      </w:pPr>
    </w:p>
    <w:p w:rsidR="00090329" w:rsidRPr="00090329" w:rsidRDefault="00090329" w:rsidP="00090329">
      <w:pPr>
        <w:pStyle w:val="Plain"/>
      </w:pPr>
    </w:p>
    <w:p w:rsidR="00090329" w:rsidRPr="00090329" w:rsidRDefault="00090329" w:rsidP="00090329">
      <w:pPr>
        <w:pStyle w:val="Plain"/>
      </w:pPr>
    </w:p>
    <w:p w:rsidR="00090329" w:rsidRPr="00090329" w:rsidRDefault="00090329" w:rsidP="00090329">
      <w:pPr>
        <w:pStyle w:val="Plain"/>
      </w:pPr>
      <w:r w:rsidRPr="00090329">
        <w:t>Professor Nicholas Saunders AO</w:t>
      </w:r>
    </w:p>
    <w:p w:rsidR="00F67B67" w:rsidRPr="007527C1" w:rsidRDefault="00090329" w:rsidP="00090329">
      <w:pPr>
        <w:pStyle w:val="Plain"/>
      </w:pPr>
      <w:r w:rsidRPr="00090329">
        <w:t>Chairperson</w:t>
      </w: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A25BE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25BE8">
        <w:rPr>
          <w:noProof/>
        </w:rPr>
        <w:t>1</w:t>
      </w:r>
      <w:r w:rsidR="00A25BE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25BE8">
        <w:rPr>
          <w:noProof/>
        </w:rPr>
        <w:t>Name</w:t>
      </w:r>
      <w:r w:rsidR="00A25BE8">
        <w:rPr>
          <w:noProof/>
        </w:rPr>
        <w:tab/>
      </w:r>
      <w:r w:rsidR="00A25BE8">
        <w:rPr>
          <w:noProof/>
        </w:rPr>
        <w:fldChar w:fldCharType="begin"/>
      </w:r>
      <w:r w:rsidR="00A25BE8">
        <w:rPr>
          <w:noProof/>
        </w:rPr>
        <w:instrText xml:space="preserve"> PAGEREF _Toc445884000 \h </w:instrText>
      </w:r>
      <w:r w:rsidR="00A25BE8">
        <w:rPr>
          <w:noProof/>
        </w:rPr>
      </w:r>
      <w:r w:rsidR="00A25BE8">
        <w:rPr>
          <w:noProof/>
        </w:rPr>
        <w:fldChar w:fldCharType="separate"/>
      </w:r>
      <w:r w:rsidR="00090329">
        <w:rPr>
          <w:noProof/>
        </w:rPr>
        <w:t>3</w:t>
      </w:r>
      <w:r w:rsidR="00A25BE8">
        <w:rPr>
          <w:noProof/>
        </w:rPr>
        <w:fldChar w:fldCharType="end"/>
      </w:r>
    </w:p>
    <w:p w:rsidR="00A25BE8" w:rsidRDefault="00A25B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_Toc445884001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3</w:t>
      </w:r>
      <w:r>
        <w:rPr>
          <w:noProof/>
        </w:rPr>
        <w:fldChar w:fldCharType="end"/>
      </w:r>
    </w:p>
    <w:p w:rsidR="00A25BE8" w:rsidRDefault="00A25B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_Toc445884002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3</w:t>
      </w:r>
      <w:r>
        <w:rPr>
          <w:noProof/>
        </w:rPr>
        <w:fldChar w:fldCharType="end"/>
      </w:r>
    </w:p>
    <w:p w:rsidR="00A25BE8" w:rsidRDefault="00A25B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_Toc445884003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3</w:t>
      </w:r>
      <w:r>
        <w:rPr>
          <w:noProof/>
        </w:rPr>
        <w:fldChar w:fldCharType="end"/>
      </w:r>
    </w:p>
    <w:p w:rsidR="00A25BE8" w:rsidRDefault="00A25B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_Toc445884004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3</w:t>
      </w:r>
      <w:r>
        <w:rPr>
          <w:noProof/>
        </w:rPr>
        <w:fldChar w:fldCharType="end"/>
      </w:r>
    </w:p>
    <w:p w:rsidR="00A25BE8" w:rsidRDefault="00A25B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_Toc445884005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3</w:t>
      </w:r>
      <w:r>
        <w:rPr>
          <w:noProof/>
        </w:rPr>
        <w:fldChar w:fldCharType="end"/>
      </w:r>
    </w:p>
    <w:p w:rsidR="00A25BE8" w:rsidRDefault="00A25B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_Toc445884006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3</w:t>
      </w:r>
      <w:r>
        <w:rPr>
          <w:noProof/>
        </w:rPr>
        <w:fldChar w:fldCharType="end"/>
      </w:r>
    </w:p>
    <w:p w:rsidR="00A25BE8" w:rsidRDefault="00A25B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_Toc445884007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4</w:t>
      </w:r>
      <w:r>
        <w:rPr>
          <w:noProof/>
        </w:rPr>
        <w:fldChar w:fldCharType="end"/>
      </w:r>
    </w:p>
    <w:p w:rsidR="00A25BE8" w:rsidRDefault="00A25B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_Toc445884008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4</w:t>
      </w:r>
      <w:r>
        <w:rPr>
          <w:noProof/>
        </w:rPr>
        <w:fldChar w:fldCharType="end"/>
      </w:r>
    </w:p>
    <w:p w:rsidR="00A25BE8" w:rsidRDefault="00A25B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_Toc445884009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5</w:t>
      </w:r>
      <w:r>
        <w:rPr>
          <w:noProof/>
        </w:rPr>
        <w:fldChar w:fldCharType="end"/>
      </w:r>
    </w:p>
    <w:p w:rsidR="00A25BE8" w:rsidRDefault="00A25B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_Toc445884010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5</w:t>
      </w:r>
      <w:r>
        <w:rPr>
          <w:noProof/>
        </w:rPr>
        <w:fldChar w:fldCharType="end"/>
      </w:r>
    </w:p>
    <w:p w:rsidR="00A25BE8" w:rsidRDefault="00A25BE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_Toc445884011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6</w:t>
      </w:r>
      <w:r>
        <w:rPr>
          <w:noProof/>
        </w:rPr>
        <w:fldChar w:fldCharType="end"/>
      </w:r>
    </w:p>
    <w:p w:rsidR="00A25BE8" w:rsidRDefault="00A25BE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_Toc445884012 \h </w:instrText>
      </w:r>
      <w:r>
        <w:rPr>
          <w:noProof/>
        </w:rPr>
      </w:r>
      <w:r>
        <w:rPr>
          <w:noProof/>
        </w:rPr>
        <w:fldChar w:fldCharType="separate"/>
      </w:r>
      <w:r w:rsidR="00090329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DA3996">
      <w:pPr>
        <w:pStyle w:val="LV3"/>
      </w:pPr>
      <w:r w:rsidRPr="003A2FFE"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4" w:name="_Toc445884000"/>
      <w:r>
        <w:lastRenderedPageBreak/>
        <w:t>Name</w:t>
      </w:r>
      <w:bookmarkEnd w:id="4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A3989">
        <w:rPr>
          <w:i/>
        </w:rPr>
        <w:t>op</w:t>
      </w:r>
      <w:r w:rsidR="00A25BE8">
        <w:rPr>
          <w:i/>
        </w:rPr>
        <w:t>isthorchiasis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90329">
        <w:t>45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A25BE8">
        <w:t>2016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7" w:name="_Toc445884001"/>
      <w:r w:rsidRPr="00684C0E">
        <w:t>Commencement</w:t>
      </w:r>
      <w:bookmarkEnd w:id="7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90329" w:rsidRPr="00090329">
        <w:t>23 May 2016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8" w:name="_Toc445884002"/>
      <w:r w:rsidRPr="00684C0E">
        <w:t>Authority</w:t>
      </w:r>
      <w:bookmarkEnd w:id="8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Veterans’ Entitlements Act 1986</w:t>
      </w:r>
      <w:r w:rsidRPr="007527C1">
        <w:t>.</w:t>
      </w:r>
    </w:p>
    <w:p w:rsidR="00DA3996" w:rsidRPr="00684C0E" w:rsidRDefault="00DA3996" w:rsidP="00DA3996">
      <w:pPr>
        <w:pStyle w:val="LV1"/>
      </w:pPr>
      <w:bookmarkStart w:id="9" w:name="_Toc445884003"/>
      <w:r>
        <w:t>Revocation</w:t>
      </w:r>
      <w:bookmarkEnd w:id="9"/>
    </w:p>
    <w:p w:rsidR="00DA3996" w:rsidRPr="007527C1" w:rsidRDefault="00DA3996" w:rsidP="00DA3996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A25BE8" w:rsidRPr="00A25BE8">
        <w:t>opisthorchiasis</w:t>
      </w:r>
      <w:r w:rsidR="00A25BE8">
        <w:t xml:space="preserve"> No. 111</w:t>
      </w:r>
      <w:r w:rsidRPr="00DA3996">
        <w:t xml:space="preserve"> of </w:t>
      </w:r>
      <w:r w:rsidR="00A25BE8">
        <w:t>2007</w:t>
      </w:r>
      <w:r w:rsidRPr="00DA3996">
        <w:t xml:space="preserve"> made under subsection 196B(2) of the VEA </w:t>
      </w:r>
      <w:r>
        <w:t>i</w:t>
      </w:r>
      <w:r w:rsidRPr="007527C1">
        <w:t>s</w:t>
      </w:r>
      <w:r>
        <w:t xml:space="preserve"> revoked. </w:t>
      </w:r>
    </w:p>
    <w:p w:rsidR="007C7DEE" w:rsidRPr="00684C0E" w:rsidRDefault="007C7DEE" w:rsidP="0069220C">
      <w:pPr>
        <w:pStyle w:val="LV1"/>
      </w:pPr>
      <w:bookmarkStart w:id="10" w:name="_Toc445884004"/>
      <w:r w:rsidRPr="00684C0E">
        <w:t>Application</w:t>
      </w:r>
      <w:bookmarkEnd w:id="10"/>
    </w:p>
    <w:p w:rsidR="007C7DEE" w:rsidRPr="007527C1" w:rsidRDefault="007C7DEE" w:rsidP="00DA3996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9220C">
      <w:pPr>
        <w:pStyle w:val="LV1"/>
      </w:pPr>
      <w:bookmarkStart w:id="11" w:name="_Ref410129949"/>
      <w:bookmarkStart w:id="12" w:name="_Toc445884005"/>
      <w:r w:rsidRPr="00684C0E">
        <w:t>Definitions</w:t>
      </w:r>
      <w:bookmarkEnd w:id="11"/>
      <w:bookmarkEnd w:id="12"/>
    </w:p>
    <w:p w:rsidR="00237471" w:rsidRPr="00D5620B" w:rsidRDefault="007142FB" w:rsidP="00DA3996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9220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458840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A3996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A25BE8" w:rsidRPr="00A25BE8">
        <w:t>opisthorchiasis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A25BE8" w:rsidRPr="00A25BE8">
        <w:t>opisthorchiasis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A25BE8" w:rsidRPr="00A25BE8">
        <w:rPr>
          <w:b/>
        </w:rPr>
        <w:t>opisthorchiasis</w:t>
      </w:r>
    </w:p>
    <w:p w:rsidR="002716E4" w:rsidRPr="00237BAF" w:rsidRDefault="007C7DEE" w:rsidP="00DA3996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A25BE8" w:rsidRPr="00A25BE8">
        <w:t>opisthorchiasis</w:t>
      </w:r>
      <w:r w:rsidR="008B170B">
        <w:t xml:space="preserve"> means</w:t>
      </w:r>
      <w:r w:rsidR="00A25BE8">
        <w:t xml:space="preserve"> </w:t>
      </w:r>
      <w:bookmarkEnd w:id="18"/>
      <w:r w:rsidR="00A25BE8" w:rsidRPr="00A25BE8">
        <w:t xml:space="preserve">a symptomatic clinical infection of the biliary system by the trematodes </w:t>
      </w:r>
      <w:r w:rsidR="00A25BE8" w:rsidRPr="00A25BE8">
        <w:rPr>
          <w:i/>
        </w:rPr>
        <w:t>Opisthorchis felineus</w:t>
      </w:r>
      <w:r w:rsidR="00A25BE8" w:rsidRPr="00A25BE8">
        <w:t xml:space="preserve"> or </w:t>
      </w:r>
      <w:r w:rsidR="00A25BE8" w:rsidRPr="00A25BE8">
        <w:rPr>
          <w:i/>
        </w:rPr>
        <w:t>Opisthorchis viverrini</w:t>
      </w:r>
      <w:r w:rsidR="00A25BE8" w:rsidRPr="00A25BE8">
        <w:t xml:space="preserve">. </w:t>
      </w:r>
      <w:r w:rsidR="00090329">
        <w:t xml:space="preserve"> </w:t>
      </w:r>
      <w:r w:rsidR="00A25BE8" w:rsidRPr="00A25BE8">
        <w:t>This infection is characterised by loss of appetite, diarrhoea, or a sense of abdominal pressure.</w:t>
      </w:r>
    </w:p>
    <w:bookmarkEnd w:id="19"/>
    <w:p w:rsidR="008F572A" w:rsidRPr="00237BAF" w:rsidRDefault="008F572A" w:rsidP="00DA3996">
      <w:pPr>
        <w:pStyle w:val="LV2"/>
      </w:pPr>
      <w:r w:rsidRPr="00237BAF">
        <w:t xml:space="preserve">While </w:t>
      </w:r>
      <w:r w:rsidR="00A25BE8" w:rsidRPr="00A25BE8">
        <w:t>opisthorchiasis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A25BE8" w:rsidRPr="00A25BE8">
        <w:t>B66.0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A25BE8" w:rsidRPr="00A25BE8">
        <w:t>opisthorchiasis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941893" w:rsidP="00DA3996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237BAF">
        <w:t xml:space="preserve">,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A25BE8" w:rsidRPr="00A25BE8">
        <w:rPr>
          <w:b/>
        </w:rPr>
        <w:t>opisthorchiasis</w:t>
      </w:r>
    </w:p>
    <w:p w:rsidR="008F572A" w:rsidRPr="00237BAF" w:rsidRDefault="008F572A" w:rsidP="00DA3996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A25BE8" w:rsidRPr="00A25BE8">
        <w:t>opisthorchiasis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person’s</w:t>
      </w:r>
      <w:r w:rsidR="002F77A1">
        <w:t xml:space="preserve"> </w:t>
      </w:r>
      <w:r w:rsidR="00A25BE8" w:rsidRPr="00A25BE8">
        <w:t>opisthorchiasis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3A120F">
        <w:t>–</w:t>
      </w:r>
      <w:r w:rsidR="00D32F71">
        <w:t xml:space="preserve"> </w:t>
      </w:r>
      <w:r w:rsidR="00885EAB" w:rsidRPr="00046E67">
        <w:t>Dictionary</w:t>
      </w:r>
      <w:r w:rsidR="003A120F">
        <w:t>.</w:t>
      </w:r>
    </w:p>
    <w:p w:rsidR="007C7DEE" w:rsidRPr="00A20CA1" w:rsidRDefault="007C7DEE" w:rsidP="0069220C">
      <w:pPr>
        <w:pStyle w:val="LV1"/>
      </w:pPr>
      <w:bookmarkStart w:id="20" w:name="_Toc445884007"/>
      <w:r w:rsidRPr="00A20CA1">
        <w:t>Basis for determining the factors</w:t>
      </w:r>
      <w:bookmarkEnd w:id="20"/>
    </w:p>
    <w:p w:rsidR="007C7DEE" w:rsidRPr="00237BAF" w:rsidRDefault="00F863D4" w:rsidP="00DA3996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A25BE8" w:rsidRPr="00A25BE8">
        <w:t>opisthorchiasis</w:t>
      </w:r>
      <w:r>
        <w:t xml:space="preserve"> </w:t>
      </w:r>
      <w:r w:rsidRPr="00D5620B">
        <w:t>and death from</w:t>
      </w:r>
      <w:r>
        <w:t xml:space="preserve"> </w:t>
      </w:r>
      <w:r w:rsidR="00A25BE8" w:rsidRPr="00A25BE8">
        <w:t>opisthorchiasis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69220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458840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A3996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A25BE8" w:rsidRPr="00A25BE8">
        <w:t>opisthorchiasis</w:t>
      </w:r>
      <w:r w:rsidR="007A3989">
        <w:t xml:space="preserve"> </w:t>
      </w:r>
      <w:r w:rsidR="007C7DEE" w:rsidRPr="00AA6D8B">
        <w:t xml:space="preserve">or death from </w:t>
      </w:r>
      <w:r w:rsidR="00A25BE8" w:rsidRPr="00A25BE8">
        <w:t>opisthorchiasis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on’s relevant service</w:t>
      </w:r>
      <w:r w:rsidR="007C7DEE" w:rsidRPr="00AA6D8B">
        <w:t>:</w:t>
      </w:r>
      <w:bookmarkEnd w:id="25"/>
    </w:p>
    <w:p w:rsidR="001474E4" w:rsidRPr="008E76DC" w:rsidRDefault="00A25BE8" w:rsidP="001474E4">
      <w:pPr>
        <w:pStyle w:val="LV2"/>
      </w:pPr>
      <w:bookmarkStart w:id="26" w:name="_Ref402530260"/>
      <w:bookmarkStart w:id="27" w:name="_Ref409598844"/>
      <w:r w:rsidRPr="00A25BE8">
        <w:t xml:space="preserve">for infection with </w:t>
      </w:r>
      <w:r w:rsidRPr="00A25BE8">
        <w:rPr>
          <w:i/>
        </w:rPr>
        <w:t>Opisthorchis viverrini</w:t>
      </w:r>
      <w:r>
        <w:t xml:space="preserve"> only</w:t>
      </w:r>
      <w:r w:rsidR="001474E4" w:rsidRPr="008E76DC">
        <w:t>:</w:t>
      </w:r>
    </w:p>
    <w:p w:rsidR="001474E4" w:rsidRPr="008E76DC" w:rsidRDefault="00A25BE8" w:rsidP="001474E4">
      <w:pPr>
        <w:pStyle w:val="LV3"/>
        <w:spacing w:after="180"/>
        <w:contextualSpacing w:val="0"/>
      </w:pPr>
      <w:r w:rsidRPr="00A25BE8">
        <w:t xml:space="preserve">ingesting the skin or flesh of raw, undercooked, iced, pickled or smoked </w:t>
      </w:r>
      <w:r w:rsidR="00BD1931">
        <w:t>freshwater</w:t>
      </w:r>
      <w:r w:rsidRPr="00A25BE8">
        <w:t xml:space="preserve"> fish containing encysted larvae of </w:t>
      </w:r>
      <w:r w:rsidRPr="00A25BE8">
        <w:rPr>
          <w:i/>
        </w:rPr>
        <w:t>Opisthorchis viverrini</w:t>
      </w:r>
      <w:r w:rsidRPr="00A25BE8">
        <w:t>, at least three weeks before the clinical onset of opisthorchiasis;</w:t>
      </w:r>
      <w:r w:rsidR="001474E4" w:rsidRPr="008E76DC">
        <w:t xml:space="preserve"> or</w:t>
      </w:r>
    </w:p>
    <w:p w:rsidR="001474E4" w:rsidRPr="008E76DC" w:rsidRDefault="00A25BE8" w:rsidP="001474E4">
      <w:pPr>
        <w:pStyle w:val="LV3"/>
      </w:pPr>
      <w:r w:rsidRPr="00A25BE8">
        <w:t xml:space="preserve">ingesting the skin or flesh of raw, undercooked, iced, pickled or smoked </w:t>
      </w:r>
      <w:r w:rsidR="00BD1931">
        <w:t>freshwater</w:t>
      </w:r>
      <w:r w:rsidRPr="00A25BE8">
        <w:t xml:space="preserve"> fish from a country from </w:t>
      </w:r>
      <w:r w:rsidR="00CC506D">
        <w:t>S</w:t>
      </w:r>
      <w:r w:rsidRPr="00A25BE8">
        <w:t xml:space="preserve">pecified </w:t>
      </w:r>
      <w:r w:rsidR="00CC506D">
        <w:t>L</w:t>
      </w:r>
      <w:r w:rsidRPr="00A25BE8">
        <w:t>ist 1</w:t>
      </w:r>
      <w:r w:rsidR="00CF4D72">
        <w:t xml:space="preserve"> of countries</w:t>
      </w:r>
      <w:r w:rsidRPr="00A25BE8">
        <w:t>, at least three weeks before the clinical onset of opisthorchiasis;</w:t>
      </w:r>
    </w:p>
    <w:p w:rsidR="001474E4" w:rsidRPr="00046E67" w:rsidRDefault="001474E4" w:rsidP="001474E4">
      <w:pPr>
        <w:pStyle w:val="NOTE"/>
      </w:pPr>
      <w:r>
        <w:t xml:space="preserve">Note: </w:t>
      </w:r>
      <w:r w:rsidR="00CC506D">
        <w:rPr>
          <w:b/>
          <w:i/>
        </w:rPr>
        <w:t>Specified L</w:t>
      </w:r>
      <w:r w:rsidR="00A25BE8">
        <w:rPr>
          <w:b/>
          <w:i/>
        </w:rPr>
        <w:t>ist 1</w:t>
      </w:r>
      <w:r w:rsidR="00CF4D72">
        <w:rPr>
          <w:b/>
          <w:i/>
        </w:rPr>
        <w:t xml:space="preserve"> of countries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0E3646" w:rsidRPr="008E76DC" w:rsidRDefault="00A25BE8" w:rsidP="000E3646">
      <w:pPr>
        <w:pStyle w:val="LV2"/>
      </w:pPr>
      <w:r w:rsidRPr="00A25BE8">
        <w:t xml:space="preserve">for infection with </w:t>
      </w:r>
      <w:r w:rsidRPr="00A25BE8">
        <w:rPr>
          <w:i/>
        </w:rPr>
        <w:t>Opisthorchis felineus</w:t>
      </w:r>
      <w:r w:rsidRPr="00A25BE8">
        <w:t xml:space="preserve"> only</w:t>
      </w:r>
      <w:r w:rsidR="000E3646" w:rsidRPr="008E76DC">
        <w:t>:</w:t>
      </w:r>
    </w:p>
    <w:p w:rsidR="00CF4D72" w:rsidRDefault="0016160D" w:rsidP="000E3646">
      <w:pPr>
        <w:pStyle w:val="LV3"/>
        <w:numPr>
          <w:ilvl w:val="2"/>
          <w:numId w:val="19"/>
        </w:numPr>
        <w:contextualSpacing w:val="0"/>
      </w:pPr>
      <w:r w:rsidRPr="0016160D">
        <w:t xml:space="preserve">ingesting the skin or flesh of raw, undercooked, iced, pickled or smoked </w:t>
      </w:r>
      <w:r w:rsidR="00BD1931">
        <w:t>freshwater</w:t>
      </w:r>
      <w:r w:rsidRPr="0016160D">
        <w:t xml:space="preserve"> fish containing encysted larvae of </w:t>
      </w:r>
      <w:r w:rsidRPr="0016160D">
        <w:rPr>
          <w:i/>
        </w:rPr>
        <w:t>Opisthorchis felineus</w:t>
      </w:r>
      <w:r w:rsidRPr="0016160D">
        <w:t>, at least three weeks before the clinical onset of opisthorchiasis;</w:t>
      </w:r>
      <w:r>
        <w:t xml:space="preserve"> or</w:t>
      </w:r>
      <w:r w:rsidR="000E3646" w:rsidRPr="00D66277">
        <w:t xml:space="preserve"> </w:t>
      </w:r>
    </w:p>
    <w:p w:rsidR="00CF4D72" w:rsidRDefault="00CF4D72">
      <w:pPr>
        <w:spacing w:line="240" w:lineRule="auto"/>
        <w:rPr>
          <w:rFonts w:eastAsia="Times New Roman"/>
          <w:sz w:val="24"/>
          <w:szCs w:val="24"/>
          <w:lang w:eastAsia="en-AU"/>
        </w:rPr>
      </w:pPr>
      <w:r>
        <w:br w:type="page"/>
      </w:r>
    </w:p>
    <w:p w:rsidR="000E3646" w:rsidRDefault="0016160D" w:rsidP="00CF4D72">
      <w:pPr>
        <w:pStyle w:val="LV3"/>
        <w:keepNext/>
        <w:numPr>
          <w:ilvl w:val="2"/>
          <w:numId w:val="19"/>
        </w:numPr>
        <w:contextualSpacing w:val="0"/>
      </w:pPr>
      <w:r w:rsidRPr="0016160D">
        <w:lastRenderedPageBreak/>
        <w:t xml:space="preserve">ingesting the skin or flesh of raw, undercooked, iced, pickled or smoked </w:t>
      </w:r>
      <w:r w:rsidR="00BD1931">
        <w:t>freshwater</w:t>
      </w:r>
      <w:r w:rsidRPr="0016160D">
        <w:t xml:space="preserve"> fish from a country from </w:t>
      </w:r>
      <w:r w:rsidR="00CC506D">
        <w:t>S</w:t>
      </w:r>
      <w:r w:rsidRPr="0016160D">
        <w:t xml:space="preserve">pecified </w:t>
      </w:r>
      <w:r w:rsidR="00CC506D">
        <w:t>L</w:t>
      </w:r>
      <w:r w:rsidRPr="0016160D">
        <w:t>ist 2</w:t>
      </w:r>
      <w:r w:rsidR="00CF4D72">
        <w:t xml:space="preserve"> of countries</w:t>
      </w:r>
      <w:r w:rsidRPr="0016160D">
        <w:t>, at least three weeks before the clinical onset of opisthorchiasis;</w:t>
      </w:r>
    </w:p>
    <w:p w:rsidR="000E3646" w:rsidRPr="008E76DC" w:rsidRDefault="0016160D" w:rsidP="000E3646">
      <w:pPr>
        <w:pStyle w:val="NOTE"/>
      </w:pPr>
      <w:r>
        <w:t xml:space="preserve">Note: </w:t>
      </w:r>
      <w:r w:rsidR="00CC506D">
        <w:rPr>
          <w:b/>
          <w:i/>
        </w:rPr>
        <w:t>Specified L</w:t>
      </w:r>
      <w:r>
        <w:rPr>
          <w:b/>
          <w:i/>
        </w:rPr>
        <w:t>ist 2</w:t>
      </w:r>
      <w:r w:rsidR="00CF4D72">
        <w:rPr>
          <w:b/>
          <w:i/>
        </w:rPr>
        <w:t xml:space="preserve"> of countries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046E67">
        <w:t>Dictionary.</w:t>
      </w:r>
      <w:r w:rsidRPr="00046E67">
        <w:tab/>
      </w:r>
    </w:p>
    <w:p w:rsidR="007C7DEE" w:rsidRPr="008D1B8B" w:rsidRDefault="000E3646" w:rsidP="00AF46C5">
      <w:pPr>
        <w:pStyle w:val="LV2"/>
      </w:pPr>
      <w:r w:rsidRPr="00C4016E">
        <w:tab/>
      </w:r>
      <w:r w:rsidR="007C7DEE" w:rsidRPr="008D1B8B">
        <w:t>inability to obtain appropriate clinical management for</w:t>
      </w:r>
      <w:bookmarkEnd w:id="26"/>
      <w:r w:rsidR="007A3989">
        <w:t xml:space="preserve"> </w:t>
      </w:r>
      <w:r w:rsidR="00A25BE8" w:rsidRPr="00A25BE8">
        <w:t>opisthorchiasis</w:t>
      </w:r>
      <w:r w:rsidR="00D5620B" w:rsidRPr="008D1B8B">
        <w:t>.</w:t>
      </w:r>
      <w:bookmarkEnd w:id="27"/>
    </w:p>
    <w:p w:rsidR="000C21A3" w:rsidRPr="00684C0E" w:rsidRDefault="00D32F71" w:rsidP="0069220C">
      <w:pPr>
        <w:pStyle w:val="LV1"/>
      </w:pPr>
      <w:bookmarkStart w:id="28" w:name="_Toc445884009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DA3996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DA3996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DA3996">
        <w:t>9</w:t>
      </w:r>
      <w:r w:rsidR="00452645">
        <w:t>(</w:t>
      </w:r>
      <w:r w:rsidR="00AF46C5">
        <w:t>3</w:t>
      </w:r>
      <w:r w:rsidR="00FF1D47">
        <w:t xml:space="preserve">) </w:t>
      </w:r>
      <w:r w:rsidRPr="00187DE1">
        <w:t xml:space="preserve">applies only to material contribution to, or aggravation of, </w:t>
      </w:r>
      <w:r w:rsidR="00A25BE8" w:rsidRPr="00A25BE8">
        <w:t>opisthorchiasis</w:t>
      </w:r>
      <w:r w:rsidR="007A3989">
        <w:t xml:space="preserve"> </w:t>
      </w:r>
      <w:r w:rsidRPr="00187DE1">
        <w:t xml:space="preserve">where the person’s </w:t>
      </w:r>
      <w:r w:rsidR="00A25BE8" w:rsidRPr="00A25BE8">
        <w:t>opisthorchiasis</w:t>
      </w:r>
      <w:r w:rsidR="007A3989">
        <w:t xml:space="preserve"> </w:t>
      </w:r>
      <w:r w:rsidRPr="00187DE1">
        <w:t xml:space="preserve">was suffered or contracted before or during (but did not arise out of) the person’s relevant service. </w:t>
      </w:r>
    </w:p>
    <w:p w:rsidR="00774897" w:rsidRPr="00301C54" w:rsidRDefault="00774897" w:rsidP="0069220C">
      <w:pPr>
        <w:pStyle w:val="LV1"/>
      </w:pPr>
      <w:bookmarkStart w:id="30" w:name="_Toc4458840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A3996">
      <w:pPr>
        <w:pStyle w:val="PlainIndent"/>
      </w:pPr>
      <w:r w:rsidRPr="00E64EE4">
        <w:t>In this Statement of Principles:</w:t>
      </w:r>
    </w:p>
    <w:p w:rsidR="00F03C06" w:rsidRPr="00E64EE4" w:rsidRDefault="00F03C06" w:rsidP="00DA3996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DA3996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DA3996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458840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45884012"/>
      <w:r w:rsidRPr="00D97BB3">
        <w:t>Definitions</w:t>
      </w:r>
      <w:bookmarkEnd w:id="34"/>
      <w:bookmarkEnd w:id="35"/>
    </w:p>
    <w:p w:rsidR="00702C42" w:rsidRPr="00516768" w:rsidRDefault="00702C42" w:rsidP="00DA3996">
      <w:pPr>
        <w:pStyle w:val="SH2"/>
      </w:pPr>
      <w:r w:rsidRPr="00516768">
        <w:t>In this instrument:</w:t>
      </w:r>
    </w:p>
    <w:p w:rsidR="00885EAB" w:rsidRPr="009C404D" w:rsidRDefault="00885EAB" w:rsidP="00984EE9">
      <w:pPr>
        <w:pStyle w:val="SH3"/>
        <w:ind w:left="851" w:hanging="851"/>
      </w:pPr>
      <w:bookmarkStart w:id="36" w:name="_Ref402530810"/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452645" w:rsidRPr="00513D05" w:rsidRDefault="00452645" w:rsidP="00452645">
      <w:pPr>
        <w:pStyle w:val="SH3"/>
        <w:ind w:left="851" w:hanging="851"/>
      </w:pPr>
      <w:bookmarkStart w:id="37" w:name="_Ref402529607"/>
      <w:bookmarkEnd w:id="36"/>
      <w:r w:rsidRPr="00A25BE8">
        <w:rPr>
          <w:b/>
          <w:i/>
        </w:rPr>
        <w:t>opisthorchiasis</w:t>
      </w:r>
      <w:r w:rsidRPr="00513D05">
        <w:t>—see subsection</w:t>
      </w:r>
      <w:r>
        <w:t xml:space="preserve"> 7(2).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:rsidR="00A25BE8" w:rsidRDefault="00A25BE8" w:rsidP="00A25BE8">
      <w:pPr>
        <w:pStyle w:val="SH3"/>
      </w:pPr>
      <w:r w:rsidRPr="00A25BE8">
        <w:rPr>
          <w:b/>
          <w:i/>
        </w:rPr>
        <w:t>S</w:t>
      </w:r>
      <w:r w:rsidR="00CC506D">
        <w:rPr>
          <w:b/>
          <w:i/>
        </w:rPr>
        <w:t>pecified L</w:t>
      </w:r>
      <w:r w:rsidRPr="00A25BE8">
        <w:rPr>
          <w:b/>
          <w:i/>
        </w:rPr>
        <w:t>ist 1</w:t>
      </w:r>
      <w:r w:rsidR="00CF4D72">
        <w:rPr>
          <w:b/>
          <w:i/>
        </w:rPr>
        <w:t xml:space="preserve"> of countries</w:t>
      </w:r>
      <w:r>
        <w:t xml:space="preserve"> means: </w:t>
      </w:r>
    </w:p>
    <w:p w:rsidR="00A25BE8" w:rsidRDefault="00A25BE8" w:rsidP="00AF46C5">
      <w:pPr>
        <w:pStyle w:val="SH4"/>
        <w:ind w:left="1418"/>
      </w:pPr>
      <w:r>
        <w:t>Cambodia;</w:t>
      </w:r>
    </w:p>
    <w:p w:rsidR="00A25BE8" w:rsidRDefault="00A25BE8" w:rsidP="00A25BE8">
      <w:pPr>
        <w:pStyle w:val="SH4"/>
        <w:ind w:left="1418"/>
      </w:pPr>
      <w:r>
        <w:t>Laos;</w:t>
      </w:r>
    </w:p>
    <w:p w:rsidR="00A25BE8" w:rsidRDefault="00A25BE8" w:rsidP="00A25BE8">
      <w:pPr>
        <w:pStyle w:val="SH4"/>
        <w:ind w:left="1418"/>
      </w:pPr>
      <w:r>
        <w:t>Myanmar (Burma);</w:t>
      </w:r>
    </w:p>
    <w:p w:rsidR="00A25BE8" w:rsidRDefault="00A25BE8" w:rsidP="00A25BE8">
      <w:pPr>
        <w:pStyle w:val="SH4"/>
        <w:ind w:left="1418"/>
      </w:pPr>
      <w:r>
        <w:t>Thailand; or</w:t>
      </w:r>
    </w:p>
    <w:p w:rsidR="00A25BE8" w:rsidRDefault="00A25BE8" w:rsidP="00A25BE8">
      <w:pPr>
        <w:pStyle w:val="SH4"/>
        <w:ind w:left="1418"/>
      </w:pPr>
      <w:r>
        <w:t>Vietnam.</w:t>
      </w:r>
    </w:p>
    <w:p w:rsidR="0016160D" w:rsidRDefault="0016160D" w:rsidP="0016160D">
      <w:pPr>
        <w:pStyle w:val="SH3"/>
      </w:pPr>
      <w:r w:rsidRPr="0016160D">
        <w:rPr>
          <w:b/>
          <w:i/>
        </w:rPr>
        <w:t xml:space="preserve">Specified </w:t>
      </w:r>
      <w:r w:rsidR="00CC506D">
        <w:rPr>
          <w:b/>
          <w:i/>
        </w:rPr>
        <w:t>L</w:t>
      </w:r>
      <w:r w:rsidRPr="0016160D">
        <w:rPr>
          <w:b/>
          <w:i/>
        </w:rPr>
        <w:t>ist 2</w:t>
      </w:r>
      <w:r w:rsidR="00CF4D72">
        <w:rPr>
          <w:b/>
          <w:i/>
        </w:rPr>
        <w:t xml:space="preserve"> of countries</w:t>
      </w:r>
      <w:r>
        <w:t xml:space="preserve"> means: </w:t>
      </w:r>
    </w:p>
    <w:p w:rsidR="0016160D" w:rsidRDefault="0016160D" w:rsidP="0016160D">
      <w:pPr>
        <w:pStyle w:val="SH4"/>
        <w:ind w:left="1418"/>
      </w:pPr>
      <w:r>
        <w:t>Albania;</w:t>
      </w:r>
    </w:p>
    <w:p w:rsidR="0016160D" w:rsidRDefault="0016160D" w:rsidP="0016160D">
      <w:pPr>
        <w:pStyle w:val="SH4"/>
        <w:ind w:left="1418"/>
      </w:pPr>
      <w:r>
        <w:t>Armenia;</w:t>
      </w:r>
    </w:p>
    <w:p w:rsidR="0016160D" w:rsidRDefault="0016160D" w:rsidP="0016160D">
      <w:pPr>
        <w:pStyle w:val="SH4"/>
        <w:ind w:left="1418"/>
      </w:pPr>
      <w:r>
        <w:t>Azerbaijan;</w:t>
      </w:r>
    </w:p>
    <w:p w:rsidR="0016160D" w:rsidRDefault="0016160D" w:rsidP="0016160D">
      <w:pPr>
        <w:pStyle w:val="SH4"/>
        <w:ind w:left="1418"/>
      </w:pPr>
      <w:r>
        <w:t>Belarus (Belorussia);</w:t>
      </w:r>
    </w:p>
    <w:p w:rsidR="0016160D" w:rsidRDefault="0016160D" w:rsidP="0016160D">
      <w:pPr>
        <w:pStyle w:val="SH4"/>
        <w:ind w:left="1418"/>
      </w:pPr>
      <w:r>
        <w:t>Bosnia</w:t>
      </w:r>
      <w:r w:rsidR="00754379">
        <w:t xml:space="preserve"> and Herzegovina</w:t>
      </w:r>
      <w:r>
        <w:t>;</w:t>
      </w:r>
    </w:p>
    <w:p w:rsidR="0016160D" w:rsidRDefault="0016160D" w:rsidP="0016160D">
      <w:pPr>
        <w:pStyle w:val="SH4"/>
        <w:ind w:left="1418"/>
      </w:pPr>
      <w:r>
        <w:t>Bulgaria;</w:t>
      </w:r>
    </w:p>
    <w:p w:rsidR="00754379" w:rsidRDefault="00754379" w:rsidP="00754379">
      <w:pPr>
        <w:pStyle w:val="SH4"/>
        <w:ind w:left="1418"/>
      </w:pPr>
      <w:r>
        <w:t>Cambodia;</w:t>
      </w:r>
    </w:p>
    <w:p w:rsidR="0016160D" w:rsidRDefault="0016160D" w:rsidP="0016160D">
      <w:pPr>
        <w:pStyle w:val="SH4"/>
        <w:ind w:left="1418"/>
      </w:pPr>
      <w:r>
        <w:t>Croatia;</w:t>
      </w:r>
    </w:p>
    <w:p w:rsidR="0016160D" w:rsidRDefault="0016160D" w:rsidP="0016160D">
      <w:pPr>
        <w:pStyle w:val="SH4"/>
        <w:ind w:left="1418"/>
      </w:pPr>
      <w:r>
        <w:t>Czech Republic;</w:t>
      </w:r>
    </w:p>
    <w:p w:rsidR="0016160D" w:rsidRDefault="0016160D" w:rsidP="0016160D">
      <w:pPr>
        <w:pStyle w:val="SH4"/>
        <w:ind w:left="1418"/>
      </w:pPr>
      <w:r>
        <w:t>Estonia;</w:t>
      </w:r>
    </w:p>
    <w:p w:rsidR="0016160D" w:rsidRDefault="0016160D" w:rsidP="0016160D">
      <w:pPr>
        <w:pStyle w:val="SH4"/>
        <w:ind w:left="1418"/>
      </w:pPr>
      <w:r>
        <w:t>Former Yugoslav Republic of Macedonia;</w:t>
      </w:r>
    </w:p>
    <w:p w:rsidR="0016160D" w:rsidRDefault="0016160D" w:rsidP="0016160D">
      <w:pPr>
        <w:pStyle w:val="SH4"/>
        <w:ind w:left="1418"/>
      </w:pPr>
      <w:r>
        <w:t>Georgia;</w:t>
      </w:r>
    </w:p>
    <w:p w:rsidR="0016160D" w:rsidRDefault="0016160D" w:rsidP="00754379">
      <w:pPr>
        <w:pStyle w:val="SH4"/>
        <w:ind w:left="1418"/>
      </w:pPr>
      <w:r>
        <w:t>Germany;</w:t>
      </w:r>
    </w:p>
    <w:p w:rsidR="0016160D" w:rsidRDefault="0016160D" w:rsidP="0016160D">
      <w:pPr>
        <w:pStyle w:val="SH4"/>
        <w:ind w:left="1418"/>
      </w:pPr>
      <w:r>
        <w:t>Hungary;</w:t>
      </w:r>
    </w:p>
    <w:p w:rsidR="0016160D" w:rsidRDefault="0016160D" w:rsidP="0016160D">
      <w:pPr>
        <w:pStyle w:val="SH4"/>
        <w:ind w:left="1418"/>
      </w:pPr>
      <w:r>
        <w:t>Kazakhstan;</w:t>
      </w:r>
    </w:p>
    <w:p w:rsidR="0016160D" w:rsidRDefault="0016160D" w:rsidP="0016160D">
      <w:pPr>
        <w:pStyle w:val="SH4"/>
        <w:ind w:left="1418"/>
      </w:pPr>
      <w:r>
        <w:t>Kyrgyzstan (Kirgiziya);</w:t>
      </w:r>
    </w:p>
    <w:p w:rsidR="0016160D" w:rsidRDefault="0016160D" w:rsidP="0016160D">
      <w:pPr>
        <w:pStyle w:val="SH4"/>
        <w:ind w:left="1418"/>
      </w:pPr>
      <w:r>
        <w:t>Kosovo;</w:t>
      </w:r>
    </w:p>
    <w:p w:rsidR="0016160D" w:rsidRDefault="0016160D" w:rsidP="0016160D">
      <w:pPr>
        <w:pStyle w:val="SH4"/>
        <w:ind w:left="1418"/>
      </w:pPr>
      <w:r>
        <w:t>Laos;</w:t>
      </w:r>
    </w:p>
    <w:p w:rsidR="0016160D" w:rsidRDefault="0016160D" w:rsidP="0016160D">
      <w:pPr>
        <w:pStyle w:val="SH4"/>
        <w:ind w:left="1418"/>
      </w:pPr>
      <w:r>
        <w:t>Latvia;</w:t>
      </w:r>
    </w:p>
    <w:p w:rsidR="0016160D" w:rsidRDefault="0016160D" w:rsidP="0016160D">
      <w:pPr>
        <w:pStyle w:val="SH4"/>
        <w:ind w:left="1418"/>
      </w:pPr>
      <w:r>
        <w:t>Lithuania;</w:t>
      </w:r>
    </w:p>
    <w:p w:rsidR="0016160D" w:rsidRDefault="0016160D" w:rsidP="0016160D">
      <w:pPr>
        <w:pStyle w:val="SH4"/>
        <w:ind w:left="1418"/>
      </w:pPr>
      <w:r>
        <w:t>Moldova (Moldavia);</w:t>
      </w:r>
    </w:p>
    <w:p w:rsidR="0016160D" w:rsidRDefault="0016160D" w:rsidP="0016160D">
      <w:pPr>
        <w:pStyle w:val="SH4"/>
        <w:ind w:left="1418"/>
      </w:pPr>
      <w:r>
        <w:lastRenderedPageBreak/>
        <w:t>Montenegro;</w:t>
      </w:r>
    </w:p>
    <w:p w:rsidR="0016160D" w:rsidRDefault="0016160D" w:rsidP="0016160D">
      <w:pPr>
        <w:pStyle w:val="SH4"/>
        <w:ind w:left="1418"/>
      </w:pPr>
      <w:r>
        <w:t>Myanmar (Burma);</w:t>
      </w:r>
    </w:p>
    <w:p w:rsidR="0016160D" w:rsidRDefault="0016160D" w:rsidP="0016160D">
      <w:pPr>
        <w:pStyle w:val="SH4"/>
        <w:ind w:left="1418"/>
      </w:pPr>
      <w:r>
        <w:t>Poland;</w:t>
      </w:r>
    </w:p>
    <w:p w:rsidR="0016160D" w:rsidRDefault="0016160D" w:rsidP="0016160D">
      <w:pPr>
        <w:pStyle w:val="SH4"/>
        <w:ind w:left="1418"/>
      </w:pPr>
      <w:r>
        <w:t>Romania;</w:t>
      </w:r>
    </w:p>
    <w:p w:rsidR="0016160D" w:rsidRDefault="0016160D" w:rsidP="0016160D">
      <w:pPr>
        <w:pStyle w:val="SH4"/>
        <w:ind w:left="1418"/>
      </w:pPr>
      <w:r>
        <w:t>Russia;</w:t>
      </w:r>
    </w:p>
    <w:p w:rsidR="0016160D" w:rsidRDefault="0016160D" w:rsidP="0016160D">
      <w:pPr>
        <w:pStyle w:val="SH4"/>
        <w:ind w:left="1418"/>
      </w:pPr>
      <w:r>
        <w:t>Serbia;</w:t>
      </w:r>
    </w:p>
    <w:p w:rsidR="0016160D" w:rsidRDefault="0016160D" w:rsidP="0016160D">
      <w:pPr>
        <w:pStyle w:val="SH4"/>
        <w:ind w:left="1418"/>
      </w:pPr>
      <w:r>
        <w:t>Slovakia;</w:t>
      </w:r>
    </w:p>
    <w:p w:rsidR="0016160D" w:rsidRDefault="0016160D" w:rsidP="0016160D">
      <w:pPr>
        <w:pStyle w:val="SH4"/>
        <w:ind w:left="1418"/>
      </w:pPr>
      <w:r>
        <w:t>Slovenia;</w:t>
      </w:r>
    </w:p>
    <w:p w:rsidR="0016160D" w:rsidRDefault="0016160D" w:rsidP="0016160D">
      <w:pPr>
        <w:pStyle w:val="SH4"/>
        <w:ind w:left="1418"/>
      </w:pPr>
      <w:r>
        <w:t>Tajikistan;</w:t>
      </w:r>
    </w:p>
    <w:p w:rsidR="0016160D" w:rsidRDefault="0016160D" w:rsidP="0016160D">
      <w:pPr>
        <w:pStyle w:val="SH4"/>
        <w:ind w:left="1418"/>
      </w:pPr>
      <w:r>
        <w:t>Thailand;</w:t>
      </w:r>
    </w:p>
    <w:p w:rsidR="0016160D" w:rsidRDefault="0016160D" w:rsidP="0016160D">
      <w:pPr>
        <w:pStyle w:val="SH4"/>
        <w:ind w:left="1418"/>
      </w:pPr>
      <w:r>
        <w:t>Turkmenistan;</w:t>
      </w:r>
    </w:p>
    <w:p w:rsidR="0016160D" w:rsidRDefault="0016160D" w:rsidP="0016160D">
      <w:pPr>
        <w:pStyle w:val="SH4"/>
        <w:ind w:left="1418"/>
      </w:pPr>
      <w:r>
        <w:t>Ukraine;</w:t>
      </w:r>
    </w:p>
    <w:p w:rsidR="0016160D" w:rsidRDefault="0016160D" w:rsidP="0016160D">
      <w:pPr>
        <w:pStyle w:val="SH4"/>
        <w:ind w:left="1418"/>
      </w:pPr>
      <w:r>
        <w:t>Uzbekistan; or</w:t>
      </w:r>
    </w:p>
    <w:p w:rsidR="00A25BE8" w:rsidRPr="00A25BE8" w:rsidRDefault="0016160D" w:rsidP="0016160D">
      <w:pPr>
        <w:pStyle w:val="SH4"/>
        <w:ind w:left="1418"/>
      </w:pPr>
      <w:r>
        <w:t>Vietnam.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ED21FE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3"/>
          <w:headerReference w:type="default" r:id="rId14"/>
          <w:footerReference w:type="even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p w:rsidR="00FD775E" w:rsidRPr="00FD775E" w:rsidRDefault="00FD775E" w:rsidP="00FD775E"/>
    <w:sectPr w:rsidR="00FD775E" w:rsidRPr="00FD775E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001EAA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RH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 w:rsidR="005226B5" w:rsidRPr="007C5CE0">
            <w:rPr>
              <w:i/>
              <w:sz w:val="18"/>
              <w:szCs w:val="18"/>
            </w:rPr>
            <w:fldChar w:fldCharType="begin"/>
          </w:r>
          <w:r w:rsidR="005226B5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5226B5" w:rsidRPr="007C5CE0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year</w:t>
          </w:r>
          <w:r w:rsidR="005226B5" w:rsidRPr="007C5CE0">
            <w:rPr>
              <w:i/>
              <w:sz w:val="18"/>
              <w:szCs w:val="18"/>
            </w:rPr>
            <w:fldChar w:fldCharType="end"/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BF43B4" w:rsidP="00FD775E">
          <w:pPr>
            <w:spacing w:line="0" w:lineRule="atLeast"/>
            <w:jc w:val="both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Pr="00ED79B6" w:rsidRDefault="00F03C06" w:rsidP="00CF236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C06" w:rsidRPr="00E33C1C" w:rsidRDefault="00F03C06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6905"/>
      <w:gridCol w:w="699"/>
    </w:tblGrid>
    <w:tr w:rsidR="00F03C06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rPr>
              <w:sz w:val="18"/>
            </w:rPr>
          </w:pPr>
        </w:p>
      </w:tc>
      <w:tc>
        <w:tcPr>
          <w:tcW w:w="69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5226B5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F03C06" w:rsidRDefault="00A25BE8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Opisthorchiasis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5226B5" w:rsidRPr="007C5CE0">
            <w:rPr>
              <w:i/>
              <w:sz w:val="18"/>
            </w:rPr>
            <w:t xml:space="preserve">(No. </w:t>
          </w:r>
          <w:r w:rsidR="00090329">
            <w:rPr>
              <w:i/>
              <w:sz w:val="18"/>
              <w:szCs w:val="18"/>
            </w:rPr>
            <w:t>45</w:t>
          </w:r>
          <w:r w:rsidR="005226B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5226B5" w:rsidRPr="007C5CE0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F03C06" w:rsidRPr="00C01863" w:rsidRDefault="00F03C06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448D0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0448D0">
            <w:rPr>
              <w:i/>
              <w:noProof/>
              <w:sz w:val="18"/>
            </w:rPr>
            <w:t>7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F03C06" w:rsidRDefault="00F03C06" w:rsidP="00CF236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7F2378" w:rsidRPr="00C01863" w:rsidTr="00FD775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226B5" w:rsidRDefault="007F2378" w:rsidP="005226B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7F2378" w:rsidRDefault="00A25BE8" w:rsidP="005226B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Opisthorchiasis</w:t>
          </w:r>
          <w:r w:rsidR="005226B5">
            <w:rPr>
              <w:i/>
              <w:sz w:val="18"/>
              <w:szCs w:val="18"/>
            </w:rPr>
            <w:t xml:space="preserve"> (</w:t>
          </w:r>
          <w:r w:rsidR="005E589B">
            <w:rPr>
              <w:i/>
              <w:sz w:val="18"/>
              <w:szCs w:val="18"/>
            </w:rPr>
            <w:t>Reasonable Hypothesis</w:t>
          </w:r>
          <w:r w:rsidR="005226B5">
            <w:rPr>
              <w:i/>
              <w:sz w:val="18"/>
              <w:szCs w:val="18"/>
            </w:rPr>
            <w:t xml:space="preserve">) </w:t>
          </w:r>
          <w:r w:rsidR="007F2378" w:rsidRPr="007C5CE0">
            <w:rPr>
              <w:i/>
              <w:sz w:val="18"/>
            </w:rPr>
            <w:t xml:space="preserve">(No. </w:t>
          </w:r>
          <w:r w:rsidR="00090329">
            <w:rPr>
              <w:i/>
              <w:sz w:val="18"/>
            </w:rPr>
            <w:t>45</w:t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2016</w:t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001EAA" w:rsidRPr="007C5CE0" w:rsidRDefault="00001EAA" w:rsidP="005226B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0448D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0448D0">
            <w:rPr>
              <w:i/>
              <w:noProof/>
              <w:sz w:val="18"/>
            </w:rPr>
            <w:t>7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6763"/>
      <w:gridCol w:w="699"/>
    </w:tblGrid>
    <w:tr w:rsidR="0008674F" w:rsidRPr="00C01863" w:rsidTr="00FD775E">
      <w:tc>
        <w:tcPr>
          <w:tcW w:w="85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08674F">
          <w:pPr>
            <w:spacing w:line="0" w:lineRule="atLeast"/>
            <w:rPr>
              <w:sz w:val="18"/>
            </w:rPr>
          </w:pPr>
        </w:p>
      </w:tc>
      <w:tc>
        <w:tcPr>
          <w:tcW w:w="67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1EAA" w:rsidRDefault="0008674F" w:rsidP="0008674F">
          <w:pPr>
            <w:spacing w:line="0" w:lineRule="atLeast"/>
            <w:jc w:val="center"/>
            <w:rPr>
              <w:b/>
              <w:i/>
              <w:sz w:val="18"/>
            </w:rPr>
          </w:pPr>
          <w:r w:rsidRPr="00E55F66">
            <w:rPr>
              <w:i/>
              <w:sz w:val="18"/>
            </w:rPr>
            <w:t>Statement of Principles concer</w:t>
          </w:r>
          <w:r>
            <w:rPr>
              <w:i/>
              <w:sz w:val="18"/>
            </w:rPr>
            <w:t>ning</w:t>
          </w:r>
          <w:r w:rsidRPr="007527C1">
            <w:rPr>
              <w:b/>
              <w:i/>
              <w:sz w:val="18"/>
            </w:rPr>
            <w:t xml:space="preserve"> </w:t>
          </w:r>
        </w:p>
        <w:p w:rsidR="0008674F" w:rsidRDefault="00001EAA" w:rsidP="0008674F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Sop Name</w:t>
          </w:r>
          <w:r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</w:rPr>
            <w:t xml:space="preserve"> </w:t>
          </w:r>
          <w:r>
            <w:rPr>
              <w:i/>
              <w:sz w:val="18"/>
            </w:rPr>
            <w:t>(</w:t>
          </w:r>
          <w:r w:rsidR="00167E0C">
            <w:rPr>
              <w:i/>
              <w:sz w:val="18"/>
            </w:rPr>
            <w:t>Reasonable Hypothesis</w:t>
          </w:r>
          <w:r>
            <w:rPr>
              <w:i/>
              <w:sz w:val="18"/>
            </w:rPr>
            <w:t xml:space="preserve">) </w:t>
          </w:r>
          <w:r w:rsidR="0008674F" w:rsidRPr="007F2378">
            <w:rPr>
              <w:i/>
              <w:sz w:val="18"/>
            </w:rPr>
            <w:t xml:space="preserve">(No.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BP \* Charformat 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RH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 xml:space="preserve"> of </w:t>
          </w:r>
          <w:r w:rsidR="0008674F" w:rsidRPr="007F2378">
            <w:rPr>
              <w:i/>
              <w:sz w:val="18"/>
              <w:szCs w:val="18"/>
            </w:rPr>
            <w:fldChar w:fldCharType="begin"/>
          </w:r>
          <w:r w:rsidR="0008674F" w:rsidRPr="007F2378">
            <w:rPr>
              <w:i/>
              <w:sz w:val="18"/>
              <w:szCs w:val="18"/>
            </w:rPr>
            <w:instrText xml:space="preserve"> REF year \* Charformat \* MERGEFORMAT </w:instrText>
          </w:r>
          <w:r w:rsidR="0008674F" w:rsidRPr="007F2378">
            <w:rPr>
              <w:i/>
              <w:sz w:val="18"/>
              <w:szCs w:val="18"/>
            </w:rPr>
            <w:fldChar w:fldCharType="separate"/>
          </w:r>
          <w:r w:rsidR="00A77E0D" w:rsidRPr="00A77E0D">
            <w:rPr>
              <w:i/>
              <w:sz w:val="18"/>
              <w:szCs w:val="18"/>
            </w:rPr>
            <w:t>year</w:t>
          </w:r>
          <w:r w:rsidR="0008674F" w:rsidRPr="007F2378">
            <w:rPr>
              <w:i/>
              <w:sz w:val="18"/>
              <w:szCs w:val="18"/>
            </w:rPr>
            <w:fldChar w:fldCharType="end"/>
          </w:r>
          <w:r w:rsidR="0008674F" w:rsidRPr="007F2378">
            <w:rPr>
              <w:i/>
              <w:sz w:val="18"/>
              <w:szCs w:val="18"/>
            </w:rPr>
            <w:t>)</w:t>
          </w:r>
        </w:p>
        <w:p w:rsidR="00001EAA" w:rsidRPr="00C01863" w:rsidRDefault="00001EAA" w:rsidP="0008674F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8674F" w:rsidRPr="00C01863" w:rsidRDefault="0008674F" w:rsidP="00FD775E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 w:rsidR="00FD775E">
            <w:rPr>
              <w:i/>
              <w:sz w:val="18"/>
            </w:rPr>
            <w:t xml:space="preserve"> of </w:t>
          </w:r>
          <w:r w:rsidR="00FD775E">
            <w:rPr>
              <w:i/>
              <w:sz w:val="18"/>
            </w:rPr>
            <w:fldChar w:fldCharType="begin"/>
          </w:r>
          <w:r w:rsidR="00FD775E">
            <w:rPr>
              <w:i/>
              <w:sz w:val="18"/>
            </w:rPr>
            <w:instrText xml:space="preserve"> numpages </w:instrText>
          </w:r>
          <w:r w:rsidR="00FD775E">
            <w:rPr>
              <w:i/>
              <w:sz w:val="18"/>
            </w:rPr>
            <w:fldChar w:fldCharType="separate"/>
          </w:r>
          <w:r w:rsidR="00A77E0D">
            <w:rPr>
              <w:i/>
              <w:noProof/>
              <w:sz w:val="18"/>
            </w:rPr>
            <w:t>6</w:t>
          </w:r>
          <w:r w:rsidR="00FD775E">
            <w:rPr>
              <w:i/>
              <w:sz w:val="18"/>
            </w:rPr>
            <w:fldChar w:fldCharType="end"/>
          </w:r>
        </w:p>
      </w:tc>
    </w:tr>
  </w:tbl>
  <w:p w:rsidR="00885EAB" w:rsidRDefault="00885EAB" w:rsidP="0008674F">
    <w:pPr>
      <w:rPr>
        <w:sz w:val="18"/>
      </w:rPr>
    </w:pPr>
  </w:p>
  <w:p w:rsidR="00997416" w:rsidRPr="00997416" w:rsidRDefault="00997416" w:rsidP="00997416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A77E0D">
      <w:rPr>
        <w:sz w:val="16"/>
      </w:rPr>
      <w:t>17971341</w: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9DBDAF5" wp14:editId="526BA7F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DBDAF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93.7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xd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+h4LUQTNUpePaCerUc3oCWf4&#10;vEEwC+b8NbOYQFBiqvorLJXUKBW9lSiptf3+lj7gkSqcorYw0VC239bMotLkF4WRMc7yPIzAuMlH&#10;R0Ns7POT5fMTtW4vNDomi6+LYsB7uRMrq9s7DN9p8Iojpjh8FxRN04sXvp+zGN5cTKcRhKFnmF+o&#10;G8N3UyQk8ba7Y9Zsu9uDzUu9m31s8qrJe2yocKWna6+rJk6AJ1aRibDBwIw52Q73MJGf7yPq6S/o&#10;9BcA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HsvfF0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A77E0D">
            <w:rPr>
              <w:i/>
              <w:sz w:val="18"/>
            </w:rPr>
            <w:t>Veterans’ Entitlements (Soft Tissue Sarcoma) Statement of Principles 2015 (No. BP of 2015)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846A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C3" w:rsidRPr="00F414C3" w:rsidRDefault="00F414C3" w:rsidP="00F414C3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77E0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77E0D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448D0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448D0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A20FDB">
    <w:pPr>
      <w:rPr>
        <w:sz w:val="24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BEC4E5" wp14:editId="66945A6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EC4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QECj0Q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b/>
        <w:sz w:val="20"/>
      </w:rPr>
      <w:fldChar w:fldCharType="begin"/>
    </w:r>
    <w:r w:rsidR="00885EAB" w:rsidRPr="007A1328">
      <w:rPr>
        <w:b/>
        <w:sz w:val="20"/>
      </w:rPr>
      <w:instrText xml:space="preserve"> STYLEREF CharChapNo </w:instrText>
    </w:r>
    <w:r w:rsidR="00885EAB" w:rsidRPr="007A1328">
      <w:rPr>
        <w:b/>
        <w:sz w:val="20"/>
      </w:rPr>
      <w:fldChar w:fldCharType="end"/>
    </w:r>
    <w:r w:rsidR="00885EAB" w:rsidRPr="007A1328">
      <w:rPr>
        <w:b/>
        <w:sz w:val="20"/>
      </w:rPr>
      <w:t xml:space="preserve"> </w:t>
    </w:r>
    <w:r w:rsidR="00885EAB">
      <w:rPr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F89EC31" wp14:editId="193716C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A77E0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9EC31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left:0;text-align:left;margin-left:0;margin-top:11.3pt;width:347.25pt;height:31.5pt;z-index:-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6SBQ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A77E0D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A77E0D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A77E0D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A77E0D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A77E0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A77E0D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3"/>
  </w:num>
  <w:num w:numId="23">
    <w:abstractNumId w:val="10"/>
  </w:num>
  <w:num w:numId="2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48D0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0329"/>
    <w:rsid w:val="00097FDF"/>
    <w:rsid w:val="000A3D68"/>
    <w:rsid w:val="000B1350"/>
    <w:rsid w:val="000B58FA"/>
    <w:rsid w:val="000C21A3"/>
    <w:rsid w:val="000C664A"/>
    <w:rsid w:val="000C6D96"/>
    <w:rsid w:val="000D05EF"/>
    <w:rsid w:val="000D0F31"/>
    <w:rsid w:val="000D4D03"/>
    <w:rsid w:val="000E2261"/>
    <w:rsid w:val="000E3646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474E4"/>
    <w:rsid w:val="0015201F"/>
    <w:rsid w:val="00157B8B"/>
    <w:rsid w:val="0016160D"/>
    <w:rsid w:val="00161A8E"/>
    <w:rsid w:val="001648F7"/>
    <w:rsid w:val="00166C2F"/>
    <w:rsid w:val="00167E0C"/>
    <w:rsid w:val="001809D7"/>
    <w:rsid w:val="001833C8"/>
    <w:rsid w:val="001850BE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208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20F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2645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379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531C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3A8D"/>
    <w:rsid w:val="0086644D"/>
    <w:rsid w:val="00867ABD"/>
    <w:rsid w:val="00867B37"/>
    <w:rsid w:val="00873081"/>
    <w:rsid w:val="008754D0"/>
    <w:rsid w:val="00877AE3"/>
    <w:rsid w:val="00877DC9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BE8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D2DC7"/>
    <w:rsid w:val="00AD5641"/>
    <w:rsid w:val="00AD7889"/>
    <w:rsid w:val="00AD7AC2"/>
    <w:rsid w:val="00AD7DCC"/>
    <w:rsid w:val="00AE67D2"/>
    <w:rsid w:val="00AF021B"/>
    <w:rsid w:val="00AF06CF"/>
    <w:rsid w:val="00AF46C5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1931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4E1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506D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CF4D72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14C3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6289</Characters>
  <Application>Microsoft Office Word</Application>
  <DocSecurity>0</DocSecurity>
  <PresentationFormat/>
  <Lines>52</Lines>
  <Paragraphs>14</Paragraphs>
  <ScaleCrop>false</ScaleCrop>
  <Manager/>
  <Company/>
  <LinksUpToDate>false</LinksUpToDate>
  <CharactersWithSpaces>7378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2016-04-19T03:21:00Z</dcterms:created>
  <dcterms:modified xsi:type="dcterms:W3CDTF">2016-04-19T03:22:00Z</dcterms:modified>
  <cp:category/>
  <cp:contentStatus/>
  <dc:language/>
  <cp:version/>
</cp:coreProperties>
</file>