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44" w:rsidRPr="00FA33FB" w:rsidRDefault="00510C44" w:rsidP="00510C44">
      <w:pPr>
        <w:pStyle w:val="Plain"/>
        <w:jc w:val="center"/>
        <w:rPr>
          <w:sz w:val="28"/>
        </w:rPr>
      </w:pPr>
      <w:bookmarkStart w:id="0" w:name="_GoBack"/>
      <w:bookmarkEnd w:id="0"/>
      <w:r>
        <w:rPr>
          <w:noProof/>
        </w:rPr>
        <w:drawing>
          <wp:inline distT="0" distB="0" distL="0" distR="0" wp14:anchorId="15A2EDD8" wp14:editId="268B412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0C44" w:rsidRPr="00FA33FB" w:rsidRDefault="00510C44" w:rsidP="00510C44">
      <w:pPr>
        <w:rPr>
          <w:sz w:val="19"/>
        </w:rPr>
      </w:pPr>
    </w:p>
    <w:p w:rsidR="00715914" w:rsidRPr="00510C44"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E67F55"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F04105" w:rsidRPr="00F04105">
        <w:t>EXTERNAL BURN</w:t>
      </w:r>
      <w:r w:rsidRPr="00831C11">
        <w:fldChar w:fldCharType="end"/>
      </w:r>
    </w:p>
    <w:p w:rsidR="00ED501C" w:rsidRPr="00831C11" w:rsidRDefault="00B0270A" w:rsidP="00FD0628">
      <w:pPr>
        <w:pStyle w:val="Plainheader"/>
      </w:pPr>
      <w:r>
        <w:t>(Balance of Probabilities)</w:t>
      </w:r>
    </w:p>
    <w:p w:rsidR="00715914" w:rsidRPr="00831C11" w:rsidRDefault="00E55F66" w:rsidP="006647B7">
      <w:pPr>
        <w:pStyle w:val="Plainheader"/>
      </w:pPr>
      <w:r w:rsidRPr="00831C11">
        <w:t xml:space="preserve">(No. </w:t>
      </w:r>
      <w:bookmarkStart w:id="1" w:name="BP"/>
      <w:r w:rsidR="00B0270A">
        <w:t>111</w:t>
      </w:r>
      <w:bookmarkEnd w:id="1"/>
      <w:r w:rsidRPr="00831C11">
        <w:t xml:space="preserve"> of</w:t>
      </w:r>
      <w:r w:rsidR="00085567" w:rsidRPr="00831C11">
        <w:t xml:space="preserve"> </w:t>
      </w:r>
      <w:bookmarkStart w:id="2" w:name="year"/>
      <w:r w:rsidR="001B6DD0">
        <w:t>2015</w:t>
      </w:r>
      <w:bookmarkEnd w:id="2"/>
      <w:r w:rsidRPr="00831C11">
        <w:t>)</w:t>
      </w:r>
    </w:p>
    <w:p w:rsidR="00B0270A" w:rsidRDefault="00F67B67" w:rsidP="00B0270A">
      <w:pPr>
        <w:pStyle w:val="SignCoverPageStart"/>
        <w:ind w:right="-51"/>
        <w:jc w:val="left"/>
        <w:rPr>
          <w:sz w:val="24"/>
          <w:szCs w:val="24"/>
        </w:rPr>
      </w:pPr>
      <w:r w:rsidRPr="007527C1">
        <w:rPr>
          <w:sz w:val="24"/>
          <w:szCs w:val="24"/>
        </w:rPr>
        <w:t xml:space="preserve">The Repatriation Medical Authority determines the following Statement of </w:t>
      </w:r>
      <w:r w:rsidR="00B0270A">
        <w:rPr>
          <w:sz w:val="24"/>
          <w:szCs w:val="24"/>
        </w:rPr>
        <w:t xml:space="preserve">Principles </w:t>
      </w:r>
      <w:r w:rsidR="00B0270A" w:rsidRPr="001C008B">
        <w:rPr>
          <w:sz w:val="24"/>
          <w:szCs w:val="24"/>
        </w:rPr>
        <w:t xml:space="preserve">under subsection 196B(3) of the </w:t>
      </w:r>
      <w:r w:rsidR="00B0270A" w:rsidRPr="001C008B">
        <w:rPr>
          <w:i/>
          <w:sz w:val="24"/>
          <w:szCs w:val="24"/>
        </w:rPr>
        <w:t>Veterans’ Entitlements Act 1986</w:t>
      </w:r>
      <w:r w:rsidR="00B0270A" w:rsidRPr="001C008B">
        <w:rPr>
          <w:sz w:val="24"/>
          <w:szCs w:val="24"/>
        </w:rPr>
        <w:t>.</w:t>
      </w:r>
    </w:p>
    <w:p w:rsidR="00F67B67" w:rsidRDefault="00F67B67" w:rsidP="007527C1">
      <w:pPr>
        <w:pStyle w:val="SignCoverPageStart"/>
        <w:ind w:right="-51"/>
        <w:jc w:val="left"/>
        <w:rPr>
          <w:sz w:val="24"/>
          <w:szCs w:val="24"/>
        </w:rPr>
      </w:pP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0270A">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F04105">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B0270A" w:rsidRDefault="00B0270A" w:rsidP="00B0270A">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0270A" w:rsidRDefault="00B0270A" w:rsidP="00B0270A">
      <w:pPr>
        <w:pStyle w:val="Plain"/>
      </w:pPr>
      <w:r>
        <w:rPr>
          <w:noProof/>
        </w:rPr>
        <w:drawing>
          <wp:anchor distT="0" distB="0" distL="114300" distR="114300" simplePos="0" relativeHeight="251659264" behindDoc="1" locked="0" layoutInCell="1" allowOverlap="1" wp14:anchorId="3A678ACF" wp14:editId="3144EE28">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0270A" w:rsidRDefault="00B0270A" w:rsidP="00B0270A">
      <w:pPr>
        <w:pStyle w:val="Plain"/>
      </w:pPr>
    </w:p>
    <w:p w:rsidR="00B0270A" w:rsidRDefault="00B0270A" w:rsidP="00B0270A">
      <w:pPr>
        <w:pStyle w:val="Plain"/>
      </w:pPr>
    </w:p>
    <w:p w:rsidR="00B0270A" w:rsidRDefault="00B0270A" w:rsidP="00B0270A">
      <w:pPr>
        <w:pStyle w:val="Plain"/>
      </w:pPr>
    </w:p>
    <w:p w:rsidR="00B0270A" w:rsidRPr="007527C1" w:rsidRDefault="00B0270A" w:rsidP="00B0270A">
      <w:pPr>
        <w:pStyle w:val="Plain"/>
      </w:pPr>
    </w:p>
    <w:p w:rsidR="00B0270A" w:rsidRPr="007527C1" w:rsidRDefault="00B0270A" w:rsidP="00B0270A">
      <w:pPr>
        <w:pStyle w:val="Plain"/>
      </w:pPr>
      <w:r w:rsidRPr="007527C1">
        <w:t>Professor Nicholas Saunders AO</w:t>
      </w:r>
    </w:p>
    <w:p w:rsidR="00B0270A" w:rsidRDefault="00B0270A" w:rsidP="00B0270A">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0270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0270A">
        <w:rPr>
          <w:noProof/>
        </w:rPr>
        <w:t>1</w:t>
      </w:r>
      <w:r w:rsidR="00B0270A">
        <w:rPr>
          <w:rFonts w:asciiTheme="minorHAnsi" w:eastAsiaTheme="minorEastAsia" w:hAnsiTheme="minorHAnsi" w:cstheme="minorBidi"/>
          <w:noProof/>
          <w:kern w:val="0"/>
          <w:sz w:val="22"/>
          <w:szCs w:val="22"/>
        </w:rPr>
        <w:tab/>
      </w:r>
      <w:r w:rsidR="00B0270A">
        <w:rPr>
          <w:noProof/>
        </w:rPr>
        <w:t>Name</w:t>
      </w:r>
      <w:r w:rsidR="00B0270A">
        <w:rPr>
          <w:noProof/>
        </w:rPr>
        <w:tab/>
      </w:r>
      <w:r w:rsidR="00B0270A">
        <w:rPr>
          <w:noProof/>
        </w:rPr>
        <w:fldChar w:fldCharType="begin"/>
      </w:r>
      <w:r w:rsidR="00B0270A">
        <w:rPr>
          <w:noProof/>
        </w:rPr>
        <w:instrText xml:space="preserve"> PAGEREF _Toc426124518 \h </w:instrText>
      </w:r>
      <w:r w:rsidR="00B0270A">
        <w:rPr>
          <w:noProof/>
        </w:rPr>
      </w:r>
      <w:r w:rsidR="00B0270A">
        <w:rPr>
          <w:noProof/>
        </w:rPr>
        <w:fldChar w:fldCharType="separate"/>
      </w:r>
      <w:r w:rsidR="00F04105">
        <w:rPr>
          <w:noProof/>
        </w:rPr>
        <w:t>3</w:t>
      </w:r>
      <w:r w:rsidR="00B0270A">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_Toc426124519 \h </w:instrText>
      </w:r>
      <w:r>
        <w:rPr>
          <w:noProof/>
        </w:rPr>
      </w:r>
      <w:r>
        <w:rPr>
          <w:noProof/>
        </w:rPr>
        <w:fldChar w:fldCharType="separate"/>
      </w:r>
      <w:r w:rsidR="00F04105">
        <w:rPr>
          <w:noProof/>
        </w:rPr>
        <w:t>3</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_Toc426124520 \h </w:instrText>
      </w:r>
      <w:r>
        <w:rPr>
          <w:noProof/>
        </w:rPr>
      </w:r>
      <w:r>
        <w:rPr>
          <w:noProof/>
        </w:rPr>
        <w:fldChar w:fldCharType="separate"/>
      </w:r>
      <w:r w:rsidR="00F04105">
        <w:rPr>
          <w:noProof/>
        </w:rPr>
        <w:t>3</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_Toc426124521 \h </w:instrText>
      </w:r>
      <w:r>
        <w:rPr>
          <w:noProof/>
        </w:rPr>
      </w:r>
      <w:r>
        <w:rPr>
          <w:noProof/>
        </w:rPr>
        <w:fldChar w:fldCharType="separate"/>
      </w:r>
      <w:r w:rsidR="00F04105">
        <w:rPr>
          <w:noProof/>
        </w:rPr>
        <w:t>3</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_Toc426124522 \h </w:instrText>
      </w:r>
      <w:r>
        <w:rPr>
          <w:noProof/>
        </w:rPr>
      </w:r>
      <w:r>
        <w:rPr>
          <w:noProof/>
        </w:rPr>
        <w:fldChar w:fldCharType="separate"/>
      </w:r>
      <w:r w:rsidR="00F04105">
        <w:rPr>
          <w:noProof/>
        </w:rPr>
        <w:t>3</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_Toc426124523 \h </w:instrText>
      </w:r>
      <w:r>
        <w:rPr>
          <w:noProof/>
        </w:rPr>
      </w:r>
      <w:r>
        <w:rPr>
          <w:noProof/>
        </w:rPr>
        <w:fldChar w:fldCharType="separate"/>
      </w:r>
      <w:r w:rsidR="00F04105">
        <w:rPr>
          <w:noProof/>
        </w:rPr>
        <w:t>3</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_Toc426124524 \h </w:instrText>
      </w:r>
      <w:r>
        <w:rPr>
          <w:noProof/>
        </w:rPr>
      </w:r>
      <w:r>
        <w:rPr>
          <w:noProof/>
        </w:rPr>
        <w:fldChar w:fldCharType="separate"/>
      </w:r>
      <w:r w:rsidR="00F04105">
        <w:rPr>
          <w:noProof/>
        </w:rPr>
        <w:t>3</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_Toc426124525 \h </w:instrText>
      </w:r>
      <w:r>
        <w:rPr>
          <w:noProof/>
        </w:rPr>
      </w:r>
      <w:r>
        <w:rPr>
          <w:noProof/>
        </w:rPr>
        <w:fldChar w:fldCharType="separate"/>
      </w:r>
      <w:r w:rsidR="00F04105">
        <w:rPr>
          <w:noProof/>
        </w:rPr>
        <w:t>4</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_Toc426124526 \h </w:instrText>
      </w:r>
      <w:r>
        <w:rPr>
          <w:noProof/>
        </w:rPr>
      </w:r>
      <w:r>
        <w:rPr>
          <w:noProof/>
        </w:rPr>
        <w:fldChar w:fldCharType="separate"/>
      </w:r>
      <w:r w:rsidR="00F04105">
        <w:rPr>
          <w:noProof/>
        </w:rPr>
        <w:t>4</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_Toc426124527 \h </w:instrText>
      </w:r>
      <w:r>
        <w:rPr>
          <w:noProof/>
        </w:rPr>
      </w:r>
      <w:r>
        <w:rPr>
          <w:noProof/>
        </w:rPr>
        <w:fldChar w:fldCharType="separate"/>
      </w:r>
      <w:r w:rsidR="00F04105">
        <w:rPr>
          <w:noProof/>
        </w:rPr>
        <w:t>5</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_Toc426124528 \h </w:instrText>
      </w:r>
      <w:r>
        <w:rPr>
          <w:noProof/>
        </w:rPr>
      </w:r>
      <w:r>
        <w:rPr>
          <w:noProof/>
        </w:rPr>
        <w:fldChar w:fldCharType="separate"/>
      </w:r>
      <w:r w:rsidR="00F04105">
        <w:rPr>
          <w:noProof/>
        </w:rPr>
        <w:t>5</w:t>
      </w:r>
      <w:r>
        <w:rPr>
          <w:noProof/>
        </w:rPr>
        <w:fldChar w:fldCharType="end"/>
      </w:r>
    </w:p>
    <w:p w:rsidR="00B0270A" w:rsidRDefault="00B0270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_Toc426124529 \h </w:instrText>
      </w:r>
      <w:r>
        <w:rPr>
          <w:noProof/>
        </w:rPr>
      </w:r>
      <w:r>
        <w:rPr>
          <w:noProof/>
        </w:rPr>
        <w:fldChar w:fldCharType="separate"/>
      </w:r>
      <w:r w:rsidR="00F04105">
        <w:rPr>
          <w:noProof/>
        </w:rPr>
        <w:t>6</w:t>
      </w:r>
      <w:r>
        <w:rPr>
          <w:noProof/>
        </w:rPr>
        <w:fldChar w:fldCharType="end"/>
      </w:r>
    </w:p>
    <w:p w:rsidR="00B0270A" w:rsidRDefault="00B0270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_Toc426124530 \h </w:instrText>
      </w:r>
      <w:r>
        <w:rPr>
          <w:noProof/>
        </w:rPr>
      </w:r>
      <w:r>
        <w:rPr>
          <w:noProof/>
        </w:rPr>
        <w:fldChar w:fldCharType="separate"/>
      </w:r>
      <w:r w:rsidR="00F04105">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223"/>
      <w:bookmarkStart w:id="6" w:name="_Toc426124518"/>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1B6DD0" w:rsidRPr="00B0270A">
        <w:rPr>
          <w:i/>
        </w:rPr>
        <w:t>external burn</w:t>
      </w:r>
      <w:bookmarkEnd w:id="8"/>
      <w:r w:rsidR="008E4A16">
        <w:rPr>
          <w:b/>
        </w:rPr>
        <w:t xml:space="preserve"> </w:t>
      </w:r>
      <w:r w:rsidR="00B0270A" w:rsidRPr="003E2269">
        <w:rPr>
          <w:i/>
        </w:rPr>
        <w:t>(Balance of Probabilities)</w:t>
      </w:r>
      <w:r w:rsidR="00B0270A" w:rsidRPr="00F97A62">
        <w:t xml:space="preserve"> </w:t>
      </w:r>
      <w:r w:rsidR="00E55F66" w:rsidRPr="00F97A62">
        <w:t xml:space="preserve">(No. </w:t>
      </w:r>
      <w:fldSimple w:instr=" REF BP  \* MERGEFORMAT">
        <w:r w:rsidR="00F04105">
          <w:t>111</w:t>
        </w:r>
      </w:fldSimple>
      <w:r w:rsidR="00085567">
        <w:t xml:space="preserve"> </w:t>
      </w:r>
      <w:r w:rsidR="00E55F66" w:rsidRPr="00F97A62">
        <w:t>of</w:t>
      </w:r>
      <w:r w:rsidR="00085567">
        <w:t xml:space="preserve"> </w:t>
      </w:r>
      <w:fldSimple w:instr=" REF year \* Charformat \* MERGEFORMAT ">
        <w:r w:rsidR="00F04105">
          <w:t>2015</w:t>
        </w:r>
      </w:fldSimple>
      <w:r w:rsidR="00E55F66" w:rsidRPr="00F97A62">
        <w:t>)</w:t>
      </w:r>
      <w:r w:rsidRPr="00F97A62">
        <w:t>.</w:t>
      </w:r>
    </w:p>
    <w:p w:rsidR="00F67B67" w:rsidRPr="00684C0E" w:rsidRDefault="00F67B67" w:rsidP="00C96667">
      <w:pPr>
        <w:pStyle w:val="LV1"/>
      </w:pPr>
      <w:bookmarkStart w:id="9" w:name="_Toc418944224"/>
      <w:bookmarkStart w:id="10" w:name="_Toc426124519"/>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B0270A">
        <w:rPr>
          <w:b/>
        </w:rPr>
        <w:t>21 September 2015</w:t>
      </w:r>
      <w:r w:rsidR="00F67B67" w:rsidRPr="007527C1">
        <w:t>.</w:t>
      </w:r>
    </w:p>
    <w:p w:rsidR="00F67B67" w:rsidRPr="00684C0E" w:rsidRDefault="00F67B67" w:rsidP="00C96667">
      <w:pPr>
        <w:pStyle w:val="LV1"/>
      </w:pPr>
      <w:bookmarkStart w:id="11" w:name="_Toc418944225"/>
      <w:bookmarkStart w:id="12" w:name="_Toc426124520"/>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226"/>
      <w:bookmarkStart w:id="14" w:name="_Toc426124521"/>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F04105" w:rsidRPr="00F04105">
        <w:t>external burn</w:t>
      </w:r>
      <w:r>
        <w:fldChar w:fldCharType="end"/>
      </w:r>
      <w:r w:rsidR="0042720D">
        <w:t xml:space="preserve"> No. </w:t>
      </w:r>
      <w:r w:rsidR="005500B8">
        <w:t>42</w:t>
      </w:r>
      <w:r w:rsidR="0042720D">
        <w:t xml:space="preserve"> of </w:t>
      </w:r>
      <w:r w:rsidR="005500B8">
        <w:t>2006</w:t>
      </w:r>
      <w:r w:rsidR="00BA01A1">
        <w:t xml:space="preserve"> </w:t>
      </w:r>
      <w:r w:rsidRPr="000B755A">
        <w:t xml:space="preserve">made under subsection 196B(3) of the </w:t>
      </w:r>
      <w:r w:rsidR="00ED13B4" w:rsidRPr="00ED13B4">
        <w:t>VEA</w:t>
      </w:r>
      <w:r w:rsidRPr="000B755A">
        <w:t xml:space="preserve"> is revoked.</w:t>
      </w:r>
    </w:p>
    <w:p w:rsidR="007C7DEE" w:rsidRPr="00684C0E" w:rsidRDefault="007C7DEE" w:rsidP="00C96667">
      <w:pPr>
        <w:pStyle w:val="LV1"/>
      </w:pPr>
      <w:bookmarkStart w:id="15" w:name="_Toc418944227"/>
      <w:bookmarkStart w:id="16" w:name="_Toc426124522"/>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228"/>
      <w:bookmarkStart w:id="19" w:name="_Toc426124523"/>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229"/>
      <w:bookmarkStart w:id="24" w:name="_Toc426124524"/>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F04105" w:rsidRPr="00F04105">
        <w:t>external burn</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F04105" w:rsidRPr="00F04105">
        <w:rPr>
          <w:b/>
          <w:i/>
        </w:rPr>
        <w:t>external burn</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2716E4" w:rsidRPr="00237BAF">
        <w:t>:</w:t>
      </w:r>
      <w:bookmarkEnd w:id="26"/>
    </w:p>
    <w:bookmarkEnd w:id="27"/>
    <w:p w:rsidR="0006132F" w:rsidRDefault="0006132F" w:rsidP="0006132F">
      <w:pPr>
        <w:pStyle w:val="LV3"/>
      </w:pPr>
      <w:r w:rsidRPr="00D3767E">
        <w:t>means a burn due to external application of an agent</w:t>
      </w:r>
      <w:r>
        <w:t>; and</w:t>
      </w:r>
    </w:p>
    <w:p w:rsidR="00E67F55" w:rsidRDefault="0006132F" w:rsidP="0006132F">
      <w:pPr>
        <w:pStyle w:val="LV3"/>
      </w:pPr>
      <w:r w:rsidRPr="008E76DC">
        <w:t>includes</w:t>
      </w:r>
      <w:r w:rsidRPr="00D3767E">
        <w:t xml:space="preserve"> burns of the eye</w:t>
      </w:r>
      <w:r>
        <w:t xml:space="preserve"> and sunburn</w:t>
      </w:r>
      <w:r w:rsidR="00800C68">
        <w:t>;</w:t>
      </w:r>
      <w:r>
        <w:t xml:space="preserve"> </w:t>
      </w:r>
      <w:r w:rsidR="00E67F55">
        <w:t>and</w:t>
      </w:r>
      <w:r>
        <w:t xml:space="preserve"> </w:t>
      </w:r>
    </w:p>
    <w:p w:rsidR="0006132F" w:rsidRDefault="0006132F" w:rsidP="0006132F">
      <w:pPr>
        <w:pStyle w:val="LV3"/>
      </w:pPr>
      <w:r>
        <w:t xml:space="preserve">excludes </w:t>
      </w:r>
      <w:r w:rsidRPr="00D3767E">
        <w:t>burns of the respiratory tract</w:t>
      </w:r>
      <w:r>
        <w:t>,</w:t>
      </w:r>
      <w:r w:rsidRPr="00D3767E">
        <w:t xml:space="preserve"> gastrointestinal tract and internal genitourinary tract</w:t>
      </w:r>
      <w:r w:rsidR="000D4B19">
        <w:t>,</w:t>
      </w:r>
      <w:r>
        <w:t xml:space="preserve"> '</w:t>
      </w:r>
      <w:r w:rsidRPr="00D3767E">
        <w:t>wind burn</w:t>
      </w:r>
      <w:r>
        <w:t>', frostbite and b</w:t>
      </w:r>
      <w:r w:rsidRPr="00D3767E">
        <w:t>urns due to electrical injury</w:t>
      </w:r>
      <w:r>
        <w:t xml:space="preserve"> or </w:t>
      </w:r>
      <w:r w:rsidRPr="00D3767E">
        <w:t>friction.</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F04105" w:rsidRPr="00F04105">
        <w:rPr>
          <w:b/>
          <w:i/>
        </w:rPr>
        <w:t>external burn</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7C5642">
        <w:t>.</w:t>
      </w:r>
    </w:p>
    <w:p w:rsidR="007C7DEE" w:rsidRPr="00A20CA1" w:rsidRDefault="007C7DEE" w:rsidP="00C96667">
      <w:pPr>
        <w:pStyle w:val="LV1"/>
      </w:pPr>
      <w:bookmarkStart w:id="28" w:name="_Toc418944230"/>
      <w:bookmarkStart w:id="29" w:name="_Toc426124525"/>
      <w:r w:rsidRPr="00A20CA1">
        <w:lastRenderedPageBreak/>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231"/>
      <w:bookmarkStart w:id="34" w:name="_Toc426124526"/>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EC32B6" w:rsidRPr="00EC32B6" w:rsidRDefault="00EC32B6" w:rsidP="00EC32B6">
      <w:pPr>
        <w:pStyle w:val="LV2"/>
      </w:pPr>
      <w:r w:rsidRPr="00EC32B6">
        <w:t>having exposure to a heat source sufficient to cause erythema at the affected area of the body at the time of the cli</w:t>
      </w:r>
      <w:r w:rsidR="00096A50">
        <w:t xml:space="preserve">nical onset of external burn; </w:t>
      </w:r>
    </w:p>
    <w:p w:rsidR="00EC32B6" w:rsidRDefault="00EC32B6" w:rsidP="00EC32B6">
      <w:pPr>
        <w:pStyle w:val="LV2"/>
      </w:pPr>
      <w:r w:rsidRPr="00EC32B6">
        <w:t>having exposure to extreme cold sufficient to cause erythema at the affected area of the body at the time of the cli</w:t>
      </w:r>
      <w:r w:rsidR="00096A50">
        <w:t xml:space="preserve">nical onset of external burn; </w:t>
      </w:r>
    </w:p>
    <w:p w:rsidR="00EC32B6" w:rsidRPr="00EC32B6" w:rsidRDefault="00EC32B6" w:rsidP="00EC32B6">
      <w:pPr>
        <w:pStyle w:val="NOTE"/>
      </w:pPr>
      <w:r>
        <w:t xml:space="preserve">Note: </w:t>
      </w:r>
      <w:r>
        <w:rPr>
          <w:b/>
          <w:i/>
        </w:rPr>
        <w:t>extreme cold</w:t>
      </w:r>
      <w:r w:rsidRPr="00046E67">
        <w:t xml:space="preserve"> is defined in the </w:t>
      </w:r>
      <w:r>
        <w:t xml:space="preserve">Schedule 1 - </w:t>
      </w:r>
      <w:r w:rsidRPr="002717B2">
        <w:t>Dictionary</w:t>
      </w:r>
      <w:r w:rsidRPr="00046E67">
        <w:t>.</w:t>
      </w:r>
    </w:p>
    <w:p w:rsidR="00EC32B6" w:rsidRPr="00EC32B6" w:rsidRDefault="00EC32B6" w:rsidP="00EC32B6">
      <w:pPr>
        <w:pStyle w:val="LV2"/>
      </w:pPr>
      <w:r w:rsidRPr="00EC32B6">
        <w:t>having contact with vesicant or corrosive chemicals sufficient to cause erythema at the affected area of the body within the 48 hours before the cli</w:t>
      </w:r>
      <w:r w:rsidR="00096A50">
        <w:t xml:space="preserve">nical onset of external burn; </w:t>
      </w:r>
    </w:p>
    <w:p w:rsidR="00EC32B6" w:rsidRDefault="00EC32B6" w:rsidP="00EC32B6">
      <w:pPr>
        <w:pStyle w:val="LV2"/>
      </w:pPr>
      <w:r w:rsidRPr="00EC32B6">
        <w:t xml:space="preserve">having received a cumulative equivalent dose of at least 2.0 sievert of ionising radiation to the affected area of the body within the </w:t>
      </w:r>
      <w:r w:rsidR="00B0270A">
        <w:t>30 days</w:t>
      </w:r>
      <w:r w:rsidRPr="00EC32B6">
        <w:t xml:space="preserve"> before the cli</w:t>
      </w:r>
      <w:r w:rsidR="00096A50">
        <w:t xml:space="preserve">nical onset of external burn; </w:t>
      </w:r>
    </w:p>
    <w:p w:rsidR="00EC32B6" w:rsidRPr="00EC32B6" w:rsidRDefault="00EC32B6" w:rsidP="00EC32B6">
      <w:pPr>
        <w:pStyle w:val="NOTE"/>
      </w:pPr>
      <w:r>
        <w:t xml:space="preserve">Note: </w:t>
      </w:r>
      <w:r w:rsidRPr="00455284">
        <w:rPr>
          <w:b/>
          <w:i/>
        </w:rPr>
        <w:t>cumulative equivalent dose</w:t>
      </w:r>
      <w:r w:rsidRPr="00046E67">
        <w:t xml:space="preserve"> is defined in the </w:t>
      </w:r>
      <w:r>
        <w:t xml:space="preserve">Schedule 1 - </w:t>
      </w:r>
      <w:r w:rsidRPr="002717B2">
        <w:t>Dictionary</w:t>
      </w:r>
      <w:r w:rsidRPr="00046E67">
        <w:t>.</w:t>
      </w:r>
    </w:p>
    <w:p w:rsidR="00EC32B6" w:rsidRPr="00EC32B6" w:rsidRDefault="00EC32B6" w:rsidP="00EC32B6">
      <w:pPr>
        <w:pStyle w:val="LV2"/>
      </w:pPr>
      <w:r w:rsidRPr="00EC32B6">
        <w:t>having exposure to radiofrequency or microwave radiation sufficient to cause erythema at the affected area of the body at the time of the cli</w:t>
      </w:r>
      <w:r w:rsidR="00096A50">
        <w:t xml:space="preserve">nical onset of external burn; </w:t>
      </w:r>
    </w:p>
    <w:p w:rsidR="00EC32B6" w:rsidRPr="00EC32B6" w:rsidRDefault="00CE182E" w:rsidP="00EC32B6">
      <w:pPr>
        <w:pStyle w:val="LV2"/>
      </w:pPr>
      <w:r>
        <w:t xml:space="preserve">having exposure to infrared </w:t>
      </w:r>
      <w:r w:rsidR="00EC32B6" w:rsidRPr="00EC32B6">
        <w:t>radiation sufficient to cause erythema at the affected area of the body at the time of the cli</w:t>
      </w:r>
      <w:r w:rsidR="00096A50">
        <w:t xml:space="preserve">nical onset of external burn; </w:t>
      </w:r>
    </w:p>
    <w:p w:rsidR="00EC32B6" w:rsidRPr="00EC32B6" w:rsidRDefault="00EC32B6" w:rsidP="00EC32B6">
      <w:pPr>
        <w:pStyle w:val="LV2"/>
      </w:pPr>
      <w:r w:rsidRPr="00EC32B6">
        <w:t>having laser applied, sufficient to cause erythema, at the affected area of the body at the time of the clinical onset of external b</w:t>
      </w:r>
      <w:r w:rsidR="00096A50">
        <w:t xml:space="preserve">urn; </w:t>
      </w:r>
    </w:p>
    <w:p w:rsidR="00EC32B6" w:rsidRPr="00EC32B6" w:rsidRDefault="00EC32B6" w:rsidP="00EC32B6">
      <w:pPr>
        <w:pStyle w:val="LV2"/>
      </w:pPr>
      <w:r w:rsidRPr="00EC32B6">
        <w:t>having exposure to ultraviolet radiation sufficient to cause erythema at the affected area of the body at the time of the cli</w:t>
      </w:r>
      <w:r w:rsidR="00096A50">
        <w:t xml:space="preserve">nical onset of external burn; </w:t>
      </w:r>
    </w:p>
    <w:p w:rsidR="00EC32B6" w:rsidRPr="00EC32B6" w:rsidRDefault="00EC32B6" w:rsidP="00EC32B6">
      <w:pPr>
        <w:pStyle w:val="LV2"/>
      </w:pPr>
      <w:r w:rsidRPr="00EC32B6">
        <w:lastRenderedPageBreak/>
        <w:t>having exposure to high intensity</w:t>
      </w:r>
      <w:r w:rsidR="009D063E">
        <w:t>,</w:t>
      </w:r>
      <w:r w:rsidRPr="00EC32B6">
        <w:t xml:space="preserve"> focussed ultrasound sufficient to cause erythema at the affected area of the body at the time of the cli</w:t>
      </w:r>
      <w:r w:rsidR="00096A50">
        <w:t xml:space="preserve">nical onset of external burn; </w:t>
      </w:r>
    </w:p>
    <w:p w:rsidR="007C7DEE" w:rsidRPr="008D1B8B" w:rsidRDefault="007C7DEE" w:rsidP="003802D6">
      <w:pPr>
        <w:pStyle w:val="LV2"/>
      </w:pPr>
      <w:bookmarkStart w:id="36" w:name="_Ref402530260"/>
      <w:bookmarkStart w:id="37" w:name="_Ref409598844"/>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D5620B" w:rsidRPr="008D1B8B">
        <w:t>.</w:t>
      </w:r>
      <w:bookmarkEnd w:id="37"/>
    </w:p>
    <w:p w:rsidR="000C21A3" w:rsidRPr="00684C0E" w:rsidRDefault="00D32F71" w:rsidP="00C96667">
      <w:pPr>
        <w:pStyle w:val="LV1"/>
      </w:pPr>
      <w:bookmarkStart w:id="38" w:name="_Toc418944232"/>
      <w:bookmarkStart w:id="39" w:name="_Toc426124527"/>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3802D6">
      <w:pPr>
        <w:pStyle w:val="LV2"/>
      </w:pPr>
      <w:r w:rsidRPr="00187DE1">
        <w:t xml:space="preserve">The factor set out in </w:t>
      </w:r>
      <w:r w:rsidR="002077D6">
        <w:t>subsection</w:t>
      </w:r>
      <w:r w:rsidR="00EC32B6">
        <w:t xml:space="preserve"> 9(10</w:t>
      </w:r>
      <w:r w:rsidR="00CE5AE0">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F04105" w:rsidRPr="00F04105">
        <w:t>external burn</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233"/>
      <w:bookmarkStart w:id="42" w:name="_Toc426124528"/>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612452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6124530"/>
      <w:r w:rsidRPr="00D97BB3">
        <w:t>Definitions</w:t>
      </w:r>
      <w:bookmarkEnd w:id="47"/>
      <w:bookmarkEnd w:id="48"/>
      <w:bookmarkEnd w:id="49"/>
    </w:p>
    <w:p w:rsidR="00702C42" w:rsidRPr="00516768" w:rsidRDefault="00702C42" w:rsidP="00F97A62">
      <w:pPr>
        <w:pStyle w:val="SH2"/>
      </w:pPr>
      <w:r w:rsidRPr="00516768">
        <w:t>In this instrument:</w:t>
      </w:r>
    </w:p>
    <w:p w:rsidR="00EC32B6" w:rsidRDefault="00EC32B6" w:rsidP="0006132F">
      <w:pPr>
        <w:pStyle w:val="SH3"/>
      </w:pPr>
      <w:bookmarkStart w:id="50" w:name="_Ref402530810"/>
      <w:r w:rsidRPr="00973123">
        <w:rPr>
          <w:b/>
          <w:i/>
        </w:rPr>
        <w:t>cumulative equivalent dose</w:t>
      </w:r>
      <w:r>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EC32B6" w:rsidRPr="00513D05" w:rsidRDefault="00EC32B6" w:rsidP="0006132F">
      <w:pPr>
        <w:pStyle w:val="SH3"/>
      </w:pPr>
      <w:r w:rsidRPr="0006132F">
        <w:rPr>
          <w:b/>
          <w:i/>
        </w:rPr>
        <w:fldChar w:fldCharType="begin"/>
      </w:r>
      <w:r w:rsidRPr="0006132F">
        <w:rPr>
          <w:b/>
          <w:i/>
        </w:rPr>
        <w:instrText xml:space="preserve"> REF SoP_Name  \* Charformat  \* MERGEFORMAT \*Lower </w:instrText>
      </w:r>
      <w:r w:rsidRPr="0006132F">
        <w:rPr>
          <w:b/>
          <w:i/>
        </w:rPr>
        <w:fldChar w:fldCharType="separate"/>
      </w:r>
      <w:r w:rsidR="00F04105" w:rsidRPr="00F04105">
        <w:rPr>
          <w:b/>
          <w:i/>
        </w:rPr>
        <w:t>external burn</w:t>
      </w:r>
      <w:r w:rsidRPr="0006132F">
        <w:rPr>
          <w:b/>
          <w:i/>
        </w:rPr>
        <w:fldChar w:fldCharType="end"/>
      </w:r>
      <w:r w:rsidRPr="00513D05">
        <w:t>—see subsection</w:t>
      </w:r>
      <w:r>
        <w:t xml:space="preserve"> 7(2).</w:t>
      </w:r>
    </w:p>
    <w:p w:rsidR="00EC32B6" w:rsidRDefault="00EC32B6" w:rsidP="0006132F">
      <w:pPr>
        <w:pStyle w:val="SH3"/>
      </w:pPr>
      <w:r w:rsidRPr="00973123">
        <w:rPr>
          <w:b/>
          <w:i/>
        </w:rPr>
        <w:t>extreme cold</w:t>
      </w:r>
      <w:r>
        <w:t xml:space="preserve"> means zero degrees Celsius or below</w:t>
      </w:r>
      <w:r w:rsidR="0096752E">
        <w:t>.</w:t>
      </w:r>
    </w:p>
    <w:p w:rsidR="00885EAB" w:rsidRPr="009C404D" w:rsidRDefault="00885EAB" w:rsidP="0006132F">
      <w:pPr>
        <w:pStyle w:val="SH3"/>
      </w:pPr>
      <w:r w:rsidRPr="0006132F">
        <w:rPr>
          <w:b/>
          <w:i/>
        </w:rPr>
        <w:t>MRCA</w:t>
      </w:r>
      <w:r w:rsidRPr="00B90B8D">
        <w:rPr>
          <w:b/>
        </w:rPr>
        <w:t xml:space="preserve"> </w:t>
      </w:r>
      <w:r w:rsidRPr="00973808">
        <w:t>me</w:t>
      </w:r>
      <w:r w:rsidRPr="00024911">
        <w:rPr>
          <w:rStyle w:val="SH3nospaceChar"/>
        </w:rPr>
        <w:t>a</w:t>
      </w:r>
      <w:r w:rsidRPr="00973808">
        <w:t>ns</w:t>
      </w:r>
      <w:r w:rsidRPr="009C404D">
        <w:t xml:space="preserve"> the </w:t>
      </w:r>
      <w:r w:rsidRPr="0096752E">
        <w:rPr>
          <w:i/>
        </w:rPr>
        <w:t>Military Rehabilitation and Compensation Act 2004</w:t>
      </w:r>
      <w:r w:rsidRPr="009C404D">
        <w:t>.</w:t>
      </w:r>
    </w:p>
    <w:bookmarkEnd w:id="50"/>
    <w:p w:rsidR="00885EAB" w:rsidRPr="009C404D" w:rsidRDefault="00054930" w:rsidP="0006132F">
      <w:pPr>
        <w:pStyle w:val="SH3"/>
      </w:pPr>
      <w:r w:rsidRPr="0021380C">
        <w:rPr>
          <w:b/>
          <w:i/>
        </w:rPr>
        <w:t>r</w:t>
      </w:r>
      <w:r w:rsidR="00885EAB" w:rsidRPr="0021380C">
        <w:rPr>
          <w:b/>
          <w:i/>
        </w:rPr>
        <w:t>elevant service</w:t>
      </w:r>
      <w:r w:rsidR="00885EAB" w:rsidRPr="009C404D">
        <w:t xml:space="preserve"> means:</w:t>
      </w:r>
    </w:p>
    <w:p w:rsidR="00885EAB" w:rsidRPr="00365E25" w:rsidRDefault="00C77046" w:rsidP="001B77FE">
      <w:pPr>
        <w:pStyle w:val="SH4"/>
        <w:ind w:left="1418"/>
      </w:pPr>
      <w:bookmarkStart w:id="51" w:name="_Ref402529607"/>
      <w:r>
        <w:t xml:space="preserve">eligible war service (other than operational </w:t>
      </w:r>
      <w:r w:rsidR="00885EAB" w:rsidRPr="00365E25">
        <w:t>service</w:t>
      </w:r>
      <w:r>
        <w:t>) under the VEA;</w:t>
      </w:r>
    </w:p>
    <w:p w:rsidR="00885EAB" w:rsidRPr="00513D05" w:rsidRDefault="00C77046" w:rsidP="001B77FE">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1B77FE">
      <w:pPr>
        <w:pStyle w:val="SH4"/>
        <w:ind w:left="1418"/>
      </w:pPr>
      <w:r>
        <w:t>peacetime service under the MRCA.</w:t>
      </w:r>
    </w:p>
    <w:p w:rsidR="00885EAB" w:rsidRPr="009C404D" w:rsidRDefault="00054930" w:rsidP="0006132F">
      <w:pPr>
        <w:pStyle w:val="SH3"/>
      </w:pPr>
      <w:r>
        <w:rPr>
          <w:b/>
          <w:i/>
        </w:rPr>
        <w:t>t</w:t>
      </w:r>
      <w:r w:rsidR="00885EAB" w:rsidRPr="00973808">
        <w:rPr>
          <w:b/>
          <w:i/>
        </w:rPr>
        <w:t>erminal event</w:t>
      </w:r>
      <w:r w:rsidR="00885EAB" w:rsidRPr="009C404D">
        <w:t xml:space="preserve"> means the proximate or ultimate cause of death and includes</w:t>
      </w:r>
      <w:bookmarkEnd w:id="51"/>
      <w:r w:rsidR="00513D05" w:rsidRPr="009C404D">
        <w:t xml:space="preserve"> </w:t>
      </w:r>
      <w:r w:rsidR="00885EAB" w:rsidRPr="009C404D">
        <w:t>the following:</w:t>
      </w:r>
    </w:p>
    <w:p w:rsidR="00885EAB" w:rsidRPr="00513D05" w:rsidRDefault="00513D05" w:rsidP="001B77FE">
      <w:pPr>
        <w:pStyle w:val="SH4"/>
        <w:ind w:left="1418"/>
      </w:pPr>
      <w:r>
        <w:tab/>
      </w:r>
      <w:r w:rsidR="00885EAB" w:rsidRPr="00513D05">
        <w:t>pneumonia;</w:t>
      </w:r>
    </w:p>
    <w:p w:rsidR="00885EAB" w:rsidRPr="00513D05" w:rsidRDefault="00885EAB" w:rsidP="001B77FE">
      <w:pPr>
        <w:pStyle w:val="SH4"/>
        <w:ind w:left="1418"/>
      </w:pPr>
      <w:r w:rsidRPr="00513D05">
        <w:tab/>
        <w:t>respiratory failure;</w:t>
      </w:r>
    </w:p>
    <w:p w:rsidR="00885EAB" w:rsidRPr="00513D05" w:rsidRDefault="00885EAB" w:rsidP="001B77FE">
      <w:pPr>
        <w:pStyle w:val="SH4"/>
        <w:ind w:left="1418"/>
      </w:pPr>
      <w:r w:rsidRPr="00513D05">
        <w:tab/>
        <w:t>cardiac arrest;</w:t>
      </w:r>
    </w:p>
    <w:p w:rsidR="00885EAB" w:rsidRPr="00513D05" w:rsidRDefault="00885EAB" w:rsidP="001B77FE">
      <w:pPr>
        <w:pStyle w:val="SH4"/>
        <w:ind w:left="1418"/>
      </w:pPr>
      <w:r w:rsidRPr="00513D05">
        <w:tab/>
        <w:t>circulatory failure;</w:t>
      </w:r>
      <w:r w:rsidR="00323902">
        <w:t xml:space="preserve"> or</w:t>
      </w:r>
    </w:p>
    <w:p w:rsidR="00BD3334" w:rsidRPr="00BD3334" w:rsidRDefault="00885EAB" w:rsidP="001B77FE">
      <w:pPr>
        <w:pStyle w:val="SH4"/>
        <w:ind w:left="1418"/>
      </w:pPr>
      <w:r w:rsidRPr="00513D05">
        <w:tab/>
        <w:t>cessation of brain function.</w:t>
      </w:r>
    </w:p>
    <w:p w:rsidR="00225CBD" w:rsidRDefault="00885EAB" w:rsidP="0006132F">
      <w:pPr>
        <w:pStyle w:val="SH3"/>
      </w:pPr>
      <w:r w:rsidRPr="0006132F">
        <w:rPr>
          <w:b/>
          <w:i/>
        </w:rPr>
        <w:t>VEA</w:t>
      </w:r>
      <w:r w:rsidRPr="0019084F">
        <w:t xml:space="preserve"> means the </w:t>
      </w:r>
      <w:r w:rsidRPr="0096752E">
        <w:rPr>
          <w:i/>
        </w:rPr>
        <w:t>Veterans</w:t>
      </w:r>
      <w:r w:rsidR="0042098D" w:rsidRPr="0096752E">
        <w:rPr>
          <w:i/>
        </w:rPr>
        <w:t>'</w:t>
      </w:r>
      <w:r w:rsidRPr="0096752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BA01A1"/>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96752E"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96752E" w:rsidP="0096752E">
          <w:pPr>
            <w:spacing w:line="0" w:lineRule="atLeast"/>
            <w:jc w:val="center"/>
            <w:rPr>
              <w:sz w:val="18"/>
            </w:rPr>
          </w:pPr>
          <w:r>
            <w:rPr>
              <w:i/>
              <w:sz w:val="18"/>
              <w:szCs w:val="18"/>
            </w:rPr>
            <w:t>E</w:t>
          </w:r>
          <w:r w:rsidR="00B0270A" w:rsidRPr="00B0270A">
            <w:rPr>
              <w:i/>
              <w:sz w:val="18"/>
              <w:szCs w:val="18"/>
            </w:rPr>
            <w:t xml:space="preserve">xternal </w:t>
          </w:r>
          <w:r>
            <w:rPr>
              <w:i/>
              <w:sz w:val="18"/>
              <w:szCs w:val="18"/>
            </w:rPr>
            <w:t>B</w:t>
          </w:r>
          <w:r w:rsidR="00B0270A" w:rsidRPr="00B0270A">
            <w:rPr>
              <w:i/>
              <w:sz w:val="18"/>
              <w:szCs w:val="18"/>
            </w:rPr>
            <w:t>urn</w:t>
          </w:r>
          <w:r w:rsidR="003A2FFE" w:rsidRPr="003A2FFE">
            <w:rPr>
              <w:i/>
              <w:sz w:val="18"/>
            </w:rPr>
            <w:t xml:space="preserve"> </w:t>
          </w:r>
          <w:r>
            <w:rPr>
              <w:i/>
              <w:sz w:val="18"/>
            </w:rPr>
            <w:t>(Balance of Probabilities)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F04105" w:rsidRPr="00F04105">
            <w:rPr>
              <w:i/>
              <w:sz w:val="18"/>
              <w:szCs w:val="18"/>
            </w:rPr>
            <w:t>111</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F04105" w:rsidRPr="00F04105">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04105">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F84650"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F84650" w:rsidP="00F84650">
          <w:pPr>
            <w:spacing w:line="0" w:lineRule="atLeast"/>
            <w:jc w:val="center"/>
            <w:rPr>
              <w:sz w:val="18"/>
            </w:rPr>
          </w:pPr>
          <w:r>
            <w:rPr>
              <w:i/>
              <w:sz w:val="18"/>
              <w:szCs w:val="18"/>
            </w:rPr>
            <w:t>E</w:t>
          </w:r>
          <w:r w:rsidR="00B0270A" w:rsidRPr="00B0270A">
            <w:rPr>
              <w:i/>
              <w:sz w:val="18"/>
              <w:szCs w:val="18"/>
            </w:rPr>
            <w:t xml:space="preserve">xternal </w:t>
          </w:r>
          <w:r>
            <w:rPr>
              <w:i/>
              <w:sz w:val="18"/>
              <w:szCs w:val="18"/>
            </w:rPr>
            <w:t>B</w:t>
          </w:r>
          <w:r w:rsidR="00B0270A" w:rsidRPr="00B0270A">
            <w:rPr>
              <w:i/>
              <w:sz w:val="18"/>
              <w:szCs w:val="18"/>
            </w:rPr>
            <w:t>urn</w:t>
          </w:r>
          <w:r w:rsidR="000007B8" w:rsidRPr="007F2378">
            <w:rPr>
              <w:i/>
              <w:sz w:val="18"/>
            </w:rPr>
            <w:t xml:space="preserve"> </w:t>
          </w:r>
          <w:r>
            <w:rPr>
              <w:i/>
              <w:sz w:val="18"/>
            </w:rPr>
            <w:t>(Balance of Probabilities)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F04105" w:rsidRPr="00F04105">
            <w:rPr>
              <w:i/>
              <w:sz w:val="18"/>
              <w:szCs w:val="18"/>
            </w:rPr>
            <w:t>111</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F04105" w:rsidRPr="00F04105">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04105">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96752E" w:rsidRDefault="007F2378" w:rsidP="007F2378">
          <w:pPr>
            <w:spacing w:line="0" w:lineRule="atLeast"/>
            <w:jc w:val="center"/>
            <w:rPr>
              <w:i/>
              <w:sz w:val="18"/>
            </w:rPr>
          </w:pPr>
          <w:r w:rsidRPr="007C5CE0">
            <w:rPr>
              <w:i/>
              <w:sz w:val="18"/>
            </w:rPr>
            <w:t xml:space="preserve">Statement of Principles concerning </w:t>
          </w:r>
        </w:p>
        <w:p w:rsidR="007F2378" w:rsidRPr="007C5CE0" w:rsidRDefault="0096752E" w:rsidP="0096752E">
          <w:pPr>
            <w:spacing w:line="0" w:lineRule="atLeast"/>
            <w:jc w:val="center"/>
            <w:rPr>
              <w:sz w:val="18"/>
            </w:rPr>
          </w:pPr>
          <w:r>
            <w:rPr>
              <w:i/>
              <w:sz w:val="18"/>
              <w:szCs w:val="18"/>
            </w:rPr>
            <w:t>E</w:t>
          </w:r>
          <w:r w:rsidR="00B0270A" w:rsidRPr="00B0270A">
            <w:rPr>
              <w:i/>
              <w:sz w:val="18"/>
              <w:szCs w:val="18"/>
            </w:rPr>
            <w:t xml:space="preserve">xternal </w:t>
          </w:r>
          <w:r>
            <w:rPr>
              <w:i/>
              <w:sz w:val="18"/>
              <w:szCs w:val="18"/>
            </w:rPr>
            <w:t>B</w:t>
          </w:r>
          <w:r w:rsidR="00B0270A" w:rsidRPr="00B0270A">
            <w:rPr>
              <w:i/>
              <w:sz w:val="18"/>
              <w:szCs w:val="18"/>
            </w:rPr>
            <w:t>urn</w:t>
          </w:r>
          <w:r w:rsidR="007F2378" w:rsidRPr="007C5CE0">
            <w:rPr>
              <w:i/>
              <w:sz w:val="18"/>
            </w:rPr>
            <w:t xml:space="preserve"> </w:t>
          </w:r>
          <w:r>
            <w:rPr>
              <w:i/>
              <w:sz w:val="18"/>
            </w:rPr>
            <w:t>(Balance of Probabilities)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F04105" w:rsidRPr="00F04105">
            <w:rPr>
              <w:i/>
              <w:sz w:val="18"/>
              <w:szCs w:val="18"/>
            </w:rPr>
            <w:t>111</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F04105" w:rsidRPr="00F04105">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04105">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96752E"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96752E" w:rsidP="0096752E">
          <w:pPr>
            <w:spacing w:line="0" w:lineRule="atLeast"/>
            <w:jc w:val="center"/>
            <w:rPr>
              <w:sz w:val="18"/>
            </w:rPr>
          </w:pPr>
          <w:r>
            <w:rPr>
              <w:i/>
              <w:sz w:val="18"/>
              <w:szCs w:val="18"/>
            </w:rPr>
            <w:t>E</w:t>
          </w:r>
          <w:r w:rsidR="00B0270A" w:rsidRPr="00B0270A">
            <w:rPr>
              <w:i/>
              <w:sz w:val="18"/>
              <w:szCs w:val="18"/>
            </w:rPr>
            <w:t xml:space="preserve">xternal </w:t>
          </w:r>
          <w:r>
            <w:rPr>
              <w:i/>
              <w:sz w:val="18"/>
              <w:szCs w:val="18"/>
            </w:rPr>
            <w:t>B</w:t>
          </w:r>
          <w:r w:rsidR="00B0270A" w:rsidRPr="00B0270A">
            <w:rPr>
              <w:i/>
              <w:sz w:val="18"/>
              <w:szCs w:val="18"/>
            </w:rPr>
            <w:t>urn</w:t>
          </w:r>
          <w:r w:rsidR="0008674F" w:rsidRPr="007F2378">
            <w:rPr>
              <w:i/>
              <w:sz w:val="18"/>
            </w:rPr>
            <w:t xml:space="preserve"> </w:t>
          </w:r>
          <w:r>
            <w:rPr>
              <w:i/>
              <w:sz w:val="18"/>
            </w:rPr>
            <w:t>(Balance of Probabilities)</w:t>
          </w:r>
          <w:r w:rsidRPr="007F2378">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F04105" w:rsidRPr="00F04105">
            <w:rPr>
              <w:i/>
              <w:sz w:val="18"/>
              <w:szCs w:val="18"/>
            </w:rPr>
            <w:t>111</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F04105" w:rsidRPr="00F04105">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04105">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5E7FC2" w:rsidRDefault="008F48EC" w:rsidP="00154DCA">
          <w:pPr>
            <w:spacing w:line="0" w:lineRule="atLeast"/>
            <w:jc w:val="center"/>
            <w:rPr>
              <w:i/>
              <w:sz w:val="18"/>
            </w:rPr>
          </w:pPr>
          <w:r w:rsidRPr="00E55F66">
            <w:rPr>
              <w:i/>
              <w:sz w:val="18"/>
            </w:rPr>
            <w:t>Statement of Principles concer</w:t>
          </w:r>
          <w:r>
            <w:rPr>
              <w:i/>
              <w:sz w:val="18"/>
            </w:rPr>
            <w:t xml:space="preserve">ning </w:t>
          </w:r>
          <w:r w:rsidR="00154DCA" w:rsidRPr="003A2FFE">
            <w:rPr>
              <w:i/>
              <w:sz w:val="18"/>
              <w:szCs w:val="18"/>
            </w:rPr>
            <w:fldChar w:fldCharType="begin"/>
          </w:r>
          <w:r w:rsidR="00154DCA" w:rsidRPr="003A2FFE">
            <w:rPr>
              <w:i/>
              <w:sz w:val="18"/>
              <w:szCs w:val="18"/>
            </w:rPr>
            <w:instrText xml:space="preserve"> REF SoP_Na</w:instrText>
          </w:r>
          <w:r w:rsidR="00154DCA">
            <w:rPr>
              <w:i/>
              <w:sz w:val="18"/>
              <w:szCs w:val="18"/>
            </w:rPr>
            <w:instrText>me \* Charformat \* MERGEFORMAT</w:instrText>
          </w:r>
          <w:r w:rsidR="00154DCA" w:rsidRPr="003A2FFE">
            <w:rPr>
              <w:i/>
              <w:sz w:val="18"/>
              <w:szCs w:val="18"/>
            </w:rPr>
            <w:fldChar w:fldCharType="separate"/>
          </w:r>
          <w:r w:rsidR="00F04105" w:rsidRPr="00F04105">
            <w:rPr>
              <w:i/>
              <w:sz w:val="18"/>
              <w:szCs w:val="18"/>
            </w:rPr>
            <w:t>external burn</w:t>
          </w:r>
          <w:r w:rsidR="00154DCA" w:rsidRPr="003A2FFE">
            <w:rPr>
              <w:i/>
              <w:sz w:val="18"/>
              <w:szCs w:val="18"/>
            </w:rPr>
            <w:fldChar w:fldCharType="end"/>
          </w:r>
          <w:r w:rsidR="00154DCA">
            <w:rPr>
              <w:i/>
              <w:sz w:val="18"/>
              <w:szCs w:val="18"/>
            </w:rPr>
            <w:t xml:space="preserve"> </w:t>
          </w:r>
          <w:r>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F04105" w:rsidRPr="00F04105">
            <w:rPr>
              <w:i/>
              <w:sz w:val="18"/>
              <w:szCs w:val="18"/>
            </w:rPr>
            <w:t>111</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F04105" w:rsidRPr="00F04105">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C32B6">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0410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7283D569" wp14:editId="469F0332">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0410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3D569"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0410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0410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F04105">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F04105">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F04105">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F04105">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F04105">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636E8582" wp14:editId="2204C7C9">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0410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8582"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04105">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F04105">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04105">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04105">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F04105">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04105">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04105">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04105">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0B2FC1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32F"/>
    <w:rsid w:val="000614BF"/>
    <w:rsid w:val="00061E3E"/>
    <w:rsid w:val="00081B7C"/>
    <w:rsid w:val="00085567"/>
    <w:rsid w:val="0008674F"/>
    <w:rsid w:val="0009687C"/>
    <w:rsid w:val="00096A50"/>
    <w:rsid w:val="00097FDF"/>
    <w:rsid w:val="000B1350"/>
    <w:rsid w:val="000B58FA"/>
    <w:rsid w:val="000C21A3"/>
    <w:rsid w:val="000C664A"/>
    <w:rsid w:val="000C6D96"/>
    <w:rsid w:val="000D05EF"/>
    <w:rsid w:val="000D4B19"/>
    <w:rsid w:val="000D4D03"/>
    <w:rsid w:val="000E2261"/>
    <w:rsid w:val="000E4183"/>
    <w:rsid w:val="000F21C1"/>
    <w:rsid w:val="000F76FA"/>
    <w:rsid w:val="00101F89"/>
    <w:rsid w:val="001058EA"/>
    <w:rsid w:val="0010745C"/>
    <w:rsid w:val="00111D0B"/>
    <w:rsid w:val="00132CEB"/>
    <w:rsid w:val="00142B62"/>
    <w:rsid w:val="0015201F"/>
    <w:rsid w:val="00154DCA"/>
    <w:rsid w:val="00157B8B"/>
    <w:rsid w:val="00161A8E"/>
    <w:rsid w:val="001626EF"/>
    <w:rsid w:val="001648F7"/>
    <w:rsid w:val="00166C2F"/>
    <w:rsid w:val="001809D7"/>
    <w:rsid w:val="001833C8"/>
    <w:rsid w:val="00187DE1"/>
    <w:rsid w:val="0019084F"/>
    <w:rsid w:val="001939E1"/>
    <w:rsid w:val="00194C3E"/>
    <w:rsid w:val="00195382"/>
    <w:rsid w:val="001A33B7"/>
    <w:rsid w:val="001B0F26"/>
    <w:rsid w:val="001B6DD0"/>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380C"/>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F5948"/>
    <w:rsid w:val="00301C54"/>
    <w:rsid w:val="00304F8B"/>
    <w:rsid w:val="00323902"/>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E34F0"/>
    <w:rsid w:val="003F39C0"/>
    <w:rsid w:val="003F4535"/>
    <w:rsid w:val="004116CD"/>
    <w:rsid w:val="0041386E"/>
    <w:rsid w:val="004144EC"/>
    <w:rsid w:val="00417EB9"/>
    <w:rsid w:val="0042098D"/>
    <w:rsid w:val="00420A33"/>
    <w:rsid w:val="0042300E"/>
    <w:rsid w:val="00424CA9"/>
    <w:rsid w:val="0042720D"/>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0C44"/>
    <w:rsid w:val="00513D05"/>
    <w:rsid w:val="00516768"/>
    <w:rsid w:val="00516B8D"/>
    <w:rsid w:val="0052377D"/>
    <w:rsid w:val="005268CF"/>
    <w:rsid w:val="0053697E"/>
    <w:rsid w:val="00537FBC"/>
    <w:rsid w:val="00545116"/>
    <w:rsid w:val="005500B8"/>
    <w:rsid w:val="005574D1"/>
    <w:rsid w:val="0056659B"/>
    <w:rsid w:val="00575A90"/>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371C"/>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B24"/>
    <w:rsid w:val="00782F4E"/>
    <w:rsid w:val="00783E89"/>
    <w:rsid w:val="007904DB"/>
    <w:rsid w:val="00793915"/>
    <w:rsid w:val="0079657C"/>
    <w:rsid w:val="007A15B1"/>
    <w:rsid w:val="007B132E"/>
    <w:rsid w:val="007C2253"/>
    <w:rsid w:val="007C5642"/>
    <w:rsid w:val="007C5CE0"/>
    <w:rsid w:val="007C7DEE"/>
    <w:rsid w:val="007D3BA2"/>
    <w:rsid w:val="007E163D"/>
    <w:rsid w:val="007E667A"/>
    <w:rsid w:val="007E7626"/>
    <w:rsid w:val="007F2378"/>
    <w:rsid w:val="007F28C9"/>
    <w:rsid w:val="00800C68"/>
    <w:rsid w:val="00803587"/>
    <w:rsid w:val="00806368"/>
    <w:rsid w:val="008117E9"/>
    <w:rsid w:val="00824498"/>
    <w:rsid w:val="00831C11"/>
    <w:rsid w:val="008321ED"/>
    <w:rsid w:val="00832C32"/>
    <w:rsid w:val="008448C5"/>
    <w:rsid w:val="00850A63"/>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09EB"/>
    <w:rsid w:val="00903422"/>
    <w:rsid w:val="00904761"/>
    <w:rsid w:val="00912B55"/>
    <w:rsid w:val="00914CC6"/>
    <w:rsid w:val="00915DF9"/>
    <w:rsid w:val="009254C3"/>
    <w:rsid w:val="00932377"/>
    <w:rsid w:val="00947D5A"/>
    <w:rsid w:val="00951BB4"/>
    <w:rsid w:val="009532A5"/>
    <w:rsid w:val="00956922"/>
    <w:rsid w:val="009612CF"/>
    <w:rsid w:val="0096752E"/>
    <w:rsid w:val="00973808"/>
    <w:rsid w:val="00982242"/>
    <w:rsid w:val="0098501D"/>
    <w:rsid w:val="009868E9"/>
    <w:rsid w:val="009B5A4E"/>
    <w:rsid w:val="009C2B65"/>
    <w:rsid w:val="009C404D"/>
    <w:rsid w:val="009D063E"/>
    <w:rsid w:val="009E5CFC"/>
    <w:rsid w:val="009E7349"/>
    <w:rsid w:val="00A079CB"/>
    <w:rsid w:val="00A07E38"/>
    <w:rsid w:val="00A11C0D"/>
    <w:rsid w:val="00A12128"/>
    <w:rsid w:val="00A137F8"/>
    <w:rsid w:val="00A20CA1"/>
    <w:rsid w:val="00A22C98"/>
    <w:rsid w:val="00A231E2"/>
    <w:rsid w:val="00A515BC"/>
    <w:rsid w:val="00A56C3D"/>
    <w:rsid w:val="00A6070D"/>
    <w:rsid w:val="00A64912"/>
    <w:rsid w:val="00A70A74"/>
    <w:rsid w:val="00AA413F"/>
    <w:rsid w:val="00AA64D6"/>
    <w:rsid w:val="00AA6D8B"/>
    <w:rsid w:val="00AC6C88"/>
    <w:rsid w:val="00AD2DC7"/>
    <w:rsid w:val="00AD5641"/>
    <w:rsid w:val="00AD7889"/>
    <w:rsid w:val="00AD7AC2"/>
    <w:rsid w:val="00AD7DCC"/>
    <w:rsid w:val="00AF021B"/>
    <w:rsid w:val="00AF06CF"/>
    <w:rsid w:val="00B00CC5"/>
    <w:rsid w:val="00B0270A"/>
    <w:rsid w:val="00B05CF4"/>
    <w:rsid w:val="00B07CDB"/>
    <w:rsid w:val="00B166C8"/>
    <w:rsid w:val="00B16A31"/>
    <w:rsid w:val="00B177FE"/>
    <w:rsid w:val="00B17DFD"/>
    <w:rsid w:val="00B24368"/>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01A1"/>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182E"/>
    <w:rsid w:val="00CE493D"/>
    <w:rsid w:val="00CE5AE0"/>
    <w:rsid w:val="00CF07FA"/>
    <w:rsid w:val="00CF0BB2"/>
    <w:rsid w:val="00CF2367"/>
    <w:rsid w:val="00CF3EE8"/>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61035"/>
    <w:rsid w:val="00D70DFB"/>
    <w:rsid w:val="00D71633"/>
    <w:rsid w:val="00D766DF"/>
    <w:rsid w:val="00D93DA9"/>
    <w:rsid w:val="00D96383"/>
    <w:rsid w:val="00D97BB3"/>
    <w:rsid w:val="00DA186E"/>
    <w:rsid w:val="00DA4116"/>
    <w:rsid w:val="00DA7AC0"/>
    <w:rsid w:val="00DB1807"/>
    <w:rsid w:val="00DB251C"/>
    <w:rsid w:val="00DB4630"/>
    <w:rsid w:val="00DC4F88"/>
    <w:rsid w:val="00DD2B43"/>
    <w:rsid w:val="00DD31AB"/>
    <w:rsid w:val="00DE5520"/>
    <w:rsid w:val="00DE59B7"/>
    <w:rsid w:val="00DF24DC"/>
    <w:rsid w:val="00DF5291"/>
    <w:rsid w:val="00DF6D11"/>
    <w:rsid w:val="00E01818"/>
    <w:rsid w:val="00E05704"/>
    <w:rsid w:val="00E11E44"/>
    <w:rsid w:val="00E3270E"/>
    <w:rsid w:val="00E338EF"/>
    <w:rsid w:val="00E35C4E"/>
    <w:rsid w:val="00E544BB"/>
    <w:rsid w:val="00E55F66"/>
    <w:rsid w:val="00E64EE4"/>
    <w:rsid w:val="00E662CB"/>
    <w:rsid w:val="00E67F55"/>
    <w:rsid w:val="00E74DC7"/>
    <w:rsid w:val="00E8075A"/>
    <w:rsid w:val="00E92D94"/>
    <w:rsid w:val="00E9347E"/>
    <w:rsid w:val="00E93E6F"/>
    <w:rsid w:val="00E94D5E"/>
    <w:rsid w:val="00EA7100"/>
    <w:rsid w:val="00EA7F9F"/>
    <w:rsid w:val="00EB1274"/>
    <w:rsid w:val="00EB2BC4"/>
    <w:rsid w:val="00EB522D"/>
    <w:rsid w:val="00EC2ABC"/>
    <w:rsid w:val="00EC32B6"/>
    <w:rsid w:val="00ED13B4"/>
    <w:rsid w:val="00ED2BB6"/>
    <w:rsid w:val="00ED34E1"/>
    <w:rsid w:val="00ED3B8D"/>
    <w:rsid w:val="00ED4913"/>
    <w:rsid w:val="00ED501C"/>
    <w:rsid w:val="00EF2E3A"/>
    <w:rsid w:val="00F02383"/>
    <w:rsid w:val="00F03C06"/>
    <w:rsid w:val="00F04105"/>
    <w:rsid w:val="00F072A7"/>
    <w:rsid w:val="00F078DC"/>
    <w:rsid w:val="00F14B48"/>
    <w:rsid w:val="00F31667"/>
    <w:rsid w:val="00F32BA8"/>
    <w:rsid w:val="00F349F1"/>
    <w:rsid w:val="00F4350D"/>
    <w:rsid w:val="00F567F7"/>
    <w:rsid w:val="00F62036"/>
    <w:rsid w:val="00F65B52"/>
    <w:rsid w:val="00F66FD9"/>
    <w:rsid w:val="00F67B67"/>
    <w:rsid w:val="00F67BCA"/>
    <w:rsid w:val="00F737EA"/>
    <w:rsid w:val="00F73BD6"/>
    <w:rsid w:val="00F83989"/>
    <w:rsid w:val="00F83D85"/>
    <w:rsid w:val="00F84650"/>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06132F"/>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6132F"/>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5882">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7027</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2015-08-18T05:13:00Z</dcterms:created>
  <dcterms:modified xsi:type="dcterms:W3CDTF">2015-08-24T01:20:00Z</dcterms:modified>
  <dc:language/>
  <cp:version/>
</cp:coreProperties>
</file>