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44" w:rsidRPr="00FA33FB" w:rsidRDefault="00510C44" w:rsidP="00510C44">
      <w:pPr>
        <w:pStyle w:val="Plain"/>
        <w:jc w:val="center"/>
        <w:rPr>
          <w:sz w:val="28"/>
        </w:rPr>
      </w:pPr>
      <w:bookmarkStart w:id="0" w:name="_GoBack"/>
      <w:bookmarkEnd w:id="0"/>
      <w:r>
        <w:rPr>
          <w:noProof/>
        </w:rPr>
        <w:drawing>
          <wp:inline distT="0" distB="0" distL="0" distR="0" wp14:anchorId="15A2EDD8" wp14:editId="268B412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0C44" w:rsidRPr="00FA33FB" w:rsidRDefault="00510C44" w:rsidP="00510C44">
      <w:pPr>
        <w:rPr>
          <w:sz w:val="19"/>
        </w:rPr>
      </w:pPr>
    </w:p>
    <w:p w:rsidR="00715914" w:rsidRPr="00510C44"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210F25"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6B0B0C" w:rsidRPr="006B0B0C">
        <w:t>FRACTURE</w:t>
      </w:r>
      <w:r w:rsidRPr="00831C11">
        <w:fldChar w:fldCharType="end"/>
      </w:r>
    </w:p>
    <w:p w:rsidR="00ED501C" w:rsidRPr="00831C11" w:rsidRDefault="002615FE" w:rsidP="00FD0628">
      <w:pPr>
        <w:pStyle w:val="Plainheader"/>
      </w:pPr>
      <w:r>
        <w:t>(Balance of Probabilities)</w:t>
      </w:r>
    </w:p>
    <w:p w:rsidR="00715914" w:rsidRPr="00831C11" w:rsidRDefault="00E55F66" w:rsidP="006647B7">
      <w:pPr>
        <w:pStyle w:val="Plainheader"/>
      </w:pPr>
      <w:r w:rsidRPr="00831C11">
        <w:t xml:space="preserve">(No. </w:t>
      </w:r>
      <w:bookmarkStart w:id="1" w:name="BP"/>
      <w:r w:rsidR="002615FE">
        <w:t>95</w:t>
      </w:r>
      <w:bookmarkEnd w:id="1"/>
      <w:r w:rsidRPr="00831C11">
        <w:t xml:space="preserve"> of</w:t>
      </w:r>
      <w:r w:rsidR="00085567" w:rsidRPr="00831C11">
        <w:t xml:space="preserve"> </w:t>
      </w:r>
      <w:bookmarkStart w:id="2" w:name="year"/>
      <w:r w:rsidR="00A42830">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2615FE">
        <w:rPr>
          <w:sz w:val="24"/>
          <w:szCs w:val="24"/>
        </w:rPr>
        <w:t xml:space="preserve"> </w:t>
      </w:r>
      <w:r w:rsidR="002615FE" w:rsidRPr="001C008B">
        <w:rPr>
          <w:sz w:val="24"/>
          <w:szCs w:val="24"/>
        </w:rPr>
        <w:t xml:space="preserve">under subsection 196B(3) of the </w:t>
      </w:r>
      <w:r w:rsidR="002615FE" w:rsidRPr="001C008B">
        <w:rPr>
          <w:i/>
          <w:sz w:val="24"/>
          <w:szCs w:val="24"/>
        </w:rPr>
        <w:t>Veterans’ Entitlements Act 1986</w:t>
      </w:r>
      <w:r w:rsidR="002615FE"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2615FE">
        <w:t>21 August</w:t>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6B0B0C">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4218EF" w:rsidRDefault="004218EF" w:rsidP="004218E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4218EF" w:rsidRDefault="004218EF" w:rsidP="004218EF">
      <w:pPr>
        <w:pStyle w:val="Plain"/>
      </w:pPr>
      <w:r>
        <w:rPr>
          <w:noProof/>
        </w:rPr>
        <w:drawing>
          <wp:anchor distT="0" distB="0" distL="114300" distR="114300" simplePos="0" relativeHeight="251659264" behindDoc="1" locked="0" layoutInCell="1" allowOverlap="1" wp14:anchorId="439A0685" wp14:editId="06F8FF73">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4218EF" w:rsidRDefault="004218EF" w:rsidP="004218EF">
      <w:pPr>
        <w:pStyle w:val="Plain"/>
      </w:pPr>
    </w:p>
    <w:p w:rsidR="004218EF" w:rsidRDefault="004218EF" w:rsidP="004218EF">
      <w:pPr>
        <w:pStyle w:val="Plain"/>
      </w:pPr>
    </w:p>
    <w:p w:rsidR="004218EF" w:rsidRDefault="004218EF" w:rsidP="004218EF">
      <w:pPr>
        <w:pStyle w:val="Plain"/>
      </w:pPr>
    </w:p>
    <w:p w:rsidR="004218EF" w:rsidRPr="007527C1" w:rsidRDefault="004218EF" w:rsidP="004218EF">
      <w:pPr>
        <w:pStyle w:val="Plain"/>
      </w:pPr>
    </w:p>
    <w:p w:rsidR="004218EF" w:rsidRPr="007527C1" w:rsidRDefault="004218EF" w:rsidP="004218EF">
      <w:pPr>
        <w:pStyle w:val="Plain"/>
      </w:pPr>
      <w:r w:rsidRPr="007527C1">
        <w:t>Professor Nicholas Saunders AO</w:t>
      </w:r>
    </w:p>
    <w:p w:rsidR="00F67B67" w:rsidRDefault="004218EF" w:rsidP="004218EF">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2615F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615FE">
        <w:rPr>
          <w:noProof/>
        </w:rPr>
        <w:t>1</w:t>
      </w:r>
      <w:r w:rsidR="002615FE">
        <w:rPr>
          <w:rFonts w:asciiTheme="minorHAnsi" w:eastAsiaTheme="minorEastAsia" w:hAnsiTheme="minorHAnsi" w:cstheme="minorBidi"/>
          <w:noProof/>
          <w:kern w:val="0"/>
          <w:sz w:val="22"/>
          <w:szCs w:val="22"/>
        </w:rPr>
        <w:tab/>
      </w:r>
      <w:r w:rsidR="002615FE">
        <w:rPr>
          <w:noProof/>
        </w:rPr>
        <w:t>Name</w:t>
      </w:r>
      <w:r w:rsidR="002615FE">
        <w:rPr>
          <w:noProof/>
        </w:rPr>
        <w:tab/>
      </w:r>
      <w:r w:rsidR="002615FE">
        <w:rPr>
          <w:noProof/>
        </w:rPr>
        <w:fldChar w:fldCharType="begin"/>
      </w:r>
      <w:r w:rsidR="002615FE">
        <w:rPr>
          <w:noProof/>
        </w:rPr>
        <w:instrText xml:space="preserve"> PAGEREF _Toc426028965 \h </w:instrText>
      </w:r>
      <w:r w:rsidR="002615FE">
        <w:rPr>
          <w:noProof/>
        </w:rPr>
      </w:r>
      <w:r w:rsidR="002615FE">
        <w:rPr>
          <w:noProof/>
        </w:rPr>
        <w:fldChar w:fldCharType="separate"/>
      </w:r>
      <w:r w:rsidR="006B0B0C">
        <w:rPr>
          <w:noProof/>
        </w:rPr>
        <w:t>3</w:t>
      </w:r>
      <w:r w:rsidR="002615FE">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_Toc426028966 \h </w:instrText>
      </w:r>
      <w:r>
        <w:rPr>
          <w:noProof/>
        </w:rPr>
      </w:r>
      <w:r>
        <w:rPr>
          <w:noProof/>
        </w:rPr>
        <w:fldChar w:fldCharType="separate"/>
      </w:r>
      <w:r w:rsidR="006B0B0C">
        <w:rPr>
          <w:noProof/>
        </w:rPr>
        <w:t>3</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_Toc426028967 \h </w:instrText>
      </w:r>
      <w:r>
        <w:rPr>
          <w:noProof/>
        </w:rPr>
      </w:r>
      <w:r>
        <w:rPr>
          <w:noProof/>
        </w:rPr>
        <w:fldChar w:fldCharType="separate"/>
      </w:r>
      <w:r w:rsidR="006B0B0C">
        <w:rPr>
          <w:noProof/>
        </w:rPr>
        <w:t>3</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_Toc426028968 \h </w:instrText>
      </w:r>
      <w:r>
        <w:rPr>
          <w:noProof/>
        </w:rPr>
      </w:r>
      <w:r>
        <w:rPr>
          <w:noProof/>
        </w:rPr>
        <w:fldChar w:fldCharType="separate"/>
      </w:r>
      <w:r w:rsidR="006B0B0C">
        <w:rPr>
          <w:noProof/>
        </w:rPr>
        <w:t>3</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_Toc426028969 \h </w:instrText>
      </w:r>
      <w:r>
        <w:rPr>
          <w:noProof/>
        </w:rPr>
      </w:r>
      <w:r>
        <w:rPr>
          <w:noProof/>
        </w:rPr>
        <w:fldChar w:fldCharType="separate"/>
      </w:r>
      <w:r w:rsidR="006B0B0C">
        <w:rPr>
          <w:noProof/>
        </w:rPr>
        <w:t>3</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_Toc426028970 \h </w:instrText>
      </w:r>
      <w:r>
        <w:rPr>
          <w:noProof/>
        </w:rPr>
      </w:r>
      <w:r>
        <w:rPr>
          <w:noProof/>
        </w:rPr>
        <w:fldChar w:fldCharType="separate"/>
      </w:r>
      <w:r w:rsidR="006B0B0C">
        <w:rPr>
          <w:noProof/>
        </w:rPr>
        <w:t>3</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_Toc426028971 \h </w:instrText>
      </w:r>
      <w:r>
        <w:rPr>
          <w:noProof/>
        </w:rPr>
      </w:r>
      <w:r>
        <w:rPr>
          <w:noProof/>
        </w:rPr>
        <w:fldChar w:fldCharType="separate"/>
      </w:r>
      <w:r w:rsidR="006B0B0C">
        <w:rPr>
          <w:noProof/>
        </w:rPr>
        <w:t>3</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_Toc426028972 \h </w:instrText>
      </w:r>
      <w:r>
        <w:rPr>
          <w:noProof/>
        </w:rPr>
      </w:r>
      <w:r>
        <w:rPr>
          <w:noProof/>
        </w:rPr>
        <w:fldChar w:fldCharType="separate"/>
      </w:r>
      <w:r w:rsidR="006B0B0C">
        <w:rPr>
          <w:noProof/>
        </w:rPr>
        <w:t>4</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_Toc426028973 \h </w:instrText>
      </w:r>
      <w:r>
        <w:rPr>
          <w:noProof/>
        </w:rPr>
      </w:r>
      <w:r>
        <w:rPr>
          <w:noProof/>
        </w:rPr>
        <w:fldChar w:fldCharType="separate"/>
      </w:r>
      <w:r w:rsidR="006B0B0C">
        <w:rPr>
          <w:noProof/>
        </w:rPr>
        <w:t>4</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_Toc426028974 \h </w:instrText>
      </w:r>
      <w:r>
        <w:rPr>
          <w:noProof/>
        </w:rPr>
      </w:r>
      <w:r>
        <w:rPr>
          <w:noProof/>
        </w:rPr>
        <w:fldChar w:fldCharType="separate"/>
      </w:r>
      <w:r w:rsidR="006B0B0C">
        <w:rPr>
          <w:noProof/>
        </w:rPr>
        <w:t>6</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_Toc426028975 \h </w:instrText>
      </w:r>
      <w:r>
        <w:rPr>
          <w:noProof/>
        </w:rPr>
      </w:r>
      <w:r>
        <w:rPr>
          <w:noProof/>
        </w:rPr>
        <w:fldChar w:fldCharType="separate"/>
      </w:r>
      <w:r w:rsidR="006B0B0C">
        <w:rPr>
          <w:noProof/>
        </w:rPr>
        <w:t>6</w:t>
      </w:r>
      <w:r>
        <w:rPr>
          <w:noProof/>
        </w:rPr>
        <w:fldChar w:fldCharType="end"/>
      </w:r>
    </w:p>
    <w:p w:rsidR="002615FE" w:rsidRDefault="002615F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_Toc426028976 \h </w:instrText>
      </w:r>
      <w:r>
        <w:rPr>
          <w:noProof/>
        </w:rPr>
      </w:r>
      <w:r>
        <w:rPr>
          <w:noProof/>
        </w:rPr>
        <w:fldChar w:fldCharType="separate"/>
      </w:r>
      <w:r w:rsidR="006B0B0C">
        <w:rPr>
          <w:noProof/>
        </w:rPr>
        <w:t>7</w:t>
      </w:r>
      <w:r>
        <w:rPr>
          <w:noProof/>
        </w:rPr>
        <w:fldChar w:fldCharType="end"/>
      </w:r>
    </w:p>
    <w:p w:rsidR="002615FE" w:rsidRDefault="002615F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_Toc426028977 \h </w:instrText>
      </w:r>
      <w:r>
        <w:rPr>
          <w:noProof/>
        </w:rPr>
      </w:r>
      <w:r>
        <w:rPr>
          <w:noProof/>
        </w:rPr>
        <w:fldChar w:fldCharType="separate"/>
      </w:r>
      <w:r w:rsidR="006B0B0C">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223"/>
      <w:bookmarkStart w:id="6" w:name="_Toc426028965"/>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A42830" w:rsidRPr="002615FE">
        <w:rPr>
          <w:i/>
        </w:rPr>
        <w:t>fracture</w:t>
      </w:r>
      <w:bookmarkEnd w:id="8"/>
      <w:r w:rsidR="008E4A16">
        <w:rPr>
          <w:b/>
        </w:rPr>
        <w:t xml:space="preserve"> </w:t>
      </w:r>
      <w:r w:rsidR="002615FE" w:rsidRPr="003E2269">
        <w:rPr>
          <w:i/>
        </w:rPr>
        <w:t>(Balance of Probabilities)</w:t>
      </w:r>
      <w:r w:rsidR="002615FE" w:rsidRPr="00F97A62">
        <w:t xml:space="preserve"> </w:t>
      </w:r>
      <w:r w:rsidR="00E55F66" w:rsidRPr="00F97A62">
        <w:t xml:space="preserve">(No. </w:t>
      </w:r>
      <w:r w:rsidR="002615FE">
        <w:t>95</w:t>
      </w:r>
      <w:r w:rsidR="00085567">
        <w:t xml:space="preserve"> </w:t>
      </w:r>
      <w:r w:rsidR="00E55F66" w:rsidRPr="00F97A62">
        <w:t>of</w:t>
      </w:r>
      <w:r w:rsidR="00085567">
        <w:t xml:space="preserve"> </w:t>
      </w:r>
      <w:fldSimple w:instr=" REF year \* Charformat \* MERGEFORMAT ">
        <w:r w:rsidR="006B0B0C">
          <w:t>2015</w:t>
        </w:r>
      </w:fldSimple>
      <w:r w:rsidR="00E55F66" w:rsidRPr="00F97A62">
        <w:t>)</w:t>
      </w:r>
      <w:r w:rsidRPr="00F97A62">
        <w:t>.</w:t>
      </w:r>
    </w:p>
    <w:p w:rsidR="00F67B67" w:rsidRPr="00684C0E" w:rsidRDefault="00F67B67" w:rsidP="00C96667">
      <w:pPr>
        <w:pStyle w:val="LV1"/>
      </w:pPr>
      <w:bookmarkStart w:id="9" w:name="_Toc418944224"/>
      <w:bookmarkStart w:id="10" w:name="_Toc426028966"/>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2615FE">
        <w:rPr>
          <w:b/>
        </w:rPr>
        <w:t>21 September 2015</w:t>
      </w:r>
      <w:r w:rsidR="00F67B67" w:rsidRPr="007527C1">
        <w:t>.</w:t>
      </w:r>
    </w:p>
    <w:p w:rsidR="00F67B67" w:rsidRPr="00684C0E" w:rsidRDefault="00F67B67" w:rsidP="00C96667">
      <w:pPr>
        <w:pStyle w:val="LV1"/>
      </w:pPr>
      <w:bookmarkStart w:id="11" w:name="_Toc418944225"/>
      <w:bookmarkStart w:id="12" w:name="_Toc426028967"/>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226"/>
      <w:bookmarkStart w:id="14" w:name="_Toc426028968"/>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6B0B0C" w:rsidRPr="006B0B0C">
        <w:t>fracture</w:t>
      </w:r>
      <w:r>
        <w:fldChar w:fldCharType="end"/>
      </w:r>
      <w:r w:rsidR="0042720D">
        <w:t xml:space="preserve"> No. </w:t>
      </w:r>
      <w:r w:rsidR="00EB79B4">
        <w:t>54</w:t>
      </w:r>
      <w:r w:rsidR="0042720D">
        <w:t xml:space="preserve"> of </w:t>
      </w:r>
      <w:r w:rsidR="00EB79B4">
        <w:t>2006</w:t>
      </w:r>
      <w:r w:rsidR="00BA01A1">
        <w:t xml:space="preserve"> </w:t>
      </w:r>
      <w:r w:rsidRPr="000B755A">
        <w:t xml:space="preserve">made under subsection 196B(3) of the </w:t>
      </w:r>
      <w:r w:rsidR="00ED13B4" w:rsidRPr="00ED13B4">
        <w:t>VEA</w:t>
      </w:r>
      <w:r w:rsidRPr="000B755A">
        <w:t xml:space="preserve"> is revoked.</w:t>
      </w:r>
    </w:p>
    <w:p w:rsidR="007C7DEE" w:rsidRPr="00684C0E" w:rsidRDefault="007C7DEE" w:rsidP="00C96667">
      <w:pPr>
        <w:pStyle w:val="LV1"/>
      </w:pPr>
      <w:bookmarkStart w:id="15" w:name="_Toc418944227"/>
      <w:bookmarkStart w:id="16" w:name="_Toc426028969"/>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228"/>
      <w:bookmarkStart w:id="19" w:name="_Toc426028970"/>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6028971"/>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6B0B0C" w:rsidRPr="006B0B0C">
        <w:t>fracture</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6B0B0C" w:rsidRPr="006B0B0C">
        <w:rPr>
          <w:b/>
          <w:i/>
        </w:rPr>
        <w:t>fracture</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2716E4" w:rsidRPr="00237BAF">
        <w:t>:</w:t>
      </w:r>
      <w:bookmarkEnd w:id="26"/>
    </w:p>
    <w:bookmarkEnd w:id="27"/>
    <w:p w:rsidR="00CF22E8" w:rsidRPr="008E76DC" w:rsidRDefault="00CF22E8" w:rsidP="00CF22E8">
      <w:pPr>
        <w:pStyle w:val="LV3"/>
      </w:pPr>
      <w:r w:rsidRPr="008E76DC">
        <w:t xml:space="preserve">means </w:t>
      </w:r>
      <w:r w:rsidRPr="00B065E5">
        <w:t>an acquired break or rupture of bone</w:t>
      </w:r>
      <w:r w:rsidRPr="008E76DC">
        <w:t>; and</w:t>
      </w:r>
    </w:p>
    <w:p w:rsidR="00CF22E8" w:rsidRDefault="00CF22E8" w:rsidP="00CF22E8">
      <w:pPr>
        <w:pStyle w:val="LV3"/>
      </w:pPr>
      <w:r w:rsidRPr="008E76DC">
        <w:t xml:space="preserve">excludes </w:t>
      </w:r>
      <w:r w:rsidRPr="00B065E5">
        <w:t>spondylolysis</w:t>
      </w:r>
      <w:r w:rsidRPr="008E76DC">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6B0B0C" w:rsidRPr="006B0B0C">
        <w:rPr>
          <w:b/>
          <w:i/>
        </w:rPr>
        <w:t>fracture</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7C5642">
        <w:t>.</w:t>
      </w:r>
    </w:p>
    <w:p w:rsidR="00916E71" w:rsidRDefault="00916E71">
      <w:pPr>
        <w:spacing w:line="240" w:lineRule="auto"/>
        <w:rPr>
          <w:b/>
          <w:sz w:val="24"/>
          <w:szCs w:val="24"/>
        </w:rPr>
      </w:pPr>
      <w:bookmarkStart w:id="28" w:name="_Toc418944230"/>
      <w:bookmarkStart w:id="29" w:name="_Toc426028972"/>
      <w:r>
        <w:br w:type="page"/>
      </w:r>
    </w:p>
    <w:p w:rsidR="007C7DEE" w:rsidRPr="00A20CA1" w:rsidRDefault="007C7DEE" w:rsidP="00C96667">
      <w:pPr>
        <w:pStyle w:val="LV1"/>
      </w:pPr>
      <w:r w:rsidRPr="00A20CA1">
        <w:lastRenderedPageBreak/>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6028973"/>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CF22E8" w:rsidRDefault="00CF22E8" w:rsidP="00CF22E8">
      <w:pPr>
        <w:pStyle w:val="LV2"/>
      </w:pPr>
      <w:bookmarkStart w:id="36" w:name="_Ref402530260"/>
      <w:bookmarkStart w:id="37" w:name="_Ref409598844"/>
      <w:r w:rsidRPr="00B065E5">
        <w:t>having physical trauma to the affected bone at the time of the clinical onset of fracture;</w:t>
      </w:r>
    </w:p>
    <w:p w:rsidR="00CF22E8" w:rsidRDefault="00CF22E8" w:rsidP="00CF22E8">
      <w:pPr>
        <w:pStyle w:val="LV2"/>
      </w:pPr>
      <w:r w:rsidRPr="00B065E5">
        <w:t>for stress fracture only, having repetitive loading stress to the affected region of the body at the time of the clinical onset of fracture;</w:t>
      </w:r>
    </w:p>
    <w:p w:rsidR="00143529" w:rsidRDefault="00143529" w:rsidP="00143529">
      <w:pPr>
        <w:pStyle w:val="NOTE"/>
      </w:pPr>
      <w:r w:rsidRPr="00815C04">
        <w:t xml:space="preserve">Note: </w:t>
      </w:r>
      <w:r w:rsidRPr="008A4C04">
        <w:rPr>
          <w:b/>
          <w:i/>
        </w:rPr>
        <w:t>repetitive loading stress</w:t>
      </w:r>
      <w:r w:rsidRPr="00815C04">
        <w:t xml:space="preserve"> is defined in the Schedule 1 - Dictionary.</w:t>
      </w:r>
    </w:p>
    <w:p w:rsidR="00CF22E8" w:rsidRDefault="00CF22E8" w:rsidP="00CF22E8">
      <w:pPr>
        <w:pStyle w:val="LV2"/>
      </w:pPr>
      <w:r w:rsidRPr="00735DA0">
        <w:t>for stress fracture of the lower limb only, having a significant biomechanical abnormality affecting the lower limb at the time of the clinical onset of fracture;</w:t>
      </w:r>
    </w:p>
    <w:p w:rsidR="00CF22E8" w:rsidRDefault="00CF22E8" w:rsidP="00CF22E8">
      <w:pPr>
        <w:pStyle w:val="NOTE"/>
      </w:pPr>
      <w:r w:rsidRPr="00815C04">
        <w:t xml:space="preserve">Note: </w:t>
      </w:r>
      <w:r>
        <w:rPr>
          <w:b/>
          <w:i/>
        </w:rPr>
        <w:t>significant biomechanical abnormality</w:t>
      </w:r>
      <w:r w:rsidRPr="00815C04">
        <w:t xml:space="preserve"> is defined in the Schedule 1 - Dictionary.</w:t>
      </w:r>
      <w:r w:rsidRPr="00815C04">
        <w:tab/>
      </w:r>
    </w:p>
    <w:p w:rsidR="00CF22E8" w:rsidRPr="00815C04" w:rsidRDefault="00CF22E8" w:rsidP="00CF22E8">
      <w:pPr>
        <w:pStyle w:val="LV2"/>
      </w:pPr>
      <w:r w:rsidRPr="00815C04">
        <w:t>having Paget</w:t>
      </w:r>
      <w:r w:rsidR="008B716E">
        <w:t>'</w:t>
      </w:r>
      <w:r w:rsidRPr="00815C04">
        <w:t>s disease of bone involving the affected region of bone at the time of the clinical onset of fracture;</w:t>
      </w:r>
    </w:p>
    <w:p w:rsidR="00CF22E8" w:rsidRPr="00815C04" w:rsidRDefault="00CF22E8" w:rsidP="00CF22E8">
      <w:pPr>
        <w:pStyle w:val="LV2"/>
      </w:pPr>
      <w:r w:rsidRPr="00815C04">
        <w:t>having osteoporosis involving the affected region of bone at the time of the clinical onset of fracture;</w:t>
      </w:r>
    </w:p>
    <w:p w:rsidR="00CF22E8" w:rsidRPr="00815C04" w:rsidRDefault="00CF22E8" w:rsidP="00CF22E8">
      <w:pPr>
        <w:pStyle w:val="LV2"/>
      </w:pPr>
      <w:r w:rsidRPr="00815C04">
        <w:t>having osteomalacia involving the affected region of bone at the time of the clinical onset of fracture;</w:t>
      </w:r>
    </w:p>
    <w:p w:rsidR="00CF22E8" w:rsidRPr="00815C04" w:rsidRDefault="00CF22E8" w:rsidP="00CF22E8">
      <w:pPr>
        <w:pStyle w:val="NOTE"/>
      </w:pPr>
      <w:r w:rsidRPr="00815C04">
        <w:t xml:space="preserve">Note: </w:t>
      </w:r>
      <w:r w:rsidRPr="00815C04">
        <w:rPr>
          <w:b/>
          <w:i/>
        </w:rPr>
        <w:t>osteomalacia</w:t>
      </w:r>
      <w:r w:rsidRPr="00815C04">
        <w:t xml:space="preserve"> is defined in the Schedule 1 - Dictionary.</w:t>
      </w:r>
      <w:r w:rsidRPr="00815C04">
        <w:tab/>
        <w:t xml:space="preserve"> </w:t>
      </w:r>
    </w:p>
    <w:p w:rsidR="00CF22E8" w:rsidRPr="00815C04" w:rsidRDefault="00CF22E8" w:rsidP="00CF22E8">
      <w:pPr>
        <w:pStyle w:val="LV2"/>
      </w:pPr>
      <w:r w:rsidRPr="00815C04">
        <w:t>having osteonecrosis involving the affected region of bone at the time of the clinical onset of fracture;</w:t>
      </w:r>
    </w:p>
    <w:p w:rsidR="00CF22E8" w:rsidRPr="00815C04" w:rsidRDefault="00CF22E8" w:rsidP="00CF22E8">
      <w:pPr>
        <w:pStyle w:val="NOTE"/>
      </w:pPr>
      <w:r w:rsidRPr="00815C04">
        <w:t xml:space="preserve">Note: </w:t>
      </w:r>
      <w:r w:rsidRPr="00815C04">
        <w:rPr>
          <w:b/>
          <w:i/>
        </w:rPr>
        <w:t>osteonecrosis</w:t>
      </w:r>
      <w:r w:rsidRPr="00815C04">
        <w:t xml:space="preserve"> is defined in the Schedule 1 - Dictionary.</w:t>
      </w:r>
    </w:p>
    <w:p w:rsidR="00CF22E8" w:rsidRPr="00815C04" w:rsidRDefault="00CF22E8" w:rsidP="00CF22E8">
      <w:pPr>
        <w:pStyle w:val="LV2"/>
      </w:pPr>
      <w:r w:rsidRPr="00815C04">
        <w:t>having osteomyelitis involving the affected region of bone at the time of the clinical onset of fracture;</w:t>
      </w:r>
    </w:p>
    <w:p w:rsidR="00CF22E8" w:rsidRPr="00815C04" w:rsidRDefault="00CF22E8" w:rsidP="00CF22E8">
      <w:pPr>
        <w:pStyle w:val="LV2"/>
      </w:pPr>
      <w:r w:rsidRPr="00815C04">
        <w:rPr>
          <w:lang w:val="en-US"/>
        </w:rPr>
        <w:t>having a malignant neoplasm involving the affected region of bone at the time of the clinical onset of fracture;</w:t>
      </w:r>
    </w:p>
    <w:p w:rsidR="00CF22E8" w:rsidRPr="00815C04" w:rsidRDefault="00CF22E8" w:rsidP="00CF22E8">
      <w:pPr>
        <w:pStyle w:val="LV2"/>
      </w:pPr>
      <w:r w:rsidRPr="00815C04">
        <w:t>having a benign neoplasm involving the affected region of bone at the time of the clinical onset of fracture;</w:t>
      </w:r>
    </w:p>
    <w:p w:rsidR="00CF22E8" w:rsidRPr="00815C04" w:rsidRDefault="00CF22E8" w:rsidP="00CF22E8">
      <w:pPr>
        <w:pStyle w:val="LV2"/>
      </w:pPr>
      <w:r w:rsidRPr="00815C04">
        <w:rPr>
          <w:lang w:val="en-US"/>
        </w:rPr>
        <w:lastRenderedPageBreak/>
        <w:t xml:space="preserve">having </w:t>
      </w:r>
      <w:r w:rsidRPr="00815C04">
        <w:t xml:space="preserve">osteogenesis imperfecta </w:t>
      </w:r>
      <w:r w:rsidRPr="00815C04">
        <w:rPr>
          <w:lang w:val="en-US"/>
        </w:rPr>
        <w:t>at the time of</w:t>
      </w:r>
      <w:r w:rsidRPr="00815C04">
        <w:rPr>
          <w:b/>
          <w:lang w:val="en-US"/>
        </w:rPr>
        <w:t xml:space="preserve"> </w:t>
      </w:r>
      <w:r w:rsidRPr="00815C04">
        <w:rPr>
          <w:lang w:val="en-US"/>
        </w:rPr>
        <w:t>the clinical onset of fracture</w:t>
      </w:r>
      <w:r w:rsidRPr="00815C04">
        <w:t>;</w:t>
      </w:r>
    </w:p>
    <w:p w:rsidR="00CF22E8" w:rsidRPr="00815C04" w:rsidRDefault="00CF22E8" w:rsidP="00CF22E8">
      <w:pPr>
        <w:pStyle w:val="LV2"/>
      </w:pPr>
      <w:r w:rsidRPr="00815C04">
        <w:rPr>
          <w:lang w:val="en-US"/>
        </w:rPr>
        <w:t>for minimal trauma fracture only:</w:t>
      </w:r>
    </w:p>
    <w:p w:rsidR="009D03D9" w:rsidRPr="009D03D9" w:rsidRDefault="009D03D9" w:rsidP="009D03D9">
      <w:pPr>
        <w:pStyle w:val="LV3"/>
      </w:pPr>
      <w:r w:rsidRPr="009D03D9">
        <w:t>smoking at least 20 pack-years of cigarettes, or the equivalent thereof in other tobacco products, before the clinical onset of fracture, and where smoking has ceased, the clinical onset of fracture has occurred within ten years of cessation;</w:t>
      </w:r>
    </w:p>
    <w:p w:rsidR="009D03D9" w:rsidRPr="009D03D9" w:rsidRDefault="009D03D9" w:rsidP="009D03D9">
      <w:pPr>
        <w:pStyle w:val="LV3"/>
      </w:pPr>
      <w:r w:rsidRPr="009D03D9">
        <w:t>drinking at least 55 kilograms of alcohol within the five years before the clinical onset of fracture;</w:t>
      </w:r>
    </w:p>
    <w:p w:rsidR="00CF22E8" w:rsidRPr="00815C04" w:rsidRDefault="00CF22E8" w:rsidP="00CF22E8">
      <w:pPr>
        <w:pStyle w:val="LV3"/>
      </w:pPr>
      <w:r w:rsidRPr="00815C04">
        <w:t xml:space="preserve">having diabetes mellitus at the time of the clinical onset of fracture; </w:t>
      </w:r>
    </w:p>
    <w:p w:rsidR="00CF22E8" w:rsidRPr="00815C04" w:rsidRDefault="00CF22E8" w:rsidP="00CF22E8">
      <w:pPr>
        <w:pStyle w:val="LV3"/>
      </w:pPr>
      <w:r w:rsidRPr="00815C04">
        <w:rPr>
          <w:lang w:val="en-US"/>
        </w:rPr>
        <w:t xml:space="preserve">being infected with </w:t>
      </w:r>
      <w:r w:rsidRPr="00815C04">
        <w:rPr>
          <w:lang w:val="en-GB" w:eastAsia="en-US"/>
        </w:rPr>
        <w:t>human immunodeficiency virus</w:t>
      </w:r>
      <w:r w:rsidRPr="00815C04">
        <w:rPr>
          <w:lang w:val="en-US"/>
        </w:rPr>
        <w:t xml:space="preserve"> at the time of the clinical onset of fracture;</w:t>
      </w:r>
    </w:p>
    <w:p w:rsidR="00916E71" w:rsidRPr="00815C04" w:rsidRDefault="00916E71" w:rsidP="00916E71">
      <w:pPr>
        <w:pStyle w:val="LV3"/>
      </w:pPr>
      <w:r w:rsidRPr="00815C04">
        <w:rPr>
          <w:lang w:val="en-US"/>
        </w:rPr>
        <w:t>being treated with a glucocorticoid drug</w:t>
      </w:r>
      <w:r>
        <w:rPr>
          <w:lang w:val="en-US"/>
        </w:rPr>
        <w:t xml:space="preserve"> as specified </w:t>
      </w:r>
      <w:r w:rsidRPr="00815C04">
        <w:rPr>
          <w:lang w:val="en-US"/>
        </w:rPr>
        <w:t>before the clinical onset of fracture;</w:t>
      </w:r>
    </w:p>
    <w:p w:rsidR="00CF22E8" w:rsidRPr="00815C04" w:rsidRDefault="00CF22E8" w:rsidP="00CF22E8">
      <w:pPr>
        <w:pStyle w:val="LV3"/>
      </w:pPr>
      <w:r w:rsidRPr="00815C04">
        <w:t>having rheumatoid arthritis at the time of the clinical onset of fracture;</w:t>
      </w:r>
      <w:r>
        <w:t xml:space="preserve"> or</w:t>
      </w:r>
    </w:p>
    <w:p w:rsidR="00CF22E8" w:rsidRPr="00815C04" w:rsidRDefault="00CF22E8" w:rsidP="00CF22E8">
      <w:pPr>
        <w:pStyle w:val="LV3"/>
      </w:pPr>
      <w:r w:rsidRPr="00815C04">
        <w:rPr>
          <w:lang w:val="en-US"/>
        </w:rPr>
        <w:t>being treated with an aromatase inhibitor before the clinical onset of fracture;</w:t>
      </w:r>
    </w:p>
    <w:p w:rsidR="00CF22E8" w:rsidRPr="00815C04" w:rsidRDefault="00CF22E8" w:rsidP="00CF22E8">
      <w:pPr>
        <w:pStyle w:val="NOTE"/>
      </w:pPr>
      <w:r w:rsidRPr="00815C04">
        <w:t xml:space="preserve">Note: </w:t>
      </w:r>
      <w:r w:rsidR="00916E71" w:rsidRPr="00815C04">
        <w:rPr>
          <w:b/>
          <w:i/>
        </w:rPr>
        <w:t>alcohol</w:t>
      </w:r>
      <w:r w:rsidR="00916E71">
        <w:t xml:space="preserve">, </w:t>
      </w:r>
      <w:r w:rsidR="00916E71" w:rsidRPr="00C74B07">
        <w:rPr>
          <w:b/>
          <w:i/>
          <w:szCs w:val="24"/>
          <w:lang w:val="en-US"/>
        </w:rPr>
        <w:t>glucocorticoid drug</w:t>
      </w:r>
      <w:r w:rsidR="00916E71">
        <w:rPr>
          <w:b/>
          <w:i/>
          <w:szCs w:val="24"/>
          <w:lang w:val="en-US"/>
        </w:rPr>
        <w:t xml:space="preserve"> as specified</w:t>
      </w:r>
      <w:r w:rsidR="00916E71">
        <w:rPr>
          <w:szCs w:val="24"/>
          <w:lang w:val="en-US"/>
        </w:rPr>
        <w:t>,</w:t>
      </w:r>
      <w:r w:rsidR="00916E71" w:rsidRPr="00815C04">
        <w:t xml:space="preserve"> </w:t>
      </w:r>
      <w:r w:rsidR="00916E71" w:rsidRPr="00815C04">
        <w:rPr>
          <w:b/>
          <w:i/>
        </w:rPr>
        <w:t>minimal trauma fracture</w:t>
      </w:r>
      <w:r w:rsidR="00916E71">
        <w:rPr>
          <w:b/>
          <w:i/>
        </w:rPr>
        <w:t xml:space="preserve"> </w:t>
      </w:r>
      <w:r w:rsidR="00916E71">
        <w:t xml:space="preserve">and </w:t>
      </w:r>
      <w:r w:rsidR="00916E71" w:rsidRPr="00815C04">
        <w:rPr>
          <w:b/>
          <w:i/>
        </w:rPr>
        <w:t>pack-years of cigarettes, or the equivalent thereof in other tobacco products</w:t>
      </w:r>
      <w:r w:rsidR="00916E71" w:rsidRPr="00815C04">
        <w:rPr>
          <w:szCs w:val="24"/>
          <w:lang w:val="en-US"/>
        </w:rPr>
        <w:t xml:space="preserve"> a</w:t>
      </w:r>
      <w:r w:rsidR="00916E71">
        <w:rPr>
          <w:szCs w:val="24"/>
          <w:lang w:val="en-US"/>
        </w:rPr>
        <w:t>re</w:t>
      </w:r>
      <w:r w:rsidR="00916E71" w:rsidRPr="00815C04">
        <w:rPr>
          <w:szCs w:val="24"/>
          <w:lang w:val="en-US"/>
        </w:rPr>
        <w:t xml:space="preserve"> </w:t>
      </w:r>
      <w:r w:rsidR="00916E71" w:rsidRPr="00815C04">
        <w:t>defined in the Schedule 1 - Dictionary.</w:t>
      </w:r>
      <w:r w:rsidRPr="00815C04">
        <w:tab/>
      </w:r>
    </w:p>
    <w:p w:rsidR="00CF22E8" w:rsidRPr="00815C04" w:rsidRDefault="00CF22E8" w:rsidP="00CF22E8">
      <w:pPr>
        <w:pStyle w:val="LV2"/>
      </w:pPr>
      <w:r w:rsidRPr="00815C04">
        <w:t>having physical trauma to the affected bone at the time of the clinical worsening of fracture;</w:t>
      </w:r>
    </w:p>
    <w:p w:rsidR="00CF22E8" w:rsidRDefault="00CF22E8" w:rsidP="00CF22E8">
      <w:pPr>
        <w:pStyle w:val="LV2"/>
      </w:pPr>
      <w:r w:rsidRPr="00815C04">
        <w:t>for stress fracture only, having repetitive loading stress to the affected region of the body at the time of the clinical worsening of fracture;</w:t>
      </w:r>
    </w:p>
    <w:p w:rsidR="00143529" w:rsidRPr="00815C04" w:rsidRDefault="00143529" w:rsidP="00143529">
      <w:pPr>
        <w:pStyle w:val="NOTE"/>
      </w:pPr>
      <w:r w:rsidRPr="00815C04">
        <w:t xml:space="preserve">Note: </w:t>
      </w:r>
      <w:r w:rsidRPr="008A4C04">
        <w:rPr>
          <w:b/>
          <w:i/>
        </w:rPr>
        <w:t>repetitive loading stress</w:t>
      </w:r>
      <w:r w:rsidRPr="00815C04">
        <w:t xml:space="preserve"> is defined in the Schedule 1 - Dictionary.</w:t>
      </w:r>
    </w:p>
    <w:p w:rsidR="00CF22E8" w:rsidRPr="00815C04" w:rsidRDefault="00CF22E8" w:rsidP="00CF22E8">
      <w:pPr>
        <w:pStyle w:val="LV2"/>
      </w:pPr>
      <w:r w:rsidRPr="00815C04">
        <w:t>having osteonecrosis involving the affected region of bone at the time of the clinical worsening of fracture;</w:t>
      </w:r>
    </w:p>
    <w:p w:rsidR="00CF22E8" w:rsidRPr="00815C04" w:rsidRDefault="00CF22E8" w:rsidP="00CF22E8">
      <w:pPr>
        <w:pStyle w:val="NOTE"/>
      </w:pPr>
      <w:r w:rsidRPr="00815C04">
        <w:t xml:space="preserve">Note: </w:t>
      </w:r>
      <w:r w:rsidRPr="00815C04">
        <w:rPr>
          <w:b/>
          <w:i/>
        </w:rPr>
        <w:t>osteonecrosis</w:t>
      </w:r>
      <w:r w:rsidRPr="00815C04">
        <w:t xml:space="preserve"> is defined in the Schedule 1 - Dictionary.</w:t>
      </w:r>
    </w:p>
    <w:p w:rsidR="00CF22E8" w:rsidRPr="00815C04" w:rsidRDefault="00CF22E8" w:rsidP="00CF22E8">
      <w:pPr>
        <w:pStyle w:val="LV2"/>
      </w:pPr>
      <w:r w:rsidRPr="00815C04">
        <w:t>having osteomyelitis involving the affected region of bone at the time of the clinical worsening of fracture;</w:t>
      </w:r>
    </w:p>
    <w:p w:rsidR="00CF22E8" w:rsidRPr="00815C04" w:rsidRDefault="00CF22E8" w:rsidP="00CF22E8">
      <w:pPr>
        <w:pStyle w:val="LV2"/>
      </w:pPr>
      <w:r w:rsidRPr="00815C04">
        <w:rPr>
          <w:lang w:val="en-US"/>
        </w:rPr>
        <w:t xml:space="preserve">having </w:t>
      </w:r>
      <w:r w:rsidRPr="00815C04">
        <w:t xml:space="preserve">osteogenesis imperfecta </w:t>
      </w:r>
      <w:r w:rsidRPr="00815C04">
        <w:rPr>
          <w:lang w:val="en-US"/>
        </w:rPr>
        <w:t>at the time of</w:t>
      </w:r>
      <w:r w:rsidRPr="00815C04">
        <w:rPr>
          <w:b/>
          <w:lang w:val="en-US"/>
        </w:rPr>
        <w:t xml:space="preserve"> </w:t>
      </w:r>
      <w:r w:rsidRPr="00815C04">
        <w:rPr>
          <w:lang w:val="en-US"/>
        </w:rPr>
        <w:t>the clinical worsening of fracture</w:t>
      </w:r>
      <w:r w:rsidRPr="00815C04">
        <w:t>;</w:t>
      </w:r>
    </w:p>
    <w:p w:rsidR="00CF22E8" w:rsidRPr="00815C04" w:rsidRDefault="00CF22E8" w:rsidP="00CF22E8">
      <w:pPr>
        <w:pStyle w:val="LV2"/>
        <w:rPr>
          <w:lang w:val="en-US"/>
        </w:rPr>
      </w:pPr>
      <w:r w:rsidRPr="00815C04">
        <w:rPr>
          <w:lang w:val="en-US"/>
        </w:rPr>
        <w:t xml:space="preserve">having diabetes mellitus at the time of the clinical worsening of fracture; </w:t>
      </w:r>
    </w:p>
    <w:p w:rsidR="00CF22E8" w:rsidRPr="00815C04" w:rsidRDefault="00CF22E8" w:rsidP="00CF22E8">
      <w:pPr>
        <w:pStyle w:val="LV2"/>
        <w:rPr>
          <w:lang w:val="en-US"/>
        </w:rPr>
      </w:pPr>
      <w:r w:rsidRPr="00815C04">
        <w:rPr>
          <w:lang w:val="en-US"/>
        </w:rPr>
        <w:t>being infected with human immunodeficiency virus at the time of the clinical worsening of fracture;</w:t>
      </w:r>
    </w:p>
    <w:p w:rsidR="00916E71" w:rsidRPr="00815C04" w:rsidRDefault="00916E71" w:rsidP="00916E71">
      <w:pPr>
        <w:pStyle w:val="LV2"/>
        <w:keepNext/>
        <w:rPr>
          <w:lang w:val="en-US"/>
        </w:rPr>
      </w:pPr>
      <w:r w:rsidRPr="00815C04">
        <w:rPr>
          <w:lang w:val="en-US"/>
        </w:rPr>
        <w:lastRenderedPageBreak/>
        <w:t>being treated with a glucocorticoid drug</w:t>
      </w:r>
      <w:r>
        <w:rPr>
          <w:lang w:val="en-US"/>
        </w:rPr>
        <w:t xml:space="preserve"> as specified</w:t>
      </w:r>
      <w:r w:rsidRPr="00815C04">
        <w:rPr>
          <w:lang w:val="en-US"/>
        </w:rPr>
        <w:t xml:space="preserve"> before the clinical worsening of fracture;</w:t>
      </w:r>
    </w:p>
    <w:p w:rsidR="00916E71" w:rsidRPr="00815C04" w:rsidRDefault="00916E71" w:rsidP="00916E71">
      <w:pPr>
        <w:pStyle w:val="NOTE"/>
        <w:rPr>
          <w:lang w:val="en-US"/>
        </w:rPr>
      </w:pPr>
      <w:r w:rsidRPr="00815C04">
        <w:t xml:space="preserve">Note: </w:t>
      </w:r>
      <w:r w:rsidRPr="00C74B07">
        <w:rPr>
          <w:b/>
          <w:i/>
          <w:szCs w:val="24"/>
          <w:lang w:val="en-US"/>
        </w:rPr>
        <w:t>glucocorticoid drug</w:t>
      </w:r>
      <w:r>
        <w:rPr>
          <w:b/>
          <w:i/>
          <w:szCs w:val="24"/>
          <w:lang w:val="en-US"/>
        </w:rPr>
        <w:t xml:space="preserve"> as specified</w:t>
      </w:r>
      <w:r w:rsidRPr="00815C04">
        <w:t xml:space="preserve"> is defined in the Schedule 1 - Dictionary.</w:t>
      </w:r>
    </w:p>
    <w:p w:rsidR="00CF22E8" w:rsidRPr="00815C04" w:rsidRDefault="00CF22E8" w:rsidP="00CF22E8">
      <w:pPr>
        <w:pStyle w:val="LV2"/>
        <w:rPr>
          <w:lang w:val="en-US"/>
        </w:rPr>
      </w:pPr>
      <w:r w:rsidRPr="00815C04">
        <w:rPr>
          <w:lang w:val="en-US"/>
        </w:rPr>
        <w:t>having rheumatoid arthritis at the time of the clinical worsening of fracture;</w:t>
      </w:r>
    </w:p>
    <w:p w:rsidR="00CF22E8" w:rsidRPr="00815C04" w:rsidRDefault="00CF22E8" w:rsidP="00CF22E8">
      <w:pPr>
        <w:pStyle w:val="LV2"/>
        <w:rPr>
          <w:lang w:val="en-US"/>
        </w:rPr>
      </w:pPr>
      <w:r w:rsidRPr="00815C04">
        <w:rPr>
          <w:lang w:val="en-US"/>
        </w:rPr>
        <w:t>being treated with an aromatase inhibitor before the clinical worsening of fracture;</w:t>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D5620B" w:rsidRPr="008D1B8B">
        <w:t>.</w:t>
      </w:r>
      <w:bookmarkEnd w:id="37"/>
    </w:p>
    <w:p w:rsidR="000C21A3" w:rsidRPr="00684C0E" w:rsidRDefault="00D32F71" w:rsidP="00C96667">
      <w:pPr>
        <w:pStyle w:val="LV1"/>
      </w:pPr>
      <w:bookmarkStart w:id="38" w:name="_Toc418944232"/>
      <w:bookmarkStart w:id="39" w:name="_Toc426028974"/>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3802D6">
      <w:pPr>
        <w:pStyle w:val="LV2"/>
      </w:pPr>
      <w:r w:rsidRPr="00187DE1">
        <w:t>The factor</w:t>
      </w:r>
      <w:r w:rsidR="00CE5AE0">
        <w:t>s</w:t>
      </w:r>
      <w:r w:rsidRPr="00187DE1">
        <w:t xml:space="preserve"> set out in </w:t>
      </w:r>
      <w:r w:rsidR="002077D6">
        <w:t>subsection</w:t>
      </w:r>
      <w:r w:rsidR="00CE5AE0">
        <w:t>s 9(</w:t>
      </w:r>
      <w:r w:rsidR="00CF22E8">
        <w:t>1</w:t>
      </w:r>
      <w:r w:rsidR="009D03D9">
        <w:t>3</w:t>
      </w:r>
      <w:r w:rsidR="00CE5AE0">
        <w:t>)</w:t>
      </w:r>
      <w:r w:rsidR="00CF22E8">
        <w:t xml:space="preserve"> to 9(2</w:t>
      </w:r>
      <w:r w:rsidR="009D03D9">
        <w:t>3</w:t>
      </w:r>
      <w:r w:rsidR="00CF22E8">
        <w:t>)</w:t>
      </w:r>
      <w:r w:rsidR="00CE5AE0">
        <w:t xml:space="preserve"> </w:t>
      </w:r>
      <w:r w:rsidRPr="00187DE1">
        <w:t>appl</w:t>
      </w:r>
      <w:r w:rsidR="00CE5AE0">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6B0B0C" w:rsidRPr="006B0B0C">
        <w:t>fracture</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233"/>
      <w:bookmarkStart w:id="42" w:name="_Toc426028975"/>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602897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6028977"/>
      <w:r w:rsidRPr="00D97BB3">
        <w:t>Definitions</w:t>
      </w:r>
      <w:bookmarkEnd w:id="47"/>
      <w:bookmarkEnd w:id="48"/>
      <w:bookmarkEnd w:id="49"/>
    </w:p>
    <w:p w:rsidR="00702C42" w:rsidRPr="00516768" w:rsidRDefault="00702C42" w:rsidP="00F97A62">
      <w:pPr>
        <w:pStyle w:val="SH2"/>
      </w:pPr>
      <w:r w:rsidRPr="00516768">
        <w:t>In this instrument:</w:t>
      </w:r>
    </w:p>
    <w:p w:rsidR="00215DBD" w:rsidRDefault="00215DBD" w:rsidP="003D1610">
      <w:pPr>
        <w:pStyle w:val="SH3"/>
      </w:pPr>
      <w:r w:rsidRPr="00C90130">
        <w:rPr>
          <w:b/>
          <w:i/>
        </w:rPr>
        <w:t>alcohol</w:t>
      </w:r>
      <w:r w:rsidRPr="00C90130">
        <w:t xml:space="preserve"> is measured by the alcohol consumption calculations utilising the Australian Standard of </w:t>
      </w:r>
      <w:r w:rsidR="008B716E">
        <w:t>ten</w:t>
      </w:r>
      <w:r w:rsidRPr="00C90130">
        <w:t xml:space="preserve"> grams of alcoh</w:t>
      </w:r>
      <w:r w:rsidR="0037324F">
        <w:t>ol per standard alcoholic drink.</w:t>
      </w:r>
    </w:p>
    <w:p w:rsidR="00215DBD" w:rsidRDefault="00215DBD" w:rsidP="003D1610">
      <w:pPr>
        <w:pStyle w:val="SH3"/>
      </w:pPr>
      <w:r w:rsidRPr="00143529">
        <w:rPr>
          <w:b/>
          <w:i/>
        </w:rPr>
        <w:fldChar w:fldCharType="begin"/>
      </w:r>
      <w:r w:rsidRPr="00143529">
        <w:rPr>
          <w:b/>
          <w:i/>
        </w:rPr>
        <w:instrText xml:space="preserve"> REF SoP_Name  \* Charformat  \* MERGEFORMAT \*Lower </w:instrText>
      </w:r>
      <w:r w:rsidRPr="00143529">
        <w:rPr>
          <w:b/>
          <w:i/>
        </w:rPr>
        <w:fldChar w:fldCharType="separate"/>
      </w:r>
      <w:r w:rsidR="006B0B0C" w:rsidRPr="006B0B0C">
        <w:rPr>
          <w:b/>
          <w:i/>
        </w:rPr>
        <w:t>fracture</w:t>
      </w:r>
      <w:r w:rsidRPr="00143529">
        <w:rPr>
          <w:b/>
          <w:i/>
        </w:rPr>
        <w:fldChar w:fldCharType="end"/>
      </w:r>
      <w:r w:rsidRPr="00513D05">
        <w:t>—see subsection</w:t>
      </w:r>
      <w:r>
        <w:t xml:space="preserve"> 7(2).</w:t>
      </w:r>
    </w:p>
    <w:p w:rsidR="00916E71" w:rsidRPr="00C90130" w:rsidRDefault="00916E71" w:rsidP="00916E71">
      <w:pPr>
        <w:pStyle w:val="SH3"/>
        <w:spacing w:after="120"/>
        <w:ind w:left="851" w:hanging="851"/>
      </w:pPr>
      <w:r w:rsidRPr="00C74B07">
        <w:rPr>
          <w:b/>
          <w:i/>
          <w:lang w:val="en-US"/>
        </w:rPr>
        <w:t>glucocorticoid drug</w:t>
      </w:r>
      <w:r>
        <w:rPr>
          <w:b/>
          <w:i/>
          <w:lang w:val="en-US"/>
        </w:rPr>
        <w:t xml:space="preserve"> as specified</w:t>
      </w:r>
      <w:r w:rsidRPr="00C74B07">
        <w:rPr>
          <w:b/>
          <w:i/>
          <w:lang w:val="en-US"/>
        </w:rPr>
        <w:t xml:space="preserve"> </w:t>
      </w:r>
      <w:r w:rsidRPr="00C90130">
        <w:t xml:space="preserve">means any of the corticosteroid drugs listed in the following table, in the specified combinations of administration, dose </w:t>
      </w:r>
      <w:r>
        <w:t>level and duration of treatment:</w:t>
      </w:r>
    </w:p>
    <w:tbl>
      <w:tblPr>
        <w:tblW w:w="6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8"/>
        <w:gridCol w:w="851"/>
        <w:gridCol w:w="992"/>
        <w:gridCol w:w="1276"/>
        <w:gridCol w:w="1108"/>
      </w:tblGrid>
      <w:tr w:rsidR="0046242B" w:rsidTr="00D530E6">
        <w:trPr>
          <w:cantSplit/>
          <w:tblHeader/>
          <w:jc w:val="center"/>
        </w:trPr>
        <w:tc>
          <w:tcPr>
            <w:tcW w:w="1868" w:type="dxa"/>
            <w:shd w:val="pct5" w:color="auto" w:fill="auto"/>
          </w:tcPr>
          <w:p w:rsidR="0046242B" w:rsidRDefault="0046242B" w:rsidP="00D530E6">
            <w:pPr>
              <w:ind w:left="34" w:firstLine="11"/>
              <w:jc w:val="center"/>
              <w:rPr>
                <w:b/>
                <w:color w:val="000000"/>
                <w:sz w:val="20"/>
              </w:rPr>
            </w:pPr>
            <w:r>
              <w:rPr>
                <w:b/>
                <w:color w:val="000000"/>
                <w:sz w:val="20"/>
              </w:rPr>
              <w:t>Drug or Class of Drugs</w:t>
            </w:r>
          </w:p>
        </w:tc>
        <w:tc>
          <w:tcPr>
            <w:tcW w:w="851" w:type="dxa"/>
            <w:shd w:val="pct5" w:color="auto" w:fill="auto"/>
          </w:tcPr>
          <w:p w:rsidR="0046242B" w:rsidRDefault="0046242B" w:rsidP="00D530E6">
            <w:pPr>
              <w:ind w:left="34"/>
              <w:jc w:val="center"/>
              <w:rPr>
                <w:b/>
                <w:color w:val="000000"/>
                <w:sz w:val="20"/>
              </w:rPr>
            </w:pPr>
            <w:r>
              <w:rPr>
                <w:b/>
                <w:color w:val="000000"/>
                <w:sz w:val="20"/>
              </w:rPr>
              <w:t>Mode*</w:t>
            </w:r>
          </w:p>
        </w:tc>
        <w:tc>
          <w:tcPr>
            <w:tcW w:w="992" w:type="dxa"/>
            <w:shd w:val="pct5" w:color="auto" w:fill="auto"/>
          </w:tcPr>
          <w:p w:rsidR="0046242B" w:rsidRDefault="0046242B" w:rsidP="00D530E6">
            <w:pPr>
              <w:ind w:left="34"/>
              <w:jc w:val="center"/>
              <w:rPr>
                <w:b/>
                <w:color w:val="000000"/>
                <w:sz w:val="20"/>
              </w:rPr>
            </w:pPr>
            <w:r>
              <w:rPr>
                <w:b/>
                <w:color w:val="000000"/>
                <w:sz w:val="20"/>
              </w:rPr>
              <w:t>Dose</w:t>
            </w:r>
          </w:p>
        </w:tc>
        <w:tc>
          <w:tcPr>
            <w:tcW w:w="1276" w:type="dxa"/>
            <w:shd w:val="clear" w:color="auto" w:fill="F2F2F2"/>
          </w:tcPr>
          <w:p w:rsidR="0046242B" w:rsidRDefault="0046242B" w:rsidP="00D530E6">
            <w:pPr>
              <w:ind w:left="34"/>
              <w:jc w:val="center"/>
              <w:rPr>
                <w:b/>
                <w:color w:val="000000"/>
                <w:sz w:val="20"/>
              </w:rPr>
            </w:pPr>
            <w:r>
              <w:rPr>
                <w:b/>
                <w:color w:val="000000"/>
                <w:sz w:val="20"/>
              </w:rPr>
              <w:t>Minimum Duration of Treatment</w:t>
            </w:r>
          </w:p>
        </w:tc>
        <w:tc>
          <w:tcPr>
            <w:tcW w:w="1108" w:type="dxa"/>
            <w:shd w:val="clear" w:color="auto" w:fill="F2F2F2"/>
          </w:tcPr>
          <w:p w:rsidR="0046242B" w:rsidRPr="002755C5" w:rsidRDefault="0046242B" w:rsidP="00D530E6">
            <w:pPr>
              <w:ind w:left="34"/>
              <w:rPr>
                <w:b/>
                <w:color w:val="000000"/>
                <w:sz w:val="20"/>
              </w:rPr>
            </w:pPr>
            <w:r w:rsidRPr="002755C5">
              <w:rPr>
                <w:b/>
                <w:color w:val="000000"/>
                <w:sz w:val="20"/>
              </w:rPr>
              <w:t>Duration</w:t>
            </w:r>
          </w:p>
        </w:tc>
      </w:tr>
      <w:tr w:rsidR="0046242B" w:rsidTr="00D530E6">
        <w:trPr>
          <w:cantSplit/>
          <w:jc w:val="center"/>
        </w:trPr>
        <w:tc>
          <w:tcPr>
            <w:tcW w:w="1868" w:type="dxa"/>
            <w:vMerge w:val="restart"/>
          </w:tcPr>
          <w:p w:rsidR="0046242B" w:rsidRDefault="0046242B" w:rsidP="00D530E6">
            <w:pPr>
              <w:ind w:left="11" w:hanging="11"/>
              <w:rPr>
                <w:szCs w:val="22"/>
              </w:rPr>
            </w:pPr>
            <w:r>
              <w:rPr>
                <w:szCs w:val="22"/>
              </w:rPr>
              <w:t>prednisolone or</w:t>
            </w:r>
          </w:p>
          <w:p w:rsidR="0046242B" w:rsidRDefault="0046242B" w:rsidP="00D530E6">
            <w:pPr>
              <w:ind w:left="11" w:hanging="11"/>
              <w:rPr>
                <w:szCs w:val="22"/>
              </w:rPr>
            </w:pPr>
            <w:r>
              <w:rPr>
                <w:szCs w:val="22"/>
              </w:rPr>
              <w:t>pharmacologically equivalent glucocorticoid</w:t>
            </w:r>
          </w:p>
        </w:tc>
        <w:tc>
          <w:tcPr>
            <w:tcW w:w="851" w:type="dxa"/>
            <w:vMerge w:val="restart"/>
            <w:vAlign w:val="center"/>
          </w:tcPr>
          <w:p w:rsidR="0046242B" w:rsidRDefault="0046242B" w:rsidP="00D530E6">
            <w:pPr>
              <w:pStyle w:val="FootnoteText"/>
              <w:ind w:left="66" w:hanging="141"/>
              <w:jc w:val="center"/>
              <w:rPr>
                <w:sz w:val="22"/>
                <w:szCs w:val="22"/>
              </w:rPr>
            </w:pPr>
            <w:r>
              <w:rPr>
                <w:sz w:val="22"/>
                <w:szCs w:val="22"/>
              </w:rPr>
              <w:t>IV, IM, O</w:t>
            </w:r>
          </w:p>
          <w:p w:rsidR="0046242B" w:rsidRDefault="0046242B" w:rsidP="00D530E6">
            <w:pPr>
              <w:pStyle w:val="FootnoteText"/>
              <w:ind w:left="66" w:hanging="141"/>
              <w:jc w:val="center"/>
              <w:rPr>
                <w:sz w:val="22"/>
                <w:szCs w:val="22"/>
              </w:rPr>
            </w:pPr>
          </w:p>
          <w:p w:rsidR="0046242B" w:rsidRDefault="0046242B" w:rsidP="00D530E6">
            <w:pPr>
              <w:pStyle w:val="FootnoteText"/>
              <w:ind w:left="66" w:hanging="141"/>
              <w:jc w:val="center"/>
              <w:rPr>
                <w:sz w:val="22"/>
                <w:szCs w:val="22"/>
              </w:rPr>
            </w:pPr>
          </w:p>
        </w:tc>
        <w:tc>
          <w:tcPr>
            <w:tcW w:w="992" w:type="dxa"/>
          </w:tcPr>
          <w:p w:rsidR="0046242B" w:rsidRDefault="0046242B" w:rsidP="00D530E6">
            <w:pPr>
              <w:pStyle w:val="FootnoteText"/>
              <w:ind w:left="34"/>
              <w:jc w:val="center"/>
              <w:rPr>
                <w:sz w:val="22"/>
                <w:szCs w:val="22"/>
              </w:rPr>
            </w:pPr>
            <w:r>
              <w:rPr>
                <w:sz w:val="22"/>
                <w:szCs w:val="22"/>
              </w:rPr>
              <w:sym w:font="Symbol" w:char="F0B3"/>
            </w:r>
            <w:r>
              <w:rPr>
                <w:sz w:val="22"/>
                <w:szCs w:val="22"/>
              </w:rPr>
              <w:t xml:space="preserve"> 0.5 grams over 6 months</w:t>
            </w:r>
          </w:p>
        </w:tc>
        <w:tc>
          <w:tcPr>
            <w:tcW w:w="1276" w:type="dxa"/>
            <w:vAlign w:val="center"/>
          </w:tcPr>
          <w:p w:rsidR="0046242B" w:rsidRDefault="0046242B" w:rsidP="00D530E6">
            <w:pPr>
              <w:ind w:left="34"/>
              <w:jc w:val="center"/>
              <w:rPr>
                <w:szCs w:val="22"/>
              </w:rPr>
            </w:pPr>
            <w:r>
              <w:rPr>
                <w:szCs w:val="22"/>
              </w:rPr>
              <w:t>6 months</w:t>
            </w:r>
          </w:p>
          <w:p w:rsidR="0046242B" w:rsidRDefault="0046242B" w:rsidP="00D530E6">
            <w:pPr>
              <w:ind w:left="34"/>
              <w:jc w:val="center"/>
              <w:rPr>
                <w:szCs w:val="22"/>
              </w:rPr>
            </w:pPr>
          </w:p>
        </w:tc>
        <w:tc>
          <w:tcPr>
            <w:tcW w:w="1108" w:type="dxa"/>
          </w:tcPr>
          <w:p w:rsidR="0046242B" w:rsidRDefault="0046242B" w:rsidP="00D530E6">
            <w:pPr>
              <w:ind w:left="34"/>
              <w:jc w:val="center"/>
              <w:rPr>
                <w:color w:val="000000"/>
                <w:sz w:val="20"/>
              </w:rPr>
            </w:pPr>
            <w:r>
              <w:rPr>
                <w:color w:val="000000"/>
                <w:sz w:val="20"/>
              </w:rPr>
              <w:t>within the 5 years</w:t>
            </w:r>
          </w:p>
        </w:tc>
      </w:tr>
      <w:tr w:rsidR="0046242B" w:rsidTr="00D530E6">
        <w:trPr>
          <w:cantSplit/>
          <w:trHeight w:val="735"/>
          <w:jc w:val="center"/>
        </w:trPr>
        <w:tc>
          <w:tcPr>
            <w:tcW w:w="1868" w:type="dxa"/>
            <w:vMerge/>
          </w:tcPr>
          <w:p w:rsidR="0046242B" w:rsidRDefault="0046242B" w:rsidP="00D530E6">
            <w:pPr>
              <w:ind w:left="11" w:hanging="11"/>
              <w:rPr>
                <w:szCs w:val="22"/>
              </w:rPr>
            </w:pPr>
          </w:p>
        </w:tc>
        <w:tc>
          <w:tcPr>
            <w:tcW w:w="851" w:type="dxa"/>
            <w:vMerge/>
          </w:tcPr>
          <w:p w:rsidR="0046242B" w:rsidRDefault="0046242B" w:rsidP="00D530E6">
            <w:pPr>
              <w:ind w:left="-75"/>
              <w:jc w:val="center"/>
              <w:rPr>
                <w:szCs w:val="22"/>
              </w:rPr>
            </w:pPr>
          </w:p>
        </w:tc>
        <w:tc>
          <w:tcPr>
            <w:tcW w:w="992" w:type="dxa"/>
            <w:vAlign w:val="center"/>
          </w:tcPr>
          <w:p w:rsidR="0046242B" w:rsidRDefault="0046242B" w:rsidP="00D530E6">
            <w:pPr>
              <w:pStyle w:val="BodyText2"/>
              <w:ind w:left="175"/>
              <w:jc w:val="center"/>
              <w:rPr>
                <w:sz w:val="22"/>
                <w:szCs w:val="22"/>
              </w:rPr>
            </w:pPr>
            <w:r>
              <w:rPr>
                <w:sz w:val="22"/>
                <w:szCs w:val="22"/>
              </w:rPr>
              <w:sym w:font="Symbol" w:char="F0B3"/>
            </w:r>
            <w:r>
              <w:rPr>
                <w:sz w:val="22"/>
                <w:szCs w:val="22"/>
              </w:rPr>
              <w:t xml:space="preserve"> 3 grams</w:t>
            </w:r>
          </w:p>
        </w:tc>
        <w:tc>
          <w:tcPr>
            <w:tcW w:w="1276" w:type="dxa"/>
            <w:vAlign w:val="center"/>
          </w:tcPr>
          <w:p w:rsidR="0046242B" w:rsidRDefault="0046242B" w:rsidP="00D530E6">
            <w:pPr>
              <w:ind w:left="34"/>
              <w:jc w:val="center"/>
              <w:rPr>
                <w:szCs w:val="22"/>
              </w:rPr>
            </w:pPr>
            <w:r>
              <w:rPr>
                <w:szCs w:val="22"/>
              </w:rPr>
              <w:t>NS</w:t>
            </w:r>
          </w:p>
        </w:tc>
        <w:tc>
          <w:tcPr>
            <w:tcW w:w="1108" w:type="dxa"/>
          </w:tcPr>
          <w:p w:rsidR="0046242B" w:rsidRDefault="0046242B" w:rsidP="00D530E6">
            <w:pPr>
              <w:ind w:left="34"/>
              <w:jc w:val="center"/>
              <w:rPr>
                <w:color w:val="000000"/>
                <w:sz w:val="20"/>
              </w:rPr>
            </w:pPr>
            <w:r>
              <w:rPr>
                <w:color w:val="000000"/>
                <w:sz w:val="20"/>
              </w:rPr>
              <w:t>within the 10 years</w:t>
            </w:r>
          </w:p>
        </w:tc>
      </w:tr>
      <w:tr w:rsidR="0046242B" w:rsidTr="00D530E6">
        <w:trPr>
          <w:cantSplit/>
          <w:trHeight w:val="735"/>
          <w:jc w:val="center"/>
        </w:trPr>
        <w:tc>
          <w:tcPr>
            <w:tcW w:w="1868" w:type="dxa"/>
            <w:vMerge/>
          </w:tcPr>
          <w:p w:rsidR="0046242B" w:rsidRDefault="0046242B" w:rsidP="00D530E6">
            <w:pPr>
              <w:ind w:left="11" w:hanging="11"/>
              <w:rPr>
                <w:szCs w:val="22"/>
              </w:rPr>
            </w:pPr>
          </w:p>
        </w:tc>
        <w:tc>
          <w:tcPr>
            <w:tcW w:w="851" w:type="dxa"/>
            <w:vMerge/>
          </w:tcPr>
          <w:p w:rsidR="0046242B" w:rsidRDefault="0046242B" w:rsidP="00D530E6">
            <w:pPr>
              <w:ind w:left="-75"/>
              <w:jc w:val="center"/>
              <w:rPr>
                <w:szCs w:val="22"/>
              </w:rPr>
            </w:pPr>
          </w:p>
        </w:tc>
        <w:tc>
          <w:tcPr>
            <w:tcW w:w="992" w:type="dxa"/>
            <w:vAlign w:val="center"/>
          </w:tcPr>
          <w:p w:rsidR="0046242B" w:rsidRPr="00587C49" w:rsidRDefault="0046242B" w:rsidP="00D530E6">
            <w:pPr>
              <w:pStyle w:val="BodyText2"/>
              <w:ind w:left="175"/>
              <w:jc w:val="center"/>
              <w:rPr>
                <w:color w:val="000000"/>
                <w:sz w:val="22"/>
                <w:szCs w:val="22"/>
              </w:rPr>
            </w:pPr>
            <w:r w:rsidRPr="00587C49">
              <w:rPr>
                <w:color w:val="000000"/>
                <w:sz w:val="22"/>
                <w:szCs w:val="22"/>
              </w:rPr>
              <w:sym w:font="Symbol" w:char="F0B3"/>
            </w:r>
            <w:r w:rsidRPr="00587C49">
              <w:rPr>
                <w:color w:val="000000"/>
                <w:sz w:val="22"/>
                <w:szCs w:val="22"/>
              </w:rPr>
              <w:t xml:space="preserve"> 10 grams</w:t>
            </w:r>
          </w:p>
          <w:p w:rsidR="0046242B" w:rsidRDefault="0046242B" w:rsidP="00D530E6">
            <w:pPr>
              <w:pStyle w:val="BodyText2"/>
              <w:ind w:left="175"/>
              <w:jc w:val="center"/>
              <w:rPr>
                <w:color w:val="000000"/>
              </w:rPr>
            </w:pPr>
          </w:p>
        </w:tc>
        <w:tc>
          <w:tcPr>
            <w:tcW w:w="1276" w:type="dxa"/>
            <w:vAlign w:val="center"/>
          </w:tcPr>
          <w:p w:rsidR="0046242B" w:rsidRDefault="0046242B" w:rsidP="00D530E6">
            <w:pPr>
              <w:ind w:left="34"/>
              <w:jc w:val="center"/>
              <w:rPr>
                <w:color w:val="000000"/>
                <w:sz w:val="20"/>
              </w:rPr>
            </w:pPr>
            <w:r>
              <w:rPr>
                <w:color w:val="000000"/>
                <w:sz w:val="20"/>
              </w:rPr>
              <w:t>NS</w:t>
            </w:r>
          </w:p>
          <w:p w:rsidR="0046242B" w:rsidRDefault="0046242B" w:rsidP="00D530E6">
            <w:pPr>
              <w:ind w:left="34"/>
              <w:jc w:val="center"/>
              <w:rPr>
                <w:color w:val="000000"/>
                <w:sz w:val="20"/>
              </w:rPr>
            </w:pPr>
          </w:p>
          <w:p w:rsidR="0046242B" w:rsidRDefault="0046242B" w:rsidP="00D530E6">
            <w:pPr>
              <w:ind w:left="34"/>
              <w:jc w:val="center"/>
              <w:rPr>
                <w:color w:val="0000FF"/>
                <w:sz w:val="20"/>
              </w:rPr>
            </w:pPr>
          </w:p>
        </w:tc>
        <w:tc>
          <w:tcPr>
            <w:tcW w:w="1108" w:type="dxa"/>
          </w:tcPr>
          <w:p w:rsidR="0046242B" w:rsidRDefault="0046242B" w:rsidP="00D530E6">
            <w:pPr>
              <w:ind w:left="34"/>
              <w:jc w:val="center"/>
              <w:rPr>
                <w:color w:val="000000"/>
                <w:sz w:val="20"/>
              </w:rPr>
            </w:pPr>
            <w:r>
              <w:rPr>
                <w:color w:val="000000"/>
                <w:sz w:val="20"/>
              </w:rPr>
              <w:t>NS</w:t>
            </w:r>
          </w:p>
        </w:tc>
      </w:tr>
    </w:tbl>
    <w:p w:rsidR="00916E71" w:rsidRPr="00751C06" w:rsidRDefault="00916E71" w:rsidP="00916E71">
      <w:pPr>
        <w:pStyle w:val="NOTEScheduleonly"/>
        <w:ind w:left="1134"/>
      </w:pPr>
      <w:r w:rsidRPr="00751C06">
        <w:t>Abbreviations: IV = intravenous; IM = intramuscular;</w:t>
      </w:r>
      <w:r>
        <w:t xml:space="preserve">  O = oral; NS = not specified.</w:t>
      </w:r>
    </w:p>
    <w:p w:rsidR="00215DBD" w:rsidRPr="00513D05" w:rsidRDefault="00215DBD" w:rsidP="003D1610">
      <w:pPr>
        <w:pStyle w:val="SH3"/>
      </w:pPr>
      <w:r w:rsidRPr="00E131DF">
        <w:rPr>
          <w:b/>
          <w:i/>
        </w:rPr>
        <w:t>minimal trauma fracture</w:t>
      </w:r>
      <w:r w:rsidRPr="00E131DF">
        <w:t xml:space="preserve"> means a fracture that results from mechanical forces that would not ordinarily result in a fracture.</w:t>
      </w:r>
    </w:p>
    <w:p w:rsidR="00215DBD" w:rsidRDefault="00215DBD" w:rsidP="003D1610">
      <w:pPr>
        <w:pStyle w:val="SH3"/>
      </w:pPr>
      <w:r w:rsidRPr="003D1610">
        <w:rPr>
          <w:b/>
          <w:i/>
        </w:rPr>
        <w:t>MRCA</w:t>
      </w:r>
      <w:r w:rsidRPr="00B90B8D">
        <w:rPr>
          <w:b/>
        </w:rPr>
        <w:t xml:space="preserve"> </w:t>
      </w:r>
      <w:r w:rsidRPr="00973808">
        <w:t>me</w:t>
      </w:r>
      <w:r w:rsidRPr="00024911">
        <w:rPr>
          <w:rStyle w:val="SH3nospaceChar"/>
        </w:rPr>
        <w:t>a</w:t>
      </w:r>
      <w:r w:rsidRPr="00973808">
        <w:t>ns</w:t>
      </w:r>
      <w:r w:rsidRPr="009C404D">
        <w:t xml:space="preserve"> the </w:t>
      </w:r>
      <w:r w:rsidRPr="0042393E">
        <w:rPr>
          <w:i/>
        </w:rPr>
        <w:t>Military Rehabilitation and Compensation Act 2004</w:t>
      </w:r>
      <w:r w:rsidRPr="009C404D">
        <w:t>.</w:t>
      </w:r>
    </w:p>
    <w:p w:rsidR="00215DBD" w:rsidRDefault="00215DBD" w:rsidP="003D1610">
      <w:pPr>
        <w:pStyle w:val="SH3"/>
      </w:pPr>
      <w:r w:rsidRPr="00E131DF">
        <w:rPr>
          <w:b/>
          <w:i/>
        </w:rPr>
        <w:t>osteomalacia</w:t>
      </w:r>
      <w:r w:rsidRPr="00815C04">
        <w:t xml:space="preserve"> means a disease of bone in which there is a reduction in the mineralisation of its organic matrix and bone softening, due to a deficiency of vitamin D or problems w</w:t>
      </w:r>
      <w:r>
        <w:t>ith the metabolism of vitamin D.</w:t>
      </w:r>
    </w:p>
    <w:p w:rsidR="00215DBD" w:rsidRDefault="00215DBD" w:rsidP="003D1610">
      <w:pPr>
        <w:pStyle w:val="SH3"/>
      </w:pPr>
      <w:r w:rsidRPr="00E131DF">
        <w:rPr>
          <w:b/>
          <w:i/>
        </w:rPr>
        <w:t>osteonecrosis</w:t>
      </w:r>
      <w:r w:rsidRPr="00E131DF">
        <w:t xml:space="preserve"> means a disease of bone where death of bone tissue occurs as a result of the temporary or permanent loss of blood supply to bone.</w:t>
      </w:r>
      <w:r w:rsidR="008B716E">
        <w:t xml:space="preserve"> </w:t>
      </w:r>
      <w:r w:rsidRPr="00E131DF">
        <w:t xml:space="preserve"> Osteonecrosis is also known as avascular necrosis, aseptic</w:t>
      </w:r>
      <w:r>
        <w:t xml:space="preserve"> necrosis or ischaemic necrosis.</w:t>
      </w:r>
    </w:p>
    <w:p w:rsidR="00215DBD" w:rsidRDefault="00215DBD" w:rsidP="003D1610">
      <w:pPr>
        <w:pStyle w:val="SH3"/>
      </w:pPr>
      <w:r w:rsidRPr="00C90130">
        <w:rPr>
          <w:b/>
          <w:i/>
        </w:rPr>
        <w:t>pack-years of cigarettes, or the equivalent thereof in other tobacco products</w:t>
      </w:r>
      <w:r w:rsidRPr="00C90130">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w:t>
      </w:r>
      <w:r w:rsidRPr="00C90130">
        <w:lastRenderedPageBreak/>
        <w:t>tobacco by weight.  Tobacco products mean cigarettes, pipe tobacco or cigars, smo</w:t>
      </w:r>
      <w:r w:rsidR="0037324F">
        <w:t>ked alone or in any combination.</w:t>
      </w:r>
    </w:p>
    <w:p w:rsidR="00885EAB" w:rsidRPr="009C404D" w:rsidRDefault="00054930" w:rsidP="003D1610">
      <w:pPr>
        <w:pStyle w:val="SH3"/>
      </w:pPr>
      <w:r w:rsidRPr="00143529">
        <w:rPr>
          <w:b/>
          <w:i/>
        </w:rPr>
        <w:t>r</w:t>
      </w:r>
      <w:r w:rsidR="00885EAB" w:rsidRPr="00143529">
        <w:rPr>
          <w:b/>
          <w:i/>
        </w:rPr>
        <w:t>elevant service</w:t>
      </w:r>
      <w:r w:rsidR="00885EAB" w:rsidRPr="009C404D">
        <w:t xml:space="preserve"> means:</w:t>
      </w:r>
    </w:p>
    <w:p w:rsidR="00885EAB" w:rsidRPr="00365E25" w:rsidRDefault="00C77046" w:rsidP="001B77FE">
      <w:pPr>
        <w:pStyle w:val="SH4"/>
        <w:ind w:left="1418"/>
      </w:pPr>
      <w:bookmarkStart w:id="50"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1B77FE">
      <w:pPr>
        <w:pStyle w:val="SH4"/>
        <w:ind w:left="1418"/>
      </w:pPr>
      <w:r>
        <w:t>peacetime service under the MRCA.</w:t>
      </w:r>
    </w:p>
    <w:p w:rsidR="00143529" w:rsidRPr="008A4C04" w:rsidRDefault="00143529" w:rsidP="00143529">
      <w:pPr>
        <w:pStyle w:val="SH3"/>
        <w:spacing w:after="0"/>
        <w:ind w:left="851" w:hanging="851"/>
      </w:pPr>
      <w:r w:rsidRPr="008A4C04">
        <w:rPr>
          <w:b/>
          <w:i/>
        </w:rPr>
        <w:t>repetitive loading stress</w:t>
      </w:r>
      <w:r w:rsidRPr="008A4C04">
        <w:t xml:space="preserve"> means ongoing physical activity which involves at least a moderate level of weight bearing exercise such as speed walking, jogging, athletics or running, or weight training for the upper limbs</w:t>
      </w:r>
      <w:r>
        <w:t>.</w:t>
      </w:r>
    </w:p>
    <w:p w:rsidR="00215DBD" w:rsidRPr="00A05EC2" w:rsidRDefault="00215DBD" w:rsidP="003D1610">
      <w:pPr>
        <w:pStyle w:val="SH3"/>
      </w:pPr>
      <w:r w:rsidRPr="00A05EC2">
        <w:rPr>
          <w:b/>
          <w:i/>
        </w:rPr>
        <w:t>significant biomechanical abnormality</w:t>
      </w:r>
      <w:r w:rsidRPr="00A05EC2">
        <w:t xml:space="preserve"> means an abnormality that causes significant alteration of biomechanical forces such as would occur in osteoarthritis with deformity, forefoot v</w:t>
      </w:r>
      <w:r w:rsidR="0037324F">
        <w:t>arus or leg-length discrepancy.</w:t>
      </w:r>
    </w:p>
    <w:p w:rsidR="00885EAB" w:rsidRPr="009C404D" w:rsidRDefault="00054930" w:rsidP="003D1610">
      <w:pPr>
        <w:pStyle w:val="SH3"/>
      </w:pPr>
      <w:r>
        <w:rPr>
          <w:b/>
          <w:i/>
        </w:rPr>
        <w:t>t</w:t>
      </w:r>
      <w:r w:rsidR="00885EAB" w:rsidRPr="00973808">
        <w:rPr>
          <w:b/>
          <w:i/>
        </w:rPr>
        <w:t>erminal event</w:t>
      </w:r>
      <w:r w:rsidR="00885EAB" w:rsidRPr="009C404D">
        <w:t xml:space="preserve"> means the proximate or ultimate cause of death and includes</w:t>
      </w:r>
      <w:bookmarkEnd w:id="50"/>
      <w:r w:rsidR="00513D05" w:rsidRPr="009C404D">
        <w:t xml:space="preserve"> </w:t>
      </w:r>
      <w:r w:rsidR="00885EAB" w:rsidRPr="009C404D">
        <w:t>the following:</w:t>
      </w:r>
    </w:p>
    <w:p w:rsidR="00885EAB" w:rsidRPr="00513D05" w:rsidRDefault="00513D05" w:rsidP="001B77FE">
      <w:pPr>
        <w:pStyle w:val="SH4"/>
        <w:ind w:left="1418"/>
      </w:pPr>
      <w:r>
        <w:tab/>
      </w:r>
      <w:r w:rsidR="00885EAB" w:rsidRPr="00513D05">
        <w:t>pneumonia;</w:t>
      </w:r>
    </w:p>
    <w:p w:rsidR="00885EAB" w:rsidRPr="00513D05" w:rsidRDefault="00885EAB" w:rsidP="001B77FE">
      <w:pPr>
        <w:pStyle w:val="SH4"/>
        <w:ind w:left="1418"/>
      </w:pPr>
      <w:r w:rsidRPr="00513D05">
        <w:tab/>
        <w:t>respiratory failure;</w:t>
      </w:r>
    </w:p>
    <w:p w:rsidR="00885EAB" w:rsidRPr="00513D05" w:rsidRDefault="00885EAB" w:rsidP="001B77FE">
      <w:pPr>
        <w:pStyle w:val="SH4"/>
        <w:ind w:left="1418"/>
      </w:pPr>
      <w:r w:rsidRPr="00513D05">
        <w:tab/>
        <w:t>cardiac arrest;</w:t>
      </w:r>
    </w:p>
    <w:p w:rsidR="00885EAB" w:rsidRPr="00513D05" w:rsidRDefault="00885EAB" w:rsidP="001B77FE">
      <w:pPr>
        <w:pStyle w:val="SH4"/>
        <w:ind w:left="1418"/>
      </w:pPr>
      <w:r w:rsidRPr="00513D05">
        <w:tab/>
        <w:t>circulatory failure;</w:t>
      </w:r>
      <w:r w:rsidR="00323902">
        <w:t xml:space="preserve"> or</w:t>
      </w:r>
    </w:p>
    <w:p w:rsidR="00BD3334" w:rsidRPr="00BD3334" w:rsidRDefault="00885EAB" w:rsidP="001B77FE">
      <w:pPr>
        <w:pStyle w:val="SH4"/>
        <w:ind w:left="1418"/>
      </w:pPr>
      <w:r w:rsidRPr="00513D05">
        <w:tab/>
        <w:t>cessation of brain function.</w:t>
      </w:r>
    </w:p>
    <w:p w:rsidR="001B77FE" w:rsidRPr="0019084F" w:rsidRDefault="00885EAB" w:rsidP="003D1610">
      <w:pPr>
        <w:pStyle w:val="SH3"/>
      </w:pPr>
      <w:r w:rsidRPr="003D1610">
        <w:rPr>
          <w:b/>
          <w:i/>
        </w:rPr>
        <w:t>VEA</w:t>
      </w:r>
      <w:r w:rsidRPr="0019084F">
        <w:t xml:space="preserve"> means the </w:t>
      </w:r>
      <w:r w:rsidRPr="0042393E">
        <w:rPr>
          <w:i/>
        </w:rPr>
        <w:t>Veterans</w:t>
      </w:r>
      <w:r w:rsidR="0042098D" w:rsidRPr="0042393E">
        <w:rPr>
          <w:i/>
        </w:rPr>
        <w:t>'</w:t>
      </w:r>
      <w:r w:rsidRPr="0042393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BA01A1"/>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0C59D7" w:rsidRDefault="00F03C06" w:rsidP="003A2FFE">
          <w:pPr>
            <w:spacing w:line="0" w:lineRule="atLeast"/>
            <w:jc w:val="center"/>
            <w:rPr>
              <w:i/>
              <w:sz w:val="18"/>
            </w:rPr>
          </w:pPr>
          <w:r w:rsidRPr="00E55F66">
            <w:rPr>
              <w:i/>
              <w:sz w:val="18"/>
            </w:rPr>
            <w:t>Statement of Principles concer</w:t>
          </w:r>
          <w:r>
            <w:rPr>
              <w:i/>
              <w:sz w:val="18"/>
            </w:rPr>
            <w:t>ning</w:t>
          </w:r>
        </w:p>
        <w:p w:rsidR="00F03C06" w:rsidRPr="00C01863" w:rsidRDefault="000C59D7" w:rsidP="000C59D7">
          <w:pPr>
            <w:spacing w:line="0" w:lineRule="atLeast"/>
            <w:jc w:val="center"/>
            <w:rPr>
              <w:sz w:val="18"/>
            </w:rPr>
          </w:pPr>
          <w:r>
            <w:rPr>
              <w:i/>
              <w:sz w:val="18"/>
              <w:szCs w:val="18"/>
            </w:rPr>
            <w:t>F</w:t>
          </w:r>
          <w:r w:rsidR="00CB5C2B" w:rsidRPr="00CB5C2B">
            <w:rPr>
              <w:i/>
              <w:sz w:val="18"/>
              <w:szCs w:val="18"/>
            </w:rPr>
            <w:t>racture</w:t>
          </w:r>
          <w:r w:rsidR="003A2FFE" w:rsidRPr="003A2FFE">
            <w:rPr>
              <w:i/>
              <w:sz w:val="18"/>
            </w:rPr>
            <w:t xml:space="preserve"> </w:t>
          </w:r>
          <w:r>
            <w:rPr>
              <w:i/>
              <w:sz w:val="18"/>
            </w:rPr>
            <w:t>(Balance of Probabilities)</w:t>
          </w:r>
          <w:r w:rsidRPr="003A2FFE">
            <w:rPr>
              <w:i/>
              <w:sz w:val="18"/>
            </w:rPr>
            <w:t xml:space="preserve"> </w:t>
          </w:r>
          <w:r w:rsidR="003A2FFE" w:rsidRPr="003A2FFE">
            <w:rPr>
              <w:i/>
              <w:sz w:val="18"/>
            </w:rPr>
            <w:t xml:space="preserve">(No. </w:t>
          </w:r>
          <w:r>
            <w:rPr>
              <w:i/>
              <w:sz w:val="18"/>
            </w:rPr>
            <w:t>95</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6B0B0C" w:rsidRPr="006B0B0C">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0C">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0C59D7"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0C59D7" w:rsidP="000C59D7">
          <w:pPr>
            <w:spacing w:line="0" w:lineRule="atLeast"/>
            <w:jc w:val="center"/>
            <w:rPr>
              <w:sz w:val="18"/>
            </w:rPr>
          </w:pPr>
          <w:r>
            <w:rPr>
              <w:i/>
              <w:sz w:val="18"/>
              <w:szCs w:val="18"/>
            </w:rPr>
            <w:t>Fracture</w:t>
          </w:r>
          <w:r w:rsidR="00653CBB">
            <w:rPr>
              <w:i/>
              <w:sz w:val="18"/>
              <w:szCs w:val="18"/>
            </w:rPr>
            <w:t xml:space="preserve"> </w:t>
          </w:r>
          <w:r w:rsidR="00653CBB">
            <w:rPr>
              <w:i/>
              <w:sz w:val="18"/>
            </w:rPr>
            <w:t>(Balance of Probabilities)</w:t>
          </w:r>
          <w:r w:rsidR="000007B8" w:rsidRPr="007F2378">
            <w:rPr>
              <w:i/>
              <w:sz w:val="18"/>
            </w:rPr>
            <w:t xml:space="preserve"> </w:t>
          </w:r>
          <w:r w:rsidR="003A2FFE" w:rsidRPr="007F2378">
            <w:rPr>
              <w:i/>
              <w:sz w:val="18"/>
            </w:rPr>
            <w:t xml:space="preserve">(No. </w:t>
          </w:r>
          <w:r>
            <w:rPr>
              <w:i/>
              <w:sz w:val="18"/>
            </w:rPr>
            <w:t>95</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6B0B0C" w:rsidRPr="006B0B0C">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0C">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8B716E" w:rsidRDefault="007F2378" w:rsidP="007F2378">
          <w:pPr>
            <w:spacing w:line="0" w:lineRule="atLeast"/>
            <w:jc w:val="center"/>
            <w:rPr>
              <w:i/>
              <w:sz w:val="18"/>
            </w:rPr>
          </w:pPr>
          <w:r w:rsidRPr="007C5CE0">
            <w:rPr>
              <w:i/>
              <w:sz w:val="18"/>
            </w:rPr>
            <w:t>Statement of Principles concerning</w:t>
          </w:r>
        </w:p>
        <w:p w:rsidR="007F2378" w:rsidRPr="007C5CE0" w:rsidRDefault="000C59D7" w:rsidP="000C59D7">
          <w:pPr>
            <w:spacing w:line="0" w:lineRule="atLeast"/>
            <w:jc w:val="center"/>
            <w:rPr>
              <w:sz w:val="18"/>
            </w:rPr>
          </w:pPr>
          <w:r>
            <w:rPr>
              <w:i/>
              <w:sz w:val="18"/>
              <w:szCs w:val="18"/>
            </w:rPr>
            <w:t>F</w:t>
          </w:r>
          <w:r w:rsidR="00CB5C2B" w:rsidRPr="00CB5C2B">
            <w:rPr>
              <w:i/>
              <w:sz w:val="18"/>
              <w:szCs w:val="18"/>
            </w:rPr>
            <w:t>racture</w:t>
          </w:r>
          <w:r>
            <w:rPr>
              <w:i/>
              <w:sz w:val="18"/>
              <w:szCs w:val="18"/>
            </w:rPr>
            <w:t xml:space="preserve"> </w:t>
          </w:r>
          <w:r>
            <w:rPr>
              <w:i/>
              <w:sz w:val="18"/>
            </w:rPr>
            <w:t>(Balance of Probabilities)</w:t>
          </w:r>
          <w:r w:rsidR="007F2378" w:rsidRPr="007C5CE0">
            <w:rPr>
              <w:i/>
              <w:sz w:val="18"/>
            </w:rPr>
            <w:t xml:space="preserve"> (No. </w:t>
          </w:r>
          <w:r>
            <w:rPr>
              <w:i/>
              <w:sz w:val="18"/>
              <w:szCs w:val="18"/>
            </w:rPr>
            <w:t>95</w:t>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6B0B0C" w:rsidRPr="006B0B0C">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0C">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653CBB"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653CBB" w:rsidP="00653CBB">
          <w:pPr>
            <w:spacing w:line="0" w:lineRule="atLeast"/>
            <w:jc w:val="center"/>
            <w:rPr>
              <w:sz w:val="18"/>
            </w:rPr>
          </w:pPr>
          <w:r w:rsidRPr="00653CBB">
            <w:rPr>
              <w:i/>
              <w:sz w:val="18"/>
            </w:rPr>
            <w:t>Fracture</w:t>
          </w:r>
          <w:r w:rsidR="0008674F" w:rsidRPr="00653CBB">
            <w:rPr>
              <w:i/>
              <w:sz w:val="18"/>
            </w:rPr>
            <w:t xml:space="preserve"> </w:t>
          </w:r>
          <w:r>
            <w:rPr>
              <w:i/>
              <w:sz w:val="18"/>
            </w:rPr>
            <w:t>(Balance of Probabilities)</w:t>
          </w:r>
          <w:r w:rsidRPr="007F2378">
            <w:rPr>
              <w:i/>
              <w:sz w:val="18"/>
            </w:rPr>
            <w:t xml:space="preserve"> </w:t>
          </w:r>
          <w:r w:rsidR="0008674F" w:rsidRPr="007F2378">
            <w:rPr>
              <w:i/>
              <w:sz w:val="18"/>
            </w:rPr>
            <w:t xml:space="preserve">(No. </w:t>
          </w:r>
          <w:r>
            <w:rPr>
              <w:i/>
              <w:sz w:val="18"/>
              <w:szCs w:val="18"/>
            </w:rPr>
            <w:t>95</w:t>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6B0B0C" w:rsidRPr="006B0B0C">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0C">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653CBB" w:rsidRDefault="008F48EC" w:rsidP="00154DCA">
          <w:pPr>
            <w:spacing w:line="0" w:lineRule="atLeast"/>
            <w:jc w:val="center"/>
            <w:rPr>
              <w:i/>
              <w:sz w:val="18"/>
            </w:rPr>
          </w:pPr>
          <w:r w:rsidRPr="00E55F66">
            <w:rPr>
              <w:i/>
              <w:sz w:val="18"/>
            </w:rPr>
            <w:t>Statement of Principles concer</w:t>
          </w:r>
          <w:r>
            <w:rPr>
              <w:i/>
              <w:sz w:val="18"/>
            </w:rPr>
            <w:t xml:space="preserve">ning </w:t>
          </w:r>
        </w:p>
        <w:p w:rsidR="00885EAB" w:rsidRPr="005E7FC2" w:rsidRDefault="00653CBB" w:rsidP="00653CBB">
          <w:pPr>
            <w:spacing w:line="0" w:lineRule="atLeast"/>
            <w:jc w:val="center"/>
            <w:rPr>
              <w:i/>
              <w:sz w:val="18"/>
            </w:rPr>
          </w:pPr>
          <w:r>
            <w:rPr>
              <w:i/>
              <w:sz w:val="18"/>
            </w:rPr>
            <w:t>Fracture</w:t>
          </w:r>
          <w:r w:rsidR="00154DCA">
            <w:rPr>
              <w:i/>
              <w:sz w:val="18"/>
              <w:szCs w:val="18"/>
            </w:rPr>
            <w:t xml:space="preserve"> </w:t>
          </w:r>
          <w:r>
            <w:rPr>
              <w:i/>
              <w:sz w:val="18"/>
            </w:rPr>
            <w:t xml:space="preserve">(Balance of Probabilities) </w:t>
          </w:r>
          <w:r w:rsidR="008F48EC">
            <w:rPr>
              <w:i/>
              <w:sz w:val="18"/>
            </w:rPr>
            <w:t xml:space="preserve">(No. </w:t>
          </w:r>
          <w:r>
            <w:rPr>
              <w:i/>
              <w:sz w:val="18"/>
            </w:rPr>
            <w:t>95</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6B0B0C" w:rsidRPr="006B0B0C">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0C">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B0B0C">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50312B1" wp14:editId="71F0FBD2">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0B0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312B1"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0B0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B0B0C">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B0B0C">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B0B0C">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B0B0C">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6B0B0C">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6B0B0C">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2A1D5C18" wp14:editId="4362CE4C">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0B0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D5C18"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0B0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6B0B0C">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B0B0C">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B0B0C">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B0B0C">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B0B0C">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B0B0C">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B0B0C">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4EF2165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544A35C6"/>
    <w:lvl w:ilvl="0">
      <w:start w:val="1"/>
      <w:numFmt w:val="lowerLetter"/>
      <w:lvlText w:val="(%1)"/>
      <w:lvlJc w:val="left"/>
      <w:pPr>
        <w:tabs>
          <w:tab w:val="num" w:pos="1440"/>
        </w:tabs>
        <w:ind w:left="1440" w:hanging="72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4BB5"/>
    <w:rsid w:val="000C59D7"/>
    <w:rsid w:val="000C664A"/>
    <w:rsid w:val="000C6D96"/>
    <w:rsid w:val="000D05EF"/>
    <w:rsid w:val="000D4D03"/>
    <w:rsid w:val="000E2261"/>
    <w:rsid w:val="000E4183"/>
    <w:rsid w:val="000F21C1"/>
    <w:rsid w:val="000F76FA"/>
    <w:rsid w:val="00101F89"/>
    <w:rsid w:val="001058EA"/>
    <w:rsid w:val="0010745C"/>
    <w:rsid w:val="00111D0B"/>
    <w:rsid w:val="00132CEB"/>
    <w:rsid w:val="00142B62"/>
    <w:rsid w:val="00143529"/>
    <w:rsid w:val="0015201F"/>
    <w:rsid w:val="00154DCA"/>
    <w:rsid w:val="00157B8B"/>
    <w:rsid w:val="00161A8E"/>
    <w:rsid w:val="001626EF"/>
    <w:rsid w:val="001648F7"/>
    <w:rsid w:val="00166C2F"/>
    <w:rsid w:val="001809D7"/>
    <w:rsid w:val="001833C8"/>
    <w:rsid w:val="00187DE1"/>
    <w:rsid w:val="0019084F"/>
    <w:rsid w:val="001939E1"/>
    <w:rsid w:val="00194C3E"/>
    <w:rsid w:val="00195382"/>
    <w:rsid w:val="001A33B7"/>
    <w:rsid w:val="001B0F26"/>
    <w:rsid w:val="001B145D"/>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0F25"/>
    <w:rsid w:val="00214488"/>
    <w:rsid w:val="00215860"/>
    <w:rsid w:val="00215AF1"/>
    <w:rsid w:val="00215DBD"/>
    <w:rsid w:val="00223E2C"/>
    <w:rsid w:val="00225CBD"/>
    <w:rsid w:val="00226ECC"/>
    <w:rsid w:val="002321E8"/>
    <w:rsid w:val="00236EEC"/>
    <w:rsid w:val="00237471"/>
    <w:rsid w:val="00237BAF"/>
    <w:rsid w:val="0024010F"/>
    <w:rsid w:val="00240749"/>
    <w:rsid w:val="00243018"/>
    <w:rsid w:val="00246FA5"/>
    <w:rsid w:val="002564A4"/>
    <w:rsid w:val="002615FE"/>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1370D"/>
    <w:rsid w:val="00323902"/>
    <w:rsid w:val="0033221D"/>
    <w:rsid w:val="003354D2"/>
    <w:rsid w:val="00335BC6"/>
    <w:rsid w:val="003415D3"/>
    <w:rsid w:val="00344701"/>
    <w:rsid w:val="00352B0F"/>
    <w:rsid w:val="00356690"/>
    <w:rsid w:val="00360459"/>
    <w:rsid w:val="00365E25"/>
    <w:rsid w:val="0037324F"/>
    <w:rsid w:val="003734C6"/>
    <w:rsid w:val="003802D6"/>
    <w:rsid w:val="00385187"/>
    <w:rsid w:val="00396E62"/>
    <w:rsid w:val="003A189F"/>
    <w:rsid w:val="003A2FFE"/>
    <w:rsid w:val="003A5C26"/>
    <w:rsid w:val="003B3E42"/>
    <w:rsid w:val="003B403B"/>
    <w:rsid w:val="003C445A"/>
    <w:rsid w:val="003C4C02"/>
    <w:rsid w:val="003C6231"/>
    <w:rsid w:val="003D0BFE"/>
    <w:rsid w:val="003D1610"/>
    <w:rsid w:val="003D5700"/>
    <w:rsid w:val="003E341B"/>
    <w:rsid w:val="003F39C0"/>
    <w:rsid w:val="003F4535"/>
    <w:rsid w:val="004116CD"/>
    <w:rsid w:val="0041386E"/>
    <w:rsid w:val="004144EC"/>
    <w:rsid w:val="00417EB9"/>
    <w:rsid w:val="0042098D"/>
    <w:rsid w:val="00420A33"/>
    <w:rsid w:val="004218EF"/>
    <w:rsid w:val="0042300E"/>
    <w:rsid w:val="0042393E"/>
    <w:rsid w:val="00424CA9"/>
    <w:rsid w:val="0042720D"/>
    <w:rsid w:val="00431E9B"/>
    <w:rsid w:val="00436129"/>
    <w:rsid w:val="004379E3"/>
    <w:rsid w:val="0044015E"/>
    <w:rsid w:val="0044291A"/>
    <w:rsid w:val="00444ABD"/>
    <w:rsid w:val="00456CE5"/>
    <w:rsid w:val="0046242B"/>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0C44"/>
    <w:rsid w:val="00513D05"/>
    <w:rsid w:val="00516768"/>
    <w:rsid w:val="00516B8D"/>
    <w:rsid w:val="0052377D"/>
    <w:rsid w:val="005268CF"/>
    <w:rsid w:val="0053697E"/>
    <w:rsid w:val="005374E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3CBB"/>
    <w:rsid w:val="0066266D"/>
    <w:rsid w:val="006647B7"/>
    <w:rsid w:val="00667A4E"/>
    <w:rsid w:val="00670EA1"/>
    <w:rsid w:val="00677CC2"/>
    <w:rsid w:val="006840B0"/>
    <w:rsid w:val="00684C0E"/>
    <w:rsid w:val="006905DE"/>
    <w:rsid w:val="0069207B"/>
    <w:rsid w:val="00695023"/>
    <w:rsid w:val="006B0B0C"/>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3915"/>
    <w:rsid w:val="0079657C"/>
    <w:rsid w:val="007A15B1"/>
    <w:rsid w:val="007B132E"/>
    <w:rsid w:val="007C2253"/>
    <w:rsid w:val="007C5642"/>
    <w:rsid w:val="007C5CE0"/>
    <w:rsid w:val="007C7DEE"/>
    <w:rsid w:val="007D3BA2"/>
    <w:rsid w:val="007E163D"/>
    <w:rsid w:val="007E667A"/>
    <w:rsid w:val="007E7626"/>
    <w:rsid w:val="007F2378"/>
    <w:rsid w:val="007F28C9"/>
    <w:rsid w:val="00803587"/>
    <w:rsid w:val="00806368"/>
    <w:rsid w:val="008117E9"/>
    <w:rsid w:val="00824498"/>
    <w:rsid w:val="00831C11"/>
    <w:rsid w:val="008321ED"/>
    <w:rsid w:val="00832C32"/>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B716E"/>
    <w:rsid w:val="008C7BEF"/>
    <w:rsid w:val="008D0EE0"/>
    <w:rsid w:val="008D16D3"/>
    <w:rsid w:val="008D1B8B"/>
    <w:rsid w:val="008E4A16"/>
    <w:rsid w:val="008E6067"/>
    <w:rsid w:val="008E6EEF"/>
    <w:rsid w:val="008E76DC"/>
    <w:rsid w:val="008F48EC"/>
    <w:rsid w:val="008F54E7"/>
    <w:rsid w:val="008F572A"/>
    <w:rsid w:val="009009EB"/>
    <w:rsid w:val="00903422"/>
    <w:rsid w:val="00904761"/>
    <w:rsid w:val="00912B55"/>
    <w:rsid w:val="00914CC6"/>
    <w:rsid w:val="00915DF9"/>
    <w:rsid w:val="00916E71"/>
    <w:rsid w:val="009254C3"/>
    <w:rsid w:val="00932377"/>
    <w:rsid w:val="00947D5A"/>
    <w:rsid w:val="00951BB4"/>
    <w:rsid w:val="009532A5"/>
    <w:rsid w:val="00956922"/>
    <w:rsid w:val="009612CF"/>
    <w:rsid w:val="00973808"/>
    <w:rsid w:val="00982242"/>
    <w:rsid w:val="0098501D"/>
    <w:rsid w:val="009868E9"/>
    <w:rsid w:val="009B5A4E"/>
    <w:rsid w:val="009C2B65"/>
    <w:rsid w:val="009C404D"/>
    <w:rsid w:val="009D03D9"/>
    <w:rsid w:val="009E5CFC"/>
    <w:rsid w:val="009E7349"/>
    <w:rsid w:val="00A079CB"/>
    <w:rsid w:val="00A07E38"/>
    <w:rsid w:val="00A11C0D"/>
    <w:rsid w:val="00A12128"/>
    <w:rsid w:val="00A137F8"/>
    <w:rsid w:val="00A20CA1"/>
    <w:rsid w:val="00A22C98"/>
    <w:rsid w:val="00A231E2"/>
    <w:rsid w:val="00A42830"/>
    <w:rsid w:val="00A515BC"/>
    <w:rsid w:val="00A56C3D"/>
    <w:rsid w:val="00A6070D"/>
    <w:rsid w:val="00A64912"/>
    <w:rsid w:val="00A70A74"/>
    <w:rsid w:val="00AA413F"/>
    <w:rsid w:val="00AA64D6"/>
    <w:rsid w:val="00AA6D8B"/>
    <w:rsid w:val="00AB78B1"/>
    <w:rsid w:val="00AD2DC7"/>
    <w:rsid w:val="00AD5641"/>
    <w:rsid w:val="00AD7889"/>
    <w:rsid w:val="00AD7AC2"/>
    <w:rsid w:val="00AD7DCC"/>
    <w:rsid w:val="00AF021B"/>
    <w:rsid w:val="00AF06CF"/>
    <w:rsid w:val="00B00CC5"/>
    <w:rsid w:val="00B05CF4"/>
    <w:rsid w:val="00B07CDB"/>
    <w:rsid w:val="00B166C8"/>
    <w:rsid w:val="00B16A31"/>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83BC7"/>
    <w:rsid w:val="00B90372"/>
    <w:rsid w:val="00B90B8D"/>
    <w:rsid w:val="00B92A80"/>
    <w:rsid w:val="00BA01A1"/>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5C2B"/>
    <w:rsid w:val="00CB602E"/>
    <w:rsid w:val="00CC0B12"/>
    <w:rsid w:val="00CC7039"/>
    <w:rsid w:val="00CD7B88"/>
    <w:rsid w:val="00CE051D"/>
    <w:rsid w:val="00CE1335"/>
    <w:rsid w:val="00CE493D"/>
    <w:rsid w:val="00CE5AE0"/>
    <w:rsid w:val="00CF07FA"/>
    <w:rsid w:val="00CF0BB2"/>
    <w:rsid w:val="00CF22E8"/>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61035"/>
    <w:rsid w:val="00D70DFB"/>
    <w:rsid w:val="00D71633"/>
    <w:rsid w:val="00D766DF"/>
    <w:rsid w:val="00D93DA9"/>
    <w:rsid w:val="00D96383"/>
    <w:rsid w:val="00D97BB3"/>
    <w:rsid w:val="00DA186E"/>
    <w:rsid w:val="00DA4116"/>
    <w:rsid w:val="00DA7AC0"/>
    <w:rsid w:val="00DB1807"/>
    <w:rsid w:val="00DB251C"/>
    <w:rsid w:val="00DB4630"/>
    <w:rsid w:val="00DC4F88"/>
    <w:rsid w:val="00DD2B43"/>
    <w:rsid w:val="00DD31AB"/>
    <w:rsid w:val="00DE59B7"/>
    <w:rsid w:val="00DF24DC"/>
    <w:rsid w:val="00DF5291"/>
    <w:rsid w:val="00DF6D11"/>
    <w:rsid w:val="00E01818"/>
    <w:rsid w:val="00E05704"/>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7100"/>
    <w:rsid w:val="00EA7F9F"/>
    <w:rsid w:val="00EB1274"/>
    <w:rsid w:val="00EB2BC4"/>
    <w:rsid w:val="00EB79B4"/>
    <w:rsid w:val="00EC2ABC"/>
    <w:rsid w:val="00ED13B4"/>
    <w:rsid w:val="00ED2BB6"/>
    <w:rsid w:val="00ED34E1"/>
    <w:rsid w:val="00ED3B8D"/>
    <w:rsid w:val="00ED4913"/>
    <w:rsid w:val="00ED501C"/>
    <w:rsid w:val="00EF2E3A"/>
    <w:rsid w:val="00EF5737"/>
    <w:rsid w:val="00F02383"/>
    <w:rsid w:val="00F03C06"/>
    <w:rsid w:val="00F072A7"/>
    <w:rsid w:val="00F078DC"/>
    <w:rsid w:val="00F14B48"/>
    <w:rsid w:val="00F27E51"/>
    <w:rsid w:val="00F31667"/>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3D1610"/>
    <w:pPr>
      <w:numPr>
        <w:ilvl w:val="2"/>
        <w:numId w:val="5"/>
      </w:numPr>
      <w:spacing w:before="100" w:after="6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3D1610"/>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BodyText2">
    <w:name w:val="Body Text 2"/>
    <w:basedOn w:val="Normal"/>
    <w:link w:val="BodyText2Char"/>
    <w:rsid w:val="00215DBD"/>
    <w:pPr>
      <w:spacing w:line="240" w:lineRule="auto"/>
      <w:jc w:val="both"/>
    </w:pPr>
    <w:rPr>
      <w:rFonts w:eastAsia="Times New Roman"/>
      <w:sz w:val="24"/>
      <w:lang w:eastAsia="en-AU"/>
    </w:rPr>
  </w:style>
  <w:style w:type="character" w:customStyle="1" w:styleId="BodyText2Char">
    <w:name w:val="Body Text 2 Char"/>
    <w:basedOn w:val="DefaultParagraphFont"/>
    <w:link w:val="BodyText2"/>
    <w:rsid w:val="00215DBD"/>
    <w:rPr>
      <w:rFonts w:eastAsia="Times New Roman"/>
      <w:sz w:val="24"/>
    </w:rPr>
  </w:style>
  <w:style w:type="paragraph" w:styleId="FootnoteText">
    <w:name w:val="footnote text"/>
    <w:basedOn w:val="Normal"/>
    <w:link w:val="FootnoteTextChar"/>
    <w:semiHidden/>
    <w:rsid w:val="00215DBD"/>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215D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9853</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2015-08-18T05:04:00Z</dcterms:created>
  <dcterms:modified xsi:type="dcterms:W3CDTF">2015-08-24T00:50:00Z</dcterms:modified>
  <dc:language/>
  <cp:version/>
</cp:coreProperties>
</file>