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EF4" w:rsidRDefault="00894615">
      <w:pPr>
        <w:pStyle w:val="sop"/>
        <w:spacing w:before="0" w:after="0"/>
        <w:ind w:left="0"/>
        <w:rPr>
          <w:rFonts w:ascii="Arial" w:hAnsi="Arial"/>
        </w:rPr>
      </w:pPr>
      <w:bookmarkStart w:id="0" w:name="_GoBack"/>
      <w:bookmarkEnd w:id="0"/>
      <w:r>
        <w:rPr>
          <w:noProof/>
          <w:lang w:val="en-AU" w:eastAsia="en-AU"/>
        </w:rPr>
        <w:drawing>
          <wp:inline distT="0" distB="0" distL="0" distR="0">
            <wp:extent cx="1752600" cy="93726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7260"/>
                    </a:xfrm>
                    <a:prstGeom prst="rect">
                      <a:avLst/>
                    </a:prstGeom>
                    <a:noFill/>
                    <a:ln>
                      <a:noFill/>
                    </a:ln>
                  </pic:spPr>
                </pic:pic>
              </a:graphicData>
            </a:graphic>
          </wp:inline>
        </w:drawing>
      </w:r>
    </w:p>
    <w:p w:rsidR="00AB4EF4" w:rsidRDefault="00AB4EF4">
      <w:pPr>
        <w:pStyle w:val="sop"/>
        <w:ind w:left="0"/>
        <w:rPr>
          <w:rFonts w:ascii="Arial" w:hAnsi="Arial"/>
        </w:rPr>
      </w:pPr>
    </w:p>
    <w:p w:rsidR="00AB4EF4" w:rsidRDefault="00AB4EF4">
      <w:pPr>
        <w:ind w:left="0"/>
        <w:jc w:val="center"/>
        <w:outlineLvl w:val="0"/>
        <w:rPr>
          <w:rFonts w:ascii="Arial" w:hAnsi="Arial"/>
          <w:sz w:val="40"/>
        </w:rPr>
      </w:pPr>
      <w:r>
        <w:rPr>
          <w:rFonts w:ascii="Arial" w:hAnsi="Arial"/>
          <w:sz w:val="40"/>
        </w:rPr>
        <w:t>Statement of Principles</w:t>
      </w:r>
    </w:p>
    <w:p w:rsidR="00AB4EF4" w:rsidRDefault="00AB4EF4">
      <w:pPr>
        <w:ind w:left="0"/>
        <w:jc w:val="center"/>
        <w:outlineLvl w:val="0"/>
        <w:rPr>
          <w:rFonts w:ascii="Arial" w:hAnsi="Arial"/>
          <w:sz w:val="28"/>
        </w:rPr>
      </w:pPr>
      <w:r>
        <w:rPr>
          <w:rFonts w:ascii="Arial" w:hAnsi="Arial"/>
          <w:sz w:val="28"/>
        </w:rPr>
        <w:t>concerning</w:t>
      </w:r>
    </w:p>
    <w:p w:rsidR="00AB4EF4" w:rsidRDefault="00AB4EF4">
      <w:pPr>
        <w:ind w:left="0"/>
        <w:jc w:val="center"/>
        <w:rPr>
          <w:rFonts w:ascii="Arial" w:hAnsi="Arial"/>
          <w:sz w:val="28"/>
        </w:rPr>
      </w:pPr>
    </w:p>
    <w:p w:rsidR="00AB4EF4" w:rsidRDefault="00EC5AD8">
      <w:pPr>
        <w:ind w:left="0"/>
        <w:jc w:val="center"/>
        <w:outlineLvl w:val="0"/>
        <w:rPr>
          <w:rFonts w:ascii="Arial" w:hAnsi="Arial"/>
          <w:b/>
          <w:sz w:val="40"/>
        </w:rPr>
      </w:pPr>
      <w:r>
        <w:rPr>
          <w:rFonts w:ascii="Arial" w:hAnsi="Arial"/>
          <w:b/>
          <w:sz w:val="40"/>
        </w:rPr>
        <w:t>HEPATITIS A</w:t>
      </w:r>
    </w:p>
    <w:p w:rsidR="00AB4EF4" w:rsidRDefault="00AB4EF4">
      <w:pPr>
        <w:spacing w:before="240"/>
        <w:ind w:left="0"/>
        <w:jc w:val="center"/>
        <w:outlineLvl w:val="0"/>
        <w:rPr>
          <w:rFonts w:ascii="Arial" w:hAnsi="Arial"/>
          <w:b/>
          <w:sz w:val="40"/>
        </w:rPr>
      </w:pPr>
      <w:r>
        <w:rPr>
          <w:rFonts w:ascii="Arial" w:hAnsi="Arial"/>
          <w:b/>
          <w:sz w:val="40"/>
        </w:rPr>
        <w:t xml:space="preserve">No. </w:t>
      </w:r>
      <w:r w:rsidR="000E5E5E">
        <w:rPr>
          <w:rFonts w:ascii="Arial" w:hAnsi="Arial"/>
          <w:b/>
          <w:sz w:val="40"/>
        </w:rPr>
        <w:t>63</w:t>
      </w:r>
      <w:r>
        <w:rPr>
          <w:rFonts w:ascii="Arial" w:hAnsi="Arial"/>
          <w:b/>
          <w:sz w:val="40"/>
        </w:rPr>
        <w:t xml:space="preserve"> of </w:t>
      </w:r>
      <w:r w:rsidR="00230780">
        <w:rPr>
          <w:rFonts w:ascii="Arial" w:hAnsi="Arial"/>
          <w:b/>
          <w:sz w:val="40"/>
        </w:rPr>
        <w:t>2015</w:t>
      </w:r>
    </w:p>
    <w:p w:rsidR="00AB4EF4" w:rsidRDefault="00AB4EF4">
      <w:pPr>
        <w:ind w:left="0"/>
        <w:jc w:val="center"/>
        <w:rPr>
          <w:rFonts w:ascii="Arial" w:hAnsi="Arial"/>
          <w:b/>
          <w:sz w:val="24"/>
        </w:rPr>
      </w:pPr>
    </w:p>
    <w:p w:rsidR="00AB4EF4" w:rsidRDefault="00AB4EF4">
      <w:pPr>
        <w:ind w:left="0"/>
        <w:jc w:val="center"/>
        <w:rPr>
          <w:rFonts w:ascii="Arial" w:hAnsi="Arial"/>
          <w:sz w:val="28"/>
        </w:rPr>
      </w:pPr>
      <w:r>
        <w:rPr>
          <w:rFonts w:ascii="Arial" w:hAnsi="Arial"/>
          <w:sz w:val="28"/>
        </w:rPr>
        <w:t>for the purposes of the</w:t>
      </w:r>
    </w:p>
    <w:p w:rsidR="00AB4EF4" w:rsidRDefault="00AB4EF4">
      <w:pPr>
        <w:ind w:left="0"/>
        <w:jc w:val="center"/>
        <w:rPr>
          <w:rFonts w:ascii="Arial" w:hAnsi="Arial"/>
          <w:b/>
          <w:sz w:val="24"/>
        </w:rPr>
      </w:pPr>
    </w:p>
    <w:p w:rsidR="00AB4EF4" w:rsidRDefault="00AB4EF4">
      <w:pPr>
        <w:ind w:left="0"/>
        <w:jc w:val="center"/>
        <w:outlineLvl w:val="0"/>
        <w:rPr>
          <w:rFonts w:ascii="Arial" w:hAnsi="Arial"/>
          <w:i/>
          <w:sz w:val="32"/>
        </w:rPr>
      </w:pPr>
      <w:r>
        <w:rPr>
          <w:rFonts w:ascii="Arial" w:hAnsi="Arial"/>
          <w:i/>
          <w:sz w:val="32"/>
        </w:rPr>
        <w:t>Veterans’ Entitlements Act 1986</w:t>
      </w:r>
    </w:p>
    <w:p w:rsidR="00AB4EF4" w:rsidRDefault="00AB4EF4">
      <w:pPr>
        <w:ind w:left="0"/>
        <w:jc w:val="center"/>
        <w:rPr>
          <w:rFonts w:ascii="Arial" w:hAnsi="Arial"/>
          <w:sz w:val="28"/>
        </w:rPr>
      </w:pPr>
      <w:r>
        <w:rPr>
          <w:rFonts w:ascii="Arial" w:hAnsi="Arial"/>
          <w:sz w:val="28"/>
        </w:rPr>
        <w:t>and</w:t>
      </w:r>
    </w:p>
    <w:p w:rsidR="00AB4EF4" w:rsidRDefault="00AB4EF4">
      <w:pPr>
        <w:ind w:left="0"/>
        <w:jc w:val="center"/>
        <w:rPr>
          <w:rFonts w:ascii="Arial" w:hAnsi="Arial"/>
          <w:sz w:val="32"/>
        </w:rPr>
      </w:pPr>
      <w:r>
        <w:rPr>
          <w:rFonts w:ascii="Arial" w:hAnsi="Arial"/>
          <w:i/>
          <w:sz w:val="32"/>
        </w:rPr>
        <w:t>Military Rehabilitation and Compensation Act 2004</w:t>
      </w:r>
    </w:p>
    <w:p w:rsidR="00AB4EF4" w:rsidRDefault="00AB4EF4">
      <w:pPr>
        <w:pStyle w:val="clauseheading"/>
      </w:pPr>
      <w:r>
        <w:t>Title</w:t>
      </w:r>
    </w:p>
    <w:p w:rsidR="00AB4EF4" w:rsidRDefault="00AB4EF4">
      <w:pPr>
        <w:ind w:hanging="720"/>
        <w:rPr>
          <w:sz w:val="24"/>
          <w:szCs w:val="24"/>
        </w:rPr>
      </w:pPr>
      <w:r>
        <w:rPr>
          <w:b/>
          <w:sz w:val="24"/>
          <w:szCs w:val="24"/>
        </w:rPr>
        <w:t>1.</w:t>
      </w:r>
      <w:r>
        <w:rPr>
          <w:sz w:val="24"/>
          <w:szCs w:val="24"/>
        </w:rPr>
        <w:tab/>
        <w:t xml:space="preserve">This Instrument may be cited as Statement of Principles concerning </w:t>
      </w:r>
      <w:r w:rsidR="00EC5AD8">
        <w:rPr>
          <w:sz w:val="24"/>
          <w:szCs w:val="24"/>
        </w:rPr>
        <w:t>hepatitis</w:t>
      </w:r>
      <w:r w:rsidR="00B331AF">
        <w:rPr>
          <w:sz w:val="24"/>
          <w:szCs w:val="24"/>
        </w:rPr>
        <w:t> </w:t>
      </w:r>
      <w:r w:rsidR="00EC5AD8">
        <w:rPr>
          <w:sz w:val="24"/>
          <w:szCs w:val="24"/>
        </w:rPr>
        <w:t>A</w:t>
      </w:r>
      <w:r>
        <w:rPr>
          <w:sz w:val="24"/>
          <w:szCs w:val="24"/>
        </w:rPr>
        <w:t xml:space="preserve"> No. </w:t>
      </w:r>
      <w:r w:rsidR="000E5E5E">
        <w:rPr>
          <w:sz w:val="24"/>
          <w:szCs w:val="24"/>
        </w:rPr>
        <w:t>63</w:t>
      </w:r>
      <w:r>
        <w:rPr>
          <w:sz w:val="24"/>
          <w:szCs w:val="24"/>
        </w:rPr>
        <w:t xml:space="preserve"> of </w:t>
      </w:r>
      <w:r w:rsidR="00230780">
        <w:rPr>
          <w:sz w:val="24"/>
          <w:szCs w:val="24"/>
        </w:rPr>
        <w:t>2015</w:t>
      </w:r>
      <w:r>
        <w:rPr>
          <w:sz w:val="24"/>
          <w:szCs w:val="24"/>
        </w:rPr>
        <w:t>.</w:t>
      </w:r>
    </w:p>
    <w:p w:rsidR="00AB4EF4" w:rsidRDefault="00AB4EF4">
      <w:pPr>
        <w:pStyle w:val="clauseheading"/>
      </w:pPr>
      <w:r>
        <w:t>Determination</w:t>
      </w:r>
    </w:p>
    <w:p w:rsidR="00AB4EF4" w:rsidRDefault="00AB4EF4">
      <w:pPr>
        <w:ind w:hanging="720"/>
        <w:rPr>
          <w:sz w:val="24"/>
          <w:szCs w:val="24"/>
        </w:rPr>
      </w:pPr>
      <w:r>
        <w:rPr>
          <w:b/>
          <w:sz w:val="24"/>
          <w:szCs w:val="24"/>
        </w:rPr>
        <w:t>2.</w:t>
      </w:r>
      <w:r>
        <w:rPr>
          <w:sz w:val="24"/>
          <w:szCs w:val="24"/>
        </w:rPr>
        <w:tab/>
        <w:t xml:space="preserve">The Repatriation Medical Authority under subsection </w:t>
      </w:r>
      <w:r>
        <w:rPr>
          <w:b/>
          <w:sz w:val="24"/>
          <w:szCs w:val="24"/>
        </w:rPr>
        <w:t>196B(2)</w:t>
      </w:r>
      <w:r>
        <w:rPr>
          <w:sz w:val="24"/>
          <w:szCs w:val="24"/>
        </w:rPr>
        <w:t xml:space="preserve"> and </w:t>
      </w:r>
      <w:r>
        <w:rPr>
          <w:b/>
          <w:sz w:val="24"/>
          <w:szCs w:val="24"/>
        </w:rPr>
        <w:t xml:space="preserve">(8) </w:t>
      </w:r>
      <w:r>
        <w:rPr>
          <w:sz w:val="24"/>
          <w:szCs w:val="24"/>
        </w:rPr>
        <w:t xml:space="preserve">of the </w:t>
      </w:r>
      <w:r>
        <w:rPr>
          <w:i/>
          <w:sz w:val="24"/>
          <w:szCs w:val="24"/>
        </w:rPr>
        <w:t>Veterans’ Entitlements Act 1986</w:t>
      </w:r>
      <w:r>
        <w:rPr>
          <w:sz w:val="24"/>
          <w:szCs w:val="24"/>
        </w:rPr>
        <w:t xml:space="preserve"> (the VEA):</w:t>
      </w:r>
    </w:p>
    <w:p w:rsidR="00AB4EF4" w:rsidRDefault="00AB4EF4">
      <w:pPr>
        <w:pStyle w:val="BodyTextIndent"/>
        <w:spacing w:before="120"/>
        <w:rPr>
          <w:sz w:val="24"/>
          <w:szCs w:val="24"/>
        </w:rPr>
      </w:pPr>
      <w:r>
        <w:rPr>
          <w:sz w:val="24"/>
          <w:szCs w:val="24"/>
        </w:rPr>
        <w:t>(a)</w:t>
      </w:r>
      <w:r>
        <w:rPr>
          <w:sz w:val="24"/>
          <w:szCs w:val="24"/>
        </w:rPr>
        <w:tab/>
        <w:t xml:space="preserve">revokes Instrument No. </w:t>
      </w:r>
      <w:r w:rsidR="000C688E">
        <w:rPr>
          <w:sz w:val="24"/>
          <w:szCs w:val="24"/>
        </w:rPr>
        <w:t>29</w:t>
      </w:r>
      <w:r>
        <w:rPr>
          <w:sz w:val="24"/>
          <w:szCs w:val="24"/>
        </w:rPr>
        <w:t xml:space="preserve"> of </w:t>
      </w:r>
      <w:r w:rsidR="00230780">
        <w:rPr>
          <w:sz w:val="24"/>
          <w:szCs w:val="24"/>
        </w:rPr>
        <w:t>2007</w:t>
      </w:r>
      <w:r>
        <w:rPr>
          <w:sz w:val="24"/>
          <w:szCs w:val="24"/>
        </w:rPr>
        <w:t xml:space="preserve"> concerning </w:t>
      </w:r>
      <w:r w:rsidR="00EC5AD8">
        <w:rPr>
          <w:sz w:val="24"/>
          <w:szCs w:val="24"/>
        </w:rPr>
        <w:t>hepatitis A</w:t>
      </w:r>
      <w:r>
        <w:rPr>
          <w:sz w:val="24"/>
          <w:szCs w:val="24"/>
        </w:rPr>
        <w:t>; and</w:t>
      </w:r>
    </w:p>
    <w:p w:rsidR="00AB4EF4" w:rsidRDefault="00AB4EF4">
      <w:pPr>
        <w:pStyle w:val="BodyTextIndent"/>
        <w:spacing w:before="120"/>
        <w:rPr>
          <w:sz w:val="24"/>
          <w:szCs w:val="24"/>
        </w:rPr>
      </w:pPr>
      <w:r>
        <w:rPr>
          <w:sz w:val="24"/>
          <w:szCs w:val="24"/>
        </w:rPr>
        <w:t>(b)</w:t>
      </w:r>
      <w:r>
        <w:rPr>
          <w:sz w:val="24"/>
          <w:szCs w:val="24"/>
        </w:rPr>
        <w:tab/>
        <w:t>determines in its place this Statement of Principles.</w:t>
      </w:r>
    </w:p>
    <w:p w:rsidR="00AB4EF4" w:rsidRDefault="00AB4EF4">
      <w:pPr>
        <w:pStyle w:val="clauseheading"/>
      </w:pPr>
      <w:r>
        <w:t>Kind of injury, disease or death</w:t>
      </w:r>
    </w:p>
    <w:p w:rsidR="00AB4EF4" w:rsidRPr="00230780" w:rsidRDefault="00AB4EF4">
      <w:pPr>
        <w:tabs>
          <w:tab w:val="left" w:pos="709"/>
        </w:tabs>
        <w:spacing w:after="120" w:line="240" w:lineRule="auto"/>
        <w:ind w:left="1440" w:hanging="1440"/>
        <w:rPr>
          <w:sz w:val="24"/>
          <w:szCs w:val="24"/>
        </w:rPr>
      </w:pPr>
      <w:r>
        <w:rPr>
          <w:b/>
          <w:sz w:val="24"/>
          <w:szCs w:val="24"/>
        </w:rPr>
        <w:t>3.</w:t>
      </w:r>
      <w:r>
        <w:rPr>
          <w:sz w:val="24"/>
          <w:szCs w:val="24"/>
        </w:rPr>
        <w:tab/>
        <w:t>(a)</w:t>
      </w:r>
      <w:r>
        <w:rPr>
          <w:sz w:val="24"/>
          <w:szCs w:val="24"/>
        </w:rPr>
        <w:tab/>
      </w:r>
      <w:r w:rsidRPr="00230780">
        <w:rPr>
          <w:sz w:val="24"/>
          <w:szCs w:val="24"/>
        </w:rPr>
        <w:t xml:space="preserve">This Statement of Principles is about </w:t>
      </w:r>
      <w:r w:rsidR="00EC5AD8">
        <w:rPr>
          <w:b/>
          <w:sz w:val="24"/>
          <w:szCs w:val="24"/>
        </w:rPr>
        <w:t>hepatitis A</w:t>
      </w:r>
      <w:r w:rsidRPr="00230780">
        <w:rPr>
          <w:b/>
          <w:sz w:val="24"/>
          <w:szCs w:val="24"/>
        </w:rPr>
        <w:t xml:space="preserve"> </w:t>
      </w:r>
      <w:r w:rsidRPr="00230780">
        <w:rPr>
          <w:sz w:val="24"/>
          <w:szCs w:val="24"/>
        </w:rPr>
        <w:t xml:space="preserve">and </w:t>
      </w:r>
      <w:r w:rsidRPr="00230780">
        <w:rPr>
          <w:b/>
          <w:sz w:val="24"/>
          <w:szCs w:val="24"/>
        </w:rPr>
        <w:t xml:space="preserve">death from </w:t>
      </w:r>
      <w:r w:rsidR="00EC5AD8">
        <w:rPr>
          <w:b/>
          <w:sz w:val="24"/>
          <w:szCs w:val="24"/>
        </w:rPr>
        <w:t>hepatitis A</w:t>
      </w:r>
      <w:r w:rsidRPr="00230780">
        <w:rPr>
          <w:sz w:val="24"/>
          <w:szCs w:val="24"/>
        </w:rPr>
        <w:t>.</w:t>
      </w:r>
    </w:p>
    <w:p w:rsidR="00AB4EF4" w:rsidRPr="00EC5AD8" w:rsidRDefault="00AB4EF4">
      <w:pPr>
        <w:numPr>
          <w:ilvl w:val="0"/>
          <w:numId w:val="2"/>
        </w:numPr>
        <w:spacing w:after="120" w:line="240" w:lineRule="auto"/>
        <w:rPr>
          <w:sz w:val="24"/>
          <w:szCs w:val="24"/>
        </w:rPr>
      </w:pPr>
      <w:r w:rsidRPr="00EC5AD8">
        <w:rPr>
          <w:sz w:val="24"/>
          <w:szCs w:val="24"/>
        </w:rPr>
        <w:t xml:space="preserve">For the purposes of this Statement of Principles, </w:t>
      </w:r>
      <w:r w:rsidRPr="00EC5AD8">
        <w:rPr>
          <w:b/>
          <w:sz w:val="24"/>
          <w:szCs w:val="24"/>
        </w:rPr>
        <w:t>"</w:t>
      </w:r>
      <w:r w:rsidR="00EC5AD8" w:rsidRPr="00EC5AD8">
        <w:rPr>
          <w:b/>
          <w:sz w:val="24"/>
          <w:szCs w:val="24"/>
        </w:rPr>
        <w:t>hepatitis A</w:t>
      </w:r>
      <w:r w:rsidRPr="00EC5AD8">
        <w:rPr>
          <w:b/>
          <w:sz w:val="24"/>
          <w:szCs w:val="24"/>
        </w:rPr>
        <w:t>"</w:t>
      </w:r>
      <w:r w:rsidRPr="00EC5AD8">
        <w:rPr>
          <w:sz w:val="24"/>
          <w:szCs w:val="24"/>
        </w:rPr>
        <w:t xml:space="preserve"> means </w:t>
      </w:r>
      <w:r w:rsidR="00EC5AD8" w:rsidRPr="00EC5AD8">
        <w:rPr>
          <w:sz w:val="24"/>
          <w:szCs w:val="24"/>
        </w:rPr>
        <w:t>a symptomatic, clinical illness due to infection with the hepatitis A virus.  This infection is characterised by inflammation of the liver, commonly accompanied by fever, tiredness, loss of appetite, nausea, vomiting, abdominal discomfort and jaundice.</w:t>
      </w:r>
    </w:p>
    <w:p w:rsidR="00AB4EF4" w:rsidRPr="00EC5AD8" w:rsidRDefault="00EC5AD8">
      <w:pPr>
        <w:numPr>
          <w:ilvl w:val="0"/>
          <w:numId w:val="2"/>
        </w:numPr>
        <w:spacing w:after="120" w:line="240" w:lineRule="auto"/>
        <w:rPr>
          <w:sz w:val="24"/>
          <w:szCs w:val="24"/>
        </w:rPr>
      </w:pPr>
      <w:r w:rsidRPr="00EC5AD8">
        <w:rPr>
          <w:sz w:val="24"/>
          <w:szCs w:val="24"/>
        </w:rPr>
        <w:t>Hepatitis A</w:t>
      </w:r>
      <w:r w:rsidR="00AB4EF4" w:rsidRPr="00EC5AD8">
        <w:rPr>
          <w:sz w:val="24"/>
          <w:szCs w:val="24"/>
        </w:rPr>
        <w:t xml:space="preserve"> attracts ICD-10-AM code </w:t>
      </w:r>
      <w:r w:rsidRPr="00EC5AD8">
        <w:rPr>
          <w:sz w:val="24"/>
          <w:szCs w:val="24"/>
        </w:rPr>
        <w:t>B15</w:t>
      </w:r>
      <w:r w:rsidR="00AB4EF4" w:rsidRPr="00EC5AD8">
        <w:rPr>
          <w:sz w:val="24"/>
          <w:szCs w:val="24"/>
        </w:rPr>
        <w:t>.</w:t>
      </w:r>
    </w:p>
    <w:p w:rsidR="00AB4EF4" w:rsidRPr="00230780" w:rsidRDefault="00AB4EF4">
      <w:pPr>
        <w:numPr>
          <w:ilvl w:val="0"/>
          <w:numId w:val="6"/>
        </w:numPr>
        <w:spacing w:line="240" w:lineRule="auto"/>
        <w:rPr>
          <w:sz w:val="24"/>
          <w:szCs w:val="24"/>
        </w:rPr>
      </w:pPr>
      <w:r w:rsidRPr="00230780">
        <w:rPr>
          <w:sz w:val="24"/>
          <w:szCs w:val="24"/>
        </w:rPr>
        <w:t xml:space="preserve">In the application of this Statement of Principles, the definition of </w:t>
      </w:r>
      <w:r w:rsidRPr="00230780">
        <w:rPr>
          <w:b/>
          <w:sz w:val="24"/>
          <w:szCs w:val="24"/>
        </w:rPr>
        <w:t>"</w:t>
      </w:r>
      <w:r w:rsidR="00EC5AD8">
        <w:rPr>
          <w:b/>
          <w:sz w:val="24"/>
          <w:szCs w:val="24"/>
        </w:rPr>
        <w:t>hepatitis A</w:t>
      </w:r>
      <w:r w:rsidRPr="00230780">
        <w:rPr>
          <w:b/>
          <w:sz w:val="24"/>
          <w:szCs w:val="24"/>
        </w:rPr>
        <w:t xml:space="preserve">" </w:t>
      </w:r>
      <w:r w:rsidRPr="00230780">
        <w:rPr>
          <w:sz w:val="24"/>
          <w:szCs w:val="24"/>
        </w:rPr>
        <w:t>is that given at paragraph 3(b) above.</w:t>
      </w:r>
    </w:p>
    <w:p w:rsidR="00AB4EF4" w:rsidRDefault="00AB4EF4">
      <w:pPr>
        <w:pStyle w:val="clauseheading"/>
      </w:pPr>
      <w:r>
        <w:lastRenderedPageBreak/>
        <w:t>Basis for determining the factors</w:t>
      </w:r>
    </w:p>
    <w:p w:rsidR="00AB4EF4" w:rsidRDefault="00AB4EF4">
      <w:pPr>
        <w:ind w:hanging="720"/>
        <w:rPr>
          <w:sz w:val="24"/>
          <w:szCs w:val="24"/>
        </w:rPr>
      </w:pPr>
      <w:r>
        <w:rPr>
          <w:b/>
          <w:sz w:val="24"/>
          <w:szCs w:val="24"/>
        </w:rPr>
        <w:t>4.</w:t>
      </w:r>
      <w:r>
        <w:rPr>
          <w:sz w:val="24"/>
          <w:szCs w:val="24"/>
        </w:rPr>
        <w:tab/>
        <w:t xml:space="preserve">The Repatriation Medical Authority is of the view that there is sound medical-scientific evidence that indicates that </w:t>
      </w:r>
      <w:r w:rsidR="00EC5AD8">
        <w:rPr>
          <w:b/>
          <w:sz w:val="24"/>
          <w:szCs w:val="24"/>
        </w:rPr>
        <w:t>hepatitis A</w:t>
      </w:r>
      <w:r>
        <w:rPr>
          <w:b/>
          <w:sz w:val="24"/>
          <w:szCs w:val="24"/>
        </w:rPr>
        <w:t xml:space="preserve"> </w:t>
      </w:r>
      <w:r>
        <w:rPr>
          <w:sz w:val="24"/>
          <w:szCs w:val="24"/>
        </w:rPr>
        <w:t>and</w:t>
      </w:r>
      <w:r>
        <w:rPr>
          <w:b/>
          <w:sz w:val="24"/>
          <w:szCs w:val="24"/>
        </w:rPr>
        <w:t xml:space="preserve"> death from </w:t>
      </w:r>
      <w:r w:rsidR="00EC5AD8">
        <w:rPr>
          <w:b/>
          <w:sz w:val="24"/>
          <w:szCs w:val="24"/>
        </w:rPr>
        <w:t>hepatitis A</w:t>
      </w:r>
      <w:r>
        <w:rPr>
          <w:b/>
          <w:sz w:val="24"/>
          <w:szCs w:val="24"/>
        </w:rPr>
        <w:t xml:space="preserve"> </w:t>
      </w:r>
      <w:r>
        <w:rPr>
          <w:sz w:val="24"/>
          <w:szCs w:val="24"/>
        </w:rPr>
        <w:t xml:space="preserve">can be related to relevant service rendered by veterans, members of Peacekeeping Forces, or members of the Forces under the VEA, or members under the </w:t>
      </w:r>
      <w:r>
        <w:rPr>
          <w:i/>
          <w:sz w:val="24"/>
          <w:szCs w:val="24"/>
        </w:rPr>
        <w:t>Military Rehabilitation and Compensation Act 2004</w:t>
      </w:r>
      <w:r>
        <w:rPr>
          <w:sz w:val="24"/>
          <w:szCs w:val="24"/>
        </w:rPr>
        <w:t xml:space="preserve"> (the MRCA).</w:t>
      </w:r>
    </w:p>
    <w:p w:rsidR="00AB4EF4" w:rsidRDefault="00AB4EF4">
      <w:pPr>
        <w:pStyle w:val="clauseheading"/>
      </w:pPr>
      <w:r>
        <w:t>Factors that must be related to service</w:t>
      </w:r>
    </w:p>
    <w:p w:rsidR="00AB4EF4" w:rsidRDefault="00AB4EF4">
      <w:pPr>
        <w:ind w:hanging="720"/>
        <w:rPr>
          <w:sz w:val="24"/>
          <w:szCs w:val="24"/>
        </w:rPr>
      </w:pPr>
      <w:r>
        <w:rPr>
          <w:b/>
          <w:sz w:val="24"/>
          <w:szCs w:val="24"/>
        </w:rPr>
        <w:t>5.</w:t>
      </w:r>
      <w:r>
        <w:rPr>
          <w:sz w:val="24"/>
          <w:szCs w:val="24"/>
        </w:rPr>
        <w:tab/>
        <w:t>Subject to clause 7, at least one of the factors set out in clause 6 must be related to the relevant service rendered by the person.</w:t>
      </w:r>
    </w:p>
    <w:p w:rsidR="00AB4EF4" w:rsidRDefault="00AB4EF4">
      <w:pPr>
        <w:pStyle w:val="clauseheading"/>
      </w:pPr>
      <w:r>
        <w:t>Factors</w:t>
      </w:r>
    </w:p>
    <w:p w:rsidR="00AB4EF4" w:rsidRDefault="00AB4EF4">
      <w:pPr>
        <w:spacing w:after="120" w:line="240" w:lineRule="auto"/>
        <w:ind w:hanging="720"/>
        <w:rPr>
          <w:sz w:val="24"/>
          <w:szCs w:val="24"/>
        </w:rPr>
      </w:pPr>
      <w:r>
        <w:rPr>
          <w:b/>
          <w:sz w:val="24"/>
          <w:szCs w:val="24"/>
        </w:rPr>
        <w:t>6.</w:t>
      </w:r>
      <w:r>
        <w:rPr>
          <w:sz w:val="24"/>
          <w:szCs w:val="24"/>
        </w:rPr>
        <w:tab/>
        <w:t xml:space="preserve">The factor that must as a minimum exist before it can be said that a reasonable hypothesis has been raised connecting </w:t>
      </w:r>
      <w:r w:rsidR="00EC5AD8">
        <w:rPr>
          <w:b/>
          <w:sz w:val="24"/>
          <w:szCs w:val="24"/>
        </w:rPr>
        <w:t>hepatitis A</w:t>
      </w:r>
      <w:r>
        <w:rPr>
          <w:b/>
          <w:sz w:val="24"/>
          <w:szCs w:val="24"/>
        </w:rPr>
        <w:t xml:space="preserve"> </w:t>
      </w:r>
      <w:r>
        <w:rPr>
          <w:sz w:val="24"/>
          <w:szCs w:val="24"/>
        </w:rPr>
        <w:t>or</w:t>
      </w:r>
      <w:r>
        <w:rPr>
          <w:b/>
          <w:sz w:val="24"/>
          <w:szCs w:val="24"/>
        </w:rPr>
        <w:t xml:space="preserve"> death from </w:t>
      </w:r>
      <w:r w:rsidR="00EC5AD8">
        <w:rPr>
          <w:b/>
          <w:sz w:val="24"/>
          <w:szCs w:val="24"/>
        </w:rPr>
        <w:t>hepatitis A</w:t>
      </w:r>
      <w:r>
        <w:rPr>
          <w:b/>
          <w:sz w:val="24"/>
          <w:szCs w:val="24"/>
        </w:rPr>
        <w:t xml:space="preserve"> </w:t>
      </w:r>
      <w:r>
        <w:rPr>
          <w:sz w:val="24"/>
          <w:szCs w:val="24"/>
        </w:rPr>
        <w:t>with the circumstances of a person’s relevant service is:</w:t>
      </w:r>
    </w:p>
    <w:p w:rsidR="00AB4EF4" w:rsidRPr="00EC5AD8" w:rsidRDefault="00EC5AD8">
      <w:pPr>
        <w:numPr>
          <w:ilvl w:val="0"/>
          <w:numId w:val="4"/>
        </w:numPr>
        <w:spacing w:after="120" w:line="240" w:lineRule="auto"/>
        <w:rPr>
          <w:sz w:val="24"/>
          <w:szCs w:val="24"/>
          <w:lang w:val="en-US"/>
        </w:rPr>
      </w:pPr>
      <w:r w:rsidRPr="00EC5AD8">
        <w:rPr>
          <w:sz w:val="24"/>
          <w:szCs w:val="24"/>
          <w:lang w:val="en-US"/>
        </w:rPr>
        <w:t>being exposed to the hepatitis A virus between 15 and 50 days before the clinical onset of hepatitis A; or</w:t>
      </w:r>
    </w:p>
    <w:p w:rsidR="00AB4EF4" w:rsidRDefault="00AB4EF4">
      <w:pPr>
        <w:numPr>
          <w:ilvl w:val="0"/>
          <w:numId w:val="4"/>
        </w:numPr>
        <w:spacing w:line="240" w:lineRule="auto"/>
        <w:rPr>
          <w:sz w:val="24"/>
          <w:szCs w:val="24"/>
        </w:rPr>
      </w:pPr>
      <w:r>
        <w:rPr>
          <w:sz w:val="24"/>
          <w:szCs w:val="24"/>
        </w:rPr>
        <w:t xml:space="preserve">inability to obtain appropriate clinical management for </w:t>
      </w:r>
      <w:r w:rsidR="00EC5AD8">
        <w:rPr>
          <w:sz w:val="24"/>
          <w:szCs w:val="24"/>
        </w:rPr>
        <w:t>hepatitis A</w:t>
      </w:r>
      <w:r>
        <w:rPr>
          <w:sz w:val="24"/>
          <w:szCs w:val="24"/>
        </w:rPr>
        <w:t>.</w:t>
      </w:r>
    </w:p>
    <w:p w:rsidR="00AB4EF4" w:rsidRDefault="00AB4EF4">
      <w:pPr>
        <w:pStyle w:val="clauseheading"/>
      </w:pPr>
      <w:r>
        <w:t>Factors that apply only to material contribution or aggravation</w:t>
      </w:r>
    </w:p>
    <w:p w:rsidR="00AB4EF4" w:rsidRDefault="00AB4EF4">
      <w:pPr>
        <w:ind w:hanging="720"/>
        <w:rPr>
          <w:sz w:val="24"/>
          <w:szCs w:val="24"/>
        </w:rPr>
      </w:pPr>
      <w:r>
        <w:rPr>
          <w:b/>
          <w:sz w:val="24"/>
          <w:szCs w:val="24"/>
        </w:rPr>
        <w:t>7.</w:t>
      </w:r>
      <w:r>
        <w:rPr>
          <w:sz w:val="24"/>
          <w:szCs w:val="24"/>
        </w:rPr>
        <w:tab/>
        <w:t xml:space="preserve">Paragraph </w:t>
      </w:r>
      <w:r>
        <w:rPr>
          <w:b/>
          <w:sz w:val="24"/>
          <w:szCs w:val="24"/>
        </w:rPr>
        <w:t>6(</w:t>
      </w:r>
      <w:r w:rsidR="00230780">
        <w:rPr>
          <w:b/>
          <w:sz w:val="24"/>
          <w:szCs w:val="24"/>
        </w:rPr>
        <w:t>b</w:t>
      </w:r>
      <w:r>
        <w:rPr>
          <w:b/>
          <w:sz w:val="24"/>
          <w:szCs w:val="24"/>
        </w:rPr>
        <w:t xml:space="preserve">) </w:t>
      </w:r>
      <w:r>
        <w:rPr>
          <w:sz w:val="24"/>
          <w:szCs w:val="24"/>
        </w:rPr>
        <w:t xml:space="preserve">applies only to material contribution to, or aggravation of, </w:t>
      </w:r>
      <w:r w:rsidR="00EC5AD8">
        <w:rPr>
          <w:sz w:val="24"/>
          <w:szCs w:val="24"/>
        </w:rPr>
        <w:t>hepatitis A</w:t>
      </w:r>
      <w:r>
        <w:rPr>
          <w:sz w:val="24"/>
          <w:szCs w:val="24"/>
        </w:rPr>
        <w:t xml:space="preserve"> where the person’s </w:t>
      </w:r>
      <w:r w:rsidR="00EC5AD8">
        <w:rPr>
          <w:sz w:val="24"/>
          <w:szCs w:val="24"/>
        </w:rPr>
        <w:t>hepatitis A</w:t>
      </w:r>
      <w:r>
        <w:rPr>
          <w:sz w:val="24"/>
          <w:szCs w:val="24"/>
        </w:rPr>
        <w:t xml:space="preserve"> was suffered or contracted before or during (but not arising out of) the person’s relevant service.</w:t>
      </w:r>
    </w:p>
    <w:p w:rsidR="00AB4EF4" w:rsidRDefault="00AB4EF4">
      <w:pPr>
        <w:pStyle w:val="clauseheading"/>
      </w:pPr>
      <w:r>
        <w:t>Inclusion of Statements of Principles</w:t>
      </w:r>
    </w:p>
    <w:p w:rsidR="00AB4EF4" w:rsidRDefault="00AB4EF4">
      <w:pPr>
        <w:ind w:hanging="720"/>
        <w:rPr>
          <w:sz w:val="24"/>
          <w:szCs w:val="24"/>
        </w:rPr>
      </w:pPr>
      <w:r>
        <w:rPr>
          <w:b/>
          <w:sz w:val="24"/>
          <w:szCs w:val="24"/>
        </w:rPr>
        <w:t>8.</w:t>
      </w:r>
      <w:r>
        <w:rPr>
          <w:sz w:val="24"/>
          <w:szCs w:val="24"/>
        </w:rPr>
        <w:tab/>
        <w:t>In this Statement of Principles if a relevant factor applies and that factor includes an injury or disease in respect of which there is a Statement of Principles then the factors in that last mentioned Statement of Principles apply in accordance with the terms of that Statement of Principles as in force from time to time.</w:t>
      </w:r>
    </w:p>
    <w:p w:rsidR="00AB4EF4" w:rsidRDefault="00AB4EF4">
      <w:pPr>
        <w:pStyle w:val="clauseheading"/>
      </w:pPr>
      <w:r>
        <w:t>Other definitions</w:t>
      </w:r>
    </w:p>
    <w:p w:rsidR="00AB4EF4" w:rsidRDefault="00AB4EF4">
      <w:pPr>
        <w:spacing w:after="120" w:line="240" w:lineRule="auto"/>
        <w:ind w:left="0"/>
        <w:rPr>
          <w:sz w:val="24"/>
          <w:szCs w:val="24"/>
        </w:rPr>
      </w:pPr>
      <w:r>
        <w:rPr>
          <w:b/>
          <w:sz w:val="24"/>
          <w:szCs w:val="24"/>
        </w:rPr>
        <w:t>9.</w:t>
      </w:r>
      <w:r>
        <w:rPr>
          <w:sz w:val="24"/>
          <w:szCs w:val="24"/>
        </w:rPr>
        <w:tab/>
        <w:t>For the purposes of this Statement of Principles:</w:t>
      </w:r>
    </w:p>
    <w:p w:rsidR="0059446F" w:rsidRPr="0059446F" w:rsidRDefault="0059446F" w:rsidP="0038527E">
      <w:pPr>
        <w:autoSpaceDE w:val="0"/>
        <w:autoSpaceDN w:val="0"/>
        <w:adjustRightInd w:val="0"/>
        <w:spacing w:after="60"/>
        <w:rPr>
          <w:sz w:val="24"/>
          <w:szCs w:val="24"/>
        </w:rPr>
      </w:pPr>
      <w:r w:rsidRPr="0059446F">
        <w:rPr>
          <w:b/>
          <w:bCs/>
          <w:sz w:val="24"/>
          <w:szCs w:val="24"/>
        </w:rPr>
        <w:t xml:space="preserve">"being exposed to </w:t>
      </w:r>
      <w:r w:rsidRPr="0059446F">
        <w:rPr>
          <w:b/>
          <w:sz w:val="24"/>
          <w:szCs w:val="24"/>
          <w:lang w:val="en-US"/>
        </w:rPr>
        <w:t>the hepatitis A virus</w:t>
      </w:r>
      <w:r w:rsidRPr="0059446F">
        <w:rPr>
          <w:b/>
          <w:sz w:val="24"/>
          <w:szCs w:val="24"/>
        </w:rPr>
        <w:t>"</w:t>
      </w:r>
      <w:r w:rsidRPr="0059446F">
        <w:rPr>
          <w:sz w:val="24"/>
          <w:szCs w:val="24"/>
        </w:rPr>
        <w:t xml:space="preserve"> means:</w:t>
      </w:r>
    </w:p>
    <w:p w:rsidR="0059446F" w:rsidRPr="0059446F" w:rsidRDefault="0059446F" w:rsidP="0038527E">
      <w:pPr>
        <w:numPr>
          <w:ilvl w:val="0"/>
          <w:numId w:val="16"/>
        </w:numPr>
        <w:tabs>
          <w:tab w:val="clear" w:pos="1080"/>
        </w:tabs>
        <w:spacing w:line="240" w:lineRule="auto"/>
        <w:ind w:left="1418" w:hanging="698"/>
        <w:rPr>
          <w:i/>
          <w:sz w:val="24"/>
          <w:szCs w:val="24"/>
          <w:lang w:val="en-US"/>
        </w:rPr>
      </w:pPr>
      <w:r w:rsidRPr="0059446F">
        <w:rPr>
          <w:sz w:val="24"/>
          <w:szCs w:val="24"/>
          <w:lang w:val="en-US"/>
        </w:rPr>
        <w:t>being in the same household or immediate work environment as a person infected with the hepatitis A virus;</w:t>
      </w:r>
    </w:p>
    <w:p w:rsidR="0059446F" w:rsidRPr="0059446F" w:rsidRDefault="0059446F" w:rsidP="0038527E">
      <w:pPr>
        <w:numPr>
          <w:ilvl w:val="0"/>
          <w:numId w:val="16"/>
        </w:numPr>
        <w:tabs>
          <w:tab w:val="clear" w:pos="1080"/>
        </w:tabs>
        <w:spacing w:line="240" w:lineRule="auto"/>
        <w:ind w:left="1418" w:hanging="698"/>
        <w:rPr>
          <w:sz w:val="24"/>
          <w:szCs w:val="24"/>
        </w:rPr>
      </w:pPr>
      <w:r w:rsidRPr="0059446F">
        <w:rPr>
          <w:sz w:val="24"/>
          <w:szCs w:val="24"/>
        </w:rPr>
        <w:t xml:space="preserve">consuming water or food contaminated with the </w:t>
      </w:r>
      <w:r w:rsidRPr="0059446F">
        <w:rPr>
          <w:sz w:val="24"/>
          <w:szCs w:val="24"/>
          <w:lang w:val="en-US"/>
        </w:rPr>
        <w:t>hepatitis A virus</w:t>
      </w:r>
      <w:r w:rsidRPr="0059446F">
        <w:rPr>
          <w:sz w:val="24"/>
          <w:szCs w:val="24"/>
        </w:rPr>
        <w:t>;</w:t>
      </w:r>
    </w:p>
    <w:p w:rsidR="0059446F" w:rsidRPr="0059446F" w:rsidRDefault="0059446F" w:rsidP="0038527E">
      <w:pPr>
        <w:numPr>
          <w:ilvl w:val="0"/>
          <w:numId w:val="16"/>
        </w:numPr>
        <w:tabs>
          <w:tab w:val="clear" w:pos="1080"/>
        </w:tabs>
        <w:spacing w:line="240" w:lineRule="auto"/>
        <w:ind w:left="1418" w:hanging="698"/>
        <w:rPr>
          <w:i/>
          <w:sz w:val="24"/>
          <w:szCs w:val="24"/>
          <w:lang w:val="en-US"/>
        </w:rPr>
      </w:pPr>
      <w:r w:rsidRPr="0059446F">
        <w:rPr>
          <w:sz w:val="24"/>
          <w:szCs w:val="24"/>
          <w:lang w:val="en-US"/>
        </w:rPr>
        <w:t xml:space="preserve">having direct contact with human or primate </w:t>
      </w:r>
      <w:r w:rsidRPr="0059446F">
        <w:rPr>
          <w:sz w:val="24"/>
          <w:szCs w:val="24"/>
        </w:rPr>
        <w:t xml:space="preserve">faecal material </w:t>
      </w:r>
      <w:r w:rsidRPr="0059446F">
        <w:rPr>
          <w:sz w:val="24"/>
          <w:szCs w:val="24"/>
          <w:lang w:val="en-US"/>
        </w:rPr>
        <w:t>contaminated with the hepatitis A virus</w:t>
      </w:r>
      <w:r w:rsidRPr="0059446F">
        <w:rPr>
          <w:sz w:val="24"/>
          <w:szCs w:val="24"/>
        </w:rPr>
        <w:t>;</w:t>
      </w:r>
    </w:p>
    <w:p w:rsidR="0059446F" w:rsidRPr="0059446F" w:rsidRDefault="0059446F" w:rsidP="0038527E">
      <w:pPr>
        <w:numPr>
          <w:ilvl w:val="0"/>
          <w:numId w:val="16"/>
        </w:numPr>
        <w:tabs>
          <w:tab w:val="clear" w:pos="1080"/>
        </w:tabs>
        <w:spacing w:line="240" w:lineRule="auto"/>
        <w:ind w:left="1418" w:hanging="698"/>
        <w:rPr>
          <w:i/>
          <w:sz w:val="24"/>
          <w:szCs w:val="24"/>
          <w:lang w:val="en-US"/>
        </w:rPr>
      </w:pPr>
      <w:r w:rsidRPr="0059446F">
        <w:rPr>
          <w:sz w:val="24"/>
          <w:szCs w:val="24"/>
        </w:rPr>
        <w:t>having direct physical contact with a human or a primate infected</w:t>
      </w:r>
      <w:r w:rsidRPr="0059446F">
        <w:rPr>
          <w:sz w:val="24"/>
          <w:szCs w:val="24"/>
          <w:lang w:val="en-US"/>
        </w:rPr>
        <w:t xml:space="preserve"> </w:t>
      </w:r>
      <w:r w:rsidRPr="0059446F">
        <w:rPr>
          <w:sz w:val="24"/>
          <w:szCs w:val="24"/>
        </w:rPr>
        <w:t>with the hepatitis A virus</w:t>
      </w:r>
      <w:r w:rsidRPr="0059446F">
        <w:rPr>
          <w:sz w:val="24"/>
          <w:szCs w:val="24"/>
          <w:lang w:val="en-US"/>
        </w:rPr>
        <w:t>;</w:t>
      </w:r>
    </w:p>
    <w:p w:rsidR="0059446F" w:rsidRPr="0059446F" w:rsidRDefault="0059446F" w:rsidP="0038527E">
      <w:pPr>
        <w:numPr>
          <w:ilvl w:val="0"/>
          <w:numId w:val="16"/>
        </w:numPr>
        <w:tabs>
          <w:tab w:val="clear" w:pos="1080"/>
        </w:tabs>
        <w:spacing w:line="240" w:lineRule="auto"/>
        <w:ind w:left="1418" w:hanging="698"/>
        <w:rPr>
          <w:sz w:val="24"/>
          <w:szCs w:val="24"/>
        </w:rPr>
      </w:pPr>
      <w:r w:rsidRPr="0059446F">
        <w:rPr>
          <w:sz w:val="24"/>
          <w:szCs w:val="24"/>
        </w:rPr>
        <w:t xml:space="preserve">having percutaneous exposure to blood or body fluids </w:t>
      </w:r>
      <w:r w:rsidRPr="0059446F">
        <w:rPr>
          <w:sz w:val="24"/>
          <w:szCs w:val="24"/>
          <w:lang w:val="en-US"/>
        </w:rPr>
        <w:t xml:space="preserve">contaminated </w:t>
      </w:r>
      <w:r w:rsidRPr="0059446F">
        <w:rPr>
          <w:sz w:val="24"/>
          <w:szCs w:val="24"/>
        </w:rPr>
        <w:t xml:space="preserve">with the </w:t>
      </w:r>
      <w:r w:rsidRPr="0059446F">
        <w:rPr>
          <w:sz w:val="24"/>
          <w:szCs w:val="24"/>
          <w:lang w:val="en-US"/>
        </w:rPr>
        <w:t>hepatitis A virus</w:t>
      </w:r>
      <w:r w:rsidRPr="0059446F">
        <w:rPr>
          <w:sz w:val="24"/>
          <w:szCs w:val="24"/>
        </w:rPr>
        <w:t>;</w:t>
      </w:r>
      <w:r w:rsidR="0038527E">
        <w:rPr>
          <w:sz w:val="24"/>
          <w:szCs w:val="24"/>
        </w:rPr>
        <w:t xml:space="preserve"> or</w:t>
      </w:r>
    </w:p>
    <w:p w:rsidR="0059446F" w:rsidRPr="0059446F" w:rsidRDefault="0059446F" w:rsidP="0038527E">
      <w:pPr>
        <w:numPr>
          <w:ilvl w:val="0"/>
          <w:numId w:val="16"/>
        </w:numPr>
        <w:tabs>
          <w:tab w:val="clear" w:pos="1080"/>
        </w:tabs>
        <w:spacing w:after="120" w:line="240" w:lineRule="auto"/>
        <w:ind w:left="1417" w:hanging="697"/>
        <w:rPr>
          <w:sz w:val="24"/>
          <w:szCs w:val="24"/>
        </w:rPr>
      </w:pPr>
      <w:r w:rsidRPr="0059446F">
        <w:rPr>
          <w:sz w:val="24"/>
          <w:szCs w:val="24"/>
          <w:lang w:val="en-US"/>
        </w:rPr>
        <w:t>receiving a transfusion of blood or blood products contaminated with the hepatitis A virus</w:t>
      </w:r>
      <w:r w:rsidRPr="0059446F">
        <w:rPr>
          <w:sz w:val="24"/>
          <w:szCs w:val="24"/>
        </w:rPr>
        <w:t xml:space="preserve">; </w:t>
      </w:r>
    </w:p>
    <w:p w:rsidR="00AB4EF4" w:rsidRDefault="00AB4EF4" w:rsidP="0038527E">
      <w:pPr>
        <w:tabs>
          <w:tab w:val="num" w:pos="709"/>
        </w:tabs>
        <w:spacing w:after="120" w:line="240" w:lineRule="auto"/>
        <w:ind w:left="709"/>
        <w:rPr>
          <w:sz w:val="24"/>
          <w:szCs w:val="24"/>
        </w:rPr>
      </w:pPr>
      <w:r>
        <w:rPr>
          <w:b/>
          <w:sz w:val="24"/>
          <w:szCs w:val="24"/>
        </w:rPr>
        <w:lastRenderedPageBreak/>
        <w:t xml:space="preserve">"death from </w:t>
      </w:r>
      <w:r w:rsidR="00EC5AD8">
        <w:rPr>
          <w:b/>
          <w:sz w:val="24"/>
          <w:szCs w:val="24"/>
        </w:rPr>
        <w:t>hepatitis A</w:t>
      </w:r>
      <w:r>
        <w:rPr>
          <w:b/>
          <w:sz w:val="24"/>
          <w:szCs w:val="24"/>
        </w:rPr>
        <w:t xml:space="preserve">" </w:t>
      </w:r>
      <w:r>
        <w:rPr>
          <w:sz w:val="24"/>
          <w:szCs w:val="24"/>
        </w:rPr>
        <w:t xml:space="preserve">in relation to a person includes death from a terminal event or condition that was contributed to by the person’s </w:t>
      </w:r>
      <w:r w:rsidR="00EC5AD8">
        <w:rPr>
          <w:sz w:val="24"/>
          <w:szCs w:val="24"/>
        </w:rPr>
        <w:t>hepatitis A</w:t>
      </w:r>
      <w:r>
        <w:rPr>
          <w:sz w:val="24"/>
          <w:szCs w:val="24"/>
        </w:rPr>
        <w:t>;</w:t>
      </w:r>
    </w:p>
    <w:p w:rsidR="00AB4EF4" w:rsidRDefault="00AB4EF4" w:rsidP="0038527E">
      <w:pPr>
        <w:tabs>
          <w:tab w:val="num" w:pos="709"/>
        </w:tabs>
        <w:spacing w:after="120" w:line="240" w:lineRule="auto"/>
        <w:ind w:left="709"/>
        <w:rPr>
          <w:sz w:val="24"/>
          <w:szCs w:val="24"/>
        </w:rPr>
      </w:pPr>
      <w:r>
        <w:rPr>
          <w:b/>
          <w:sz w:val="24"/>
          <w:szCs w:val="24"/>
        </w:rPr>
        <w:t>"ICD-10-AM code"</w:t>
      </w:r>
      <w:r>
        <w:rPr>
          <w:sz w:val="24"/>
          <w:szCs w:val="24"/>
        </w:rPr>
        <w:t xml:space="preserve"> means a number assigned to a particular kind of injury or disease in The International Statistical Classification of Diseases and Related Health Problems, 10th Revision, Australian Modification (ICD-10-AM), Eighth Edition, effective date of 1 July 2013, copyrighted by the Independent Hospital Pricing Authority, and having ISBN 978-1-74128-213-9;</w:t>
      </w:r>
    </w:p>
    <w:p w:rsidR="00AB4EF4" w:rsidRDefault="00AB4EF4" w:rsidP="0038527E">
      <w:pPr>
        <w:tabs>
          <w:tab w:val="num" w:pos="709"/>
        </w:tabs>
        <w:spacing w:after="60" w:line="240" w:lineRule="auto"/>
        <w:ind w:left="709"/>
        <w:rPr>
          <w:sz w:val="24"/>
          <w:szCs w:val="24"/>
        </w:rPr>
      </w:pPr>
      <w:r>
        <w:rPr>
          <w:b/>
          <w:sz w:val="24"/>
          <w:szCs w:val="24"/>
        </w:rPr>
        <w:t>"relevant service"</w:t>
      </w:r>
      <w:r>
        <w:rPr>
          <w:sz w:val="24"/>
          <w:szCs w:val="24"/>
        </w:rPr>
        <w:t xml:space="preserve"> means:</w:t>
      </w:r>
    </w:p>
    <w:p w:rsidR="00AB4EF4" w:rsidRDefault="00AB4EF4" w:rsidP="0038527E">
      <w:pPr>
        <w:numPr>
          <w:ilvl w:val="0"/>
          <w:numId w:val="3"/>
        </w:numPr>
        <w:tabs>
          <w:tab w:val="clear" w:pos="1440"/>
        </w:tabs>
        <w:spacing w:line="240" w:lineRule="auto"/>
        <w:ind w:left="1418"/>
        <w:rPr>
          <w:sz w:val="24"/>
          <w:szCs w:val="24"/>
        </w:rPr>
      </w:pPr>
      <w:r>
        <w:rPr>
          <w:sz w:val="24"/>
          <w:szCs w:val="24"/>
        </w:rPr>
        <w:t xml:space="preserve">operational service under the VEA; </w:t>
      </w:r>
    </w:p>
    <w:p w:rsidR="00AB4EF4" w:rsidRDefault="00AB4EF4" w:rsidP="0038527E">
      <w:pPr>
        <w:numPr>
          <w:ilvl w:val="0"/>
          <w:numId w:val="3"/>
        </w:numPr>
        <w:tabs>
          <w:tab w:val="clear" w:pos="1440"/>
        </w:tabs>
        <w:spacing w:line="240" w:lineRule="auto"/>
        <w:ind w:left="1418"/>
        <w:rPr>
          <w:sz w:val="24"/>
          <w:szCs w:val="24"/>
        </w:rPr>
      </w:pPr>
      <w:r>
        <w:rPr>
          <w:sz w:val="24"/>
          <w:szCs w:val="24"/>
        </w:rPr>
        <w:t xml:space="preserve">peacekeeping service under the VEA; </w:t>
      </w:r>
    </w:p>
    <w:p w:rsidR="00AB4EF4" w:rsidRDefault="00AB4EF4" w:rsidP="0038527E">
      <w:pPr>
        <w:numPr>
          <w:ilvl w:val="0"/>
          <w:numId w:val="3"/>
        </w:numPr>
        <w:tabs>
          <w:tab w:val="clear" w:pos="1440"/>
        </w:tabs>
        <w:spacing w:line="240" w:lineRule="auto"/>
        <w:ind w:left="1418"/>
        <w:rPr>
          <w:sz w:val="24"/>
          <w:szCs w:val="24"/>
        </w:rPr>
      </w:pPr>
      <w:r>
        <w:rPr>
          <w:sz w:val="24"/>
          <w:szCs w:val="24"/>
        </w:rPr>
        <w:t xml:space="preserve">hazardous service under the VEA; </w:t>
      </w:r>
    </w:p>
    <w:p w:rsidR="00AB4EF4" w:rsidRDefault="00AB4EF4" w:rsidP="0038527E">
      <w:pPr>
        <w:numPr>
          <w:ilvl w:val="0"/>
          <w:numId w:val="3"/>
        </w:numPr>
        <w:tabs>
          <w:tab w:val="clear" w:pos="1440"/>
        </w:tabs>
        <w:spacing w:line="240" w:lineRule="auto"/>
        <w:ind w:left="1418"/>
        <w:rPr>
          <w:sz w:val="24"/>
          <w:szCs w:val="24"/>
        </w:rPr>
      </w:pPr>
      <w:r>
        <w:rPr>
          <w:sz w:val="24"/>
          <w:szCs w:val="24"/>
        </w:rPr>
        <w:t>British nuclear test defence service under the VEA;</w:t>
      </w:r>
    </w:p>
    <w:p w:rsidR="00AB4EF4" w:rsidRDefault="00AB4EF4" w:rsidP="0038527E">
      <w:pPr>
        <w:numPr>
          <w:ilvl w:val="0"/>
          <w:numId w:val="3"/>
        </w:numPr>
        <w:tabs>
          <w:tab w:val="clear" w:pos="1440"/>
        </w:tabs>
        <w:spacing w:line="240" w:lineRule="auto"/>
        <w:ind w:left="1418"/>
        <w:rPr>
          <w:sz w:val="24"/>
          <w:szCs w:val="24"/>
        </w:rPr>
      </w:pPr>
      <w:r>
        <w:rPr>
          <w:sz w:val="24"/>
          <w:szCs w:val="24"/>
        </w:rPr>
        <w:t>warlike service under the MRCA; or</w:t>
      </w:r>
    </w:p>
    <w:p w:rsidR="00AB4EF4" w:rsidRDefault="00AB4EF4" w:rsidP="0038527E">
      <w:pPr>
        <w:numPr>
          <w:ilvl w:val="0"/>
          <w:numId w:val="3"/>
        </w:numPr>
        <w:tabs>
          <w:tab w:val="clear" w:pos="1440"/>
        </w:tabs>
        <w:spacing w:after="120" w:line="240" w:lineRule="auto"/>
        <w:ind w:left="1417"/>
        <w:rPr>
          <w:sz w:val="24"/>
          <w:szCs w:val="24"/>
        </w:rPr>
      </w:pPr>
      <w:r>
        <w:rPr>
          <w:sz w:val="24"/>
          <w:szCs w:val="24"/>
        </w:rPr>
        <w:t>non-warlike service under the MRCA;</w:t>
      </w:r>
    </w:p>
    <w:p w:rsidR="00AB4EF4" w:rsidRDefault="00AB4EF4">
      <w:pPr>
        <w:tabs>
          <w:tab w:val="num" w:pos="709"/>
        </w:tabs>
        <w:spacing w:after="60" w:line="240" w:lineRule="auto"/>
        <w:ind w:left="709"/>
        <w:rPr>
          <w:sz w:val="24"/>
          <w:szCs w:val="24"/>
        </w:rPr>
      </w:pPr>
      <w:r>
        <w:rPr>
          <w:b/>
          <w:sz w:val="24"/>
          <w:szCs w:val="24"/>
        </w:rPr>
        <w:t xml:space="preserve">"terminal event" </w:t>
      </w:r>
      <w:r>
        <w:rPr>
          <w:sz w:val="24"/>
          <w:szCs w:val="24"/>
        </w:rPr>
        <w:t>means the proximate or ultimate cause of death and includes:</w:t>
      </w:r>
    </w:p>
    <w:p w:rsidR="00AB4EF4" w:rsidRDefault="00AB4EF4">
      <w:pPr>
        <w:numPr>
          <w:ilvl w:val="0"/>
          <w:numId w:val="14"/>
        </w:numPr>
        <w:tabs>
          <w:tab w:val="clear" w:pos="1440"/>
        </w:tabs>
        <w:spacing w:line="240" w:lineRule="auto"/>
        <w:ind w:left="1418" w:hanging="698"/>
        <w:rPr>
          <w:sz w:val="24"/>
          <w:szCs w:val="24"/>
        </w:rPr>
      </w:pPr>
      <w:r>
        <w:rPr>
          <w:sz w:val="24"/>
          <w:szCs w:val="24"/>
        </w:rPr>
        <w:t>pneumonia;</w:t>
      </w:r>
    </w:p>
    <w:p w:rsidR="00AB4EF4" w:rsidRDefault="00AB4EF4">
      <w:pPr>
        <w:numPr>
          <w:ilvl w:val="0"/>
          <w:numId w:val="14"/>
        </w:numPr>
        <w:tabs>
          <w:tab w:val="clear" w:pos="1440"/>
        </w:tabs>
        <w:spacing w:line="240" w:lineRule="auto"/>
        <w:ind w:left="1418" w:hanging="698"/>
        <w:rPr>
          <w:sz w:val="24"/>
          <w:szCs w:val="24"/>
        </w:rPr>
      </w:pPr>
      <w:r>
        <w:rPr>
          <w:sz w:val="24"/>
          <w:szCs w:val="24"/>
        </w:rPr>
        <w:t>respiratory failure;</w:t>
      </w:r>
    </w:p>
    <w:p w:rsidR="00AB4EF4" w:rsidRDefault="00AB4EF4">
      <w:pPr>
        <w:numPr>
          <w:ilvl w:val="0"/>
          <w:numId w:val="14"/>
        </w:numPr>
        <w:tabs>
          <w:tab w:val="clear" w:pos="1440"/>
        </w:tabs>
        <w:spacing w:line="240" w:lineRule="auto"/>
        <w:ind w:left="1418" w:hanging="698"/>
        <w:rPr>
          <w:sz w:val="24"/>
          <w:szCs w:val="24"/>
        </w:rPr>
      </w:pPr>
      <w:r>
        <w:rPr>
          <w:sz w:val="24"/>
          <w:szCs w:val="24"/>
        </w:rPr>
        <w:t>cardiac arrest;</w:t>
      </w:r>
    </w:p>
    <w:p w:rsidR="00AB4EF4" w:rsidRDefault="00AB4EF4">
      <w:pPr>
        <w:numPr>
          <w:ilvl w:val="0"/>
          <w:numId w:val="14"/>
        </w:numPr>
        <w:tabs>
          <w:tab w:val="clear" w:pos="1440"/>
        </w:tabs>
        <w:spacing w:line="240" w:lineRule="auto"/>
        <w:ind w:left="1418" w:hanging="698"/>
        <w:rPr>
          <w:sz w:val="24"/>
          <w:szCs w:val="24"/>
        </w:rPr>
      </w:pPr>
      <w:r>
        <w:rPr>
          <w:sz w:val="24"/>
          <w:szCs w:val="24"/>
        </w:rPr>
        <w:t>circulatory failure; or</w:t>
      </w:r>
    </w:p>
    <w:p w:rsidR="00AB4EF4" w:rsidRDefault="00AB4EF4">
      <w:pPr>
        <w:numPr>
          <w:ilvl w:val="0"/>
          <w:numId w:val="14"/>
        </w:numPr>
        <w:tabs>
          <w:tab w:val="clear" w:pos="1440"/>
        </w:tabs>
        <w:spacing w:line="240" w:lineRule="auto"/>
        <w:ind w:left="1418" w:hanging="698"/>
        <w:rPr>
          <w:sz w:val="24"/>
          <w:szCs w:val="24"/>
        </w:rPr>
      </w:pPr>
      <w:r>
        <w:rPr>
          <w:sz w:val="24"/>
          <w:szCs w:val="24"/>
        </w:rPr>
        <w:t>cessation of brain function.</w:t>
      </w:r>
    </w:p>
    <w:p w:rsidR="00AB4EF4" w:rsidRDefault="00AB4EF4">
      <w:pPr>
        <w:pStyle w:val="clauseheading"/>
      </w:pPr>
      <w:r>
        <w:t>Application</w:t>
      </w:r>
    </w:p>
    <w:p w:rsidR="00AB4EF4" w:rsidRDefault="00AB4EF4">
      <w:pPr>
        <w:spacing w:line="240" w:lineRule="auto"/>
        <w:ind w:hanging="720"/>
        <w:rPr>
          <w:sz w:val="24"/>
          <w:szCs w:val="24"/>
        </w:rPr>
      </w:pPr>
      <w:r>
        <w:rPr>
          <w:b/>
          <w:sz w:val="24"/>
          <w:szCs w:val="24"/>
        </w:rPr>
        <w:t>10.</w:t>
      </w:r>
      <w:r>
        <w:rPr>
          <w:sz w:val="24"/>
          <w:szCs w:val="24"/>
        </w:rPr>
        <w:tab/>
        <w:t>This Instrument applies to all matters to which section 120A of the VEA or section 338 of the MRCA applies.</w:t>
      </w:r>
    </w:p>
    <w:p w:rsidR="00AB4EF4" w:rsidRDefault="00AB4EF4">
      <w:pPr>
        <w:pStyle w:val="clauseheading"/>
      </w:pPr>
      <w:r>
        <w:t>Date of effect</w:t>
      </w:r>
    </w:p>
    <w:p w:rsidR="00AB4EF4" w:rsidRDefault="00AB4EF4">
      <w:pPr>
        <w:spacing w:line="240" w:lineRule="auto"/>
        <w:ind w:hanging="720"/>
        <w:rPr>
          <w:sz w:val="24"/>
          <w:szCs w:val="24"/>
        </w:rPr>
      </w:pPr>
      <w:r>
        <w:rPr>
          <w:b/>
          <w:sz w:val="24"/>
          <w:szCs w:val="24"/>
        </w:rPr>
        <w:t>11.</w:t>
      </w:r>
      <w:r>
        <w:rPr>
          <w:sz w:val="24"/>
          <w:szCs w:val="24"/>
        </w:rPr>
        <w:tab/>
        <w:t xml:space="preserve">This Instrument takes effect from </w:t>
      </w:r>
      <w:r w:rsidR="00B331AF">
        <w:rPr>
          <w:sz w:val="24"/>
          <w:szCs w:val="24"/>
        </w:rPr>
        <w:t>1 June</w:t>
      </w:r>
      <w:r>
        <w:rPr>
          <w:sz w:val="24"/>
          <w:szCs w:val="24"/>
        </w:rPr>
        <w:t xml:space="preserve"> </w:t>
      </w:r>
      <w:r w:rsidR="00230780">
        <w:rPr>
          <w:sz w:val="24"/>
          <w:szCs w:val="24"/>
        </w:rPr>
        <w:t>2015</w:t>
      </w:r>
      <w:r>
        <w:rPr>
          <w:sz w:val="24"/>
          <w:szCs w:val="24"/>
        </w:rPr>
        <w:t>.</w:t>
      </w:r>
    </w:p>
    <w:p w:rsidR="00001FAA" w:rsidRDefault="00001FAA" w:rsidP="00001FAA">
      <w:pPr>
        <w:spacing w:before="240" w:after="120" w:line="240" w:lineRule="auto"/>
        <w:ind w:left="0"/>
        <w:rPr>
          <w:sz w:val="24"/>
          <w:szCs w:val="24"/>
        </w:rPr>
      </w:pPr>
      <w:r>
        <w:rPr>
          <w:noProof/>
          <w:lang w:val="en-AU" w:eastAsia="en-AU"/>
        </w:rPr>
        <w:drawing>
          <wp:anchor distT="0" distB="0" distL="114300" distR="114300" simplePos="0" relativeHeight="251659264" behindDoc="1" locked="0" layoutInCell="1" allowOverlap="1" wp14:anchorId="57035B96" wp14:editId="36DD6308">
            <wp:simplePos x="0" y="0"/>
            <wp:positionH relativeFrom="column">
              <wp:posOffset>2770505</wp:posOffset>
            </wp:positionH>
            <wp:positionV relativeFrom="paragraph">
              <wp:posOffset>517525</wp:posOffset>
            </wp:positionV>
            <wp:extent cx="2466975" cy="533400"/>
            <wp:effectExtent l="0" t="0" r="9525" b="0"/>
            <wp:wrapTight wrapText="bothSides">
              <wp:wrapPolygon edited="0">
                <wp:start x="0" y="0"/>
                <wp:lineTo x="0" y="20829"/>
                <wp:lineTo x="21517" y="20829"/>
                <wp:lineTo x="2151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r>
        <w:rPr>
          <w:sz w:val="24"/>
          <w:szCs w:val="24"/>
        </w:rPr>
        <w:t xml:space="preserve">Dated this   </w:t>
      </w:r>
      <w:r>
        <w:rPr>
          <w:rFonts w:ascii="Brush Script MT" w:hAnsi="Brush Script MT"/>
          <w:sz w:val="44"/>
          <w:szCs w:val="44"/>
        </w:rPr>
        <w:t>first</w:t>
      </w:r>
      <w:r>
        <w:rPr>
          <w:sz w:val="24"/>
          <w:szCs w:val="24"/>
        </w:rPr>
        <w:t xml:space="preserve">   day of   </w:t>
      </w:r>
      <w:r>
        <w:rPr>
          <w:rFonts w:ascii="Brush Script MT" w:hAnsi="Brush Script MT"/>
          <w:sz w:val="44"/>
          <w:szCs w:val="44"/>
        </w:rPr>
        <w:t>May</w:t>
      </w:r>
      <w:r>
        <w:rPr>
          <w:sz w:val="24"/>
          <w:szCs w:val="24"/>
        </w:rPr>
        <w:t xml:space="preserve">   2015</w:t>
      </w:r>
    </w:p>
    <w:p w:rsidR="00001FAA" w:rsidRDefault="00001FAA" w:rsidP="00001FAA">
      <w:pPr>
        <w:spacing w:line="240" w:lineRule="auto"/>
        <w:ind w:hanging="720"/>
        <w:rPr>
          <w:sz w:val="24"/>
          <w:szCs w:val="24"/>
        </w:rPr>
      </w:pPr>
      <w:r>
        <w:rPr>
          <w:sz w:val="24"/>
          <w:szCs w:val="24"/>
        </w:rPr>
        <w:t>The Common Seal of the</w:t>
      </w:r>
      <w:r>
        <w:rPr>
          <w:sz w:val="24"/>
          <w:szCs w:val="24"/>
        </w:rPr>
        <w:tab/>
      </w:r>
      <w:r>
        <w:rPr>
          <w:sz w:val="24"/>
          <w:szCs w:val="24"/>
        </w:rPr>
        <w:tab/>
        <w:t>)</w:t>
      </w:r>
    </w:p>
    <w:p w:rsidR="00001FAA" w:rsidRDefault="00001FAA" w:rsidP="00001FAA">
      <w:pPr>
        <w:spacing w:line="240" w:lineRule="auto"/>
        <w:ind w:hanging="720"/>
        <w:rPr>
          <w:sz w:val="24"/>
          <w:szCs w:val="24"/>
        </w:rPr>
      </w:pPr>
      <w:r>
        <w:rPr>
          <w:sz w:val="24"/>
          <w:szCs w:val="24"/>
        </w:rPr>
        <w:t>Repatriation Medical Authority</w:t>
      </w:r>
      <w:r>
        <w:rPr>
          <w:sz w:val="24"/>
          <w:szCs w:val="24"/>
        </w:rPr>
        <w:tab/>
        <w:t>)</w:t>
      </w:r>
    </w:p>
    <w:p w:rsidR="00001FAA" w:rsidRDefault="00001FAA" w:rsidP="00001FAA">
      <w:pPr>
        <w:spacing w:line="240" w:lineRule="auto"/>
        <w:ind w:hanging="720"/>
        <w:rPr>
          <w:sz w:val="24"/>
          <w:szCs w:val="24"/>
        </w:rPr>
      </w:pPr>
      <w:r>
        <w:rPr>
          <w:sz w:val="24"/>
          <w:szCs w:val="24"/>
        </w:rPr>
        <w:t>was affixed at the direction of:</w:t>
      </w:r>
      <w:r>
        <w:rPr>
          <w:sz w:val="24"/>
          <w:szCs w:val="24"/>
        </w:rPr>
        <w:tab/>
        <w:t>)</w:t>
      </w:r>
    </w:p>
    <w:p w:rsidR="00001FAA" w:rsidRDefault="00001FAA" w:rsidP="00001FAA">
      <w:pPr>
        <w:spacing w:before="120" w:line="240" w:lineRule="auto"/>
        <w:ind w:left="3600"/>
        <w:outlineLvl w:val="0"/>
        <w:rPr>
          <w:sz w:val="24"/>
          <w:szCs w:val="24"/>
        </w:rPr>
      </w:pPr>
      <w:r>
        <w:rPr>
          <w:sz w:val="24"/>
          <w:szCs w:val="24"/>
        </w:rPr>
        <w:t>PROFESSOR NICHOLAS SAUNDERS AO</w:t>
      </w:r>
    </w:p>
    <w:p w:rsidR="00001FAA" w:rsidRDefault="00001FAA" w:rsidP="00001FAA">
      <w:pPr>
        <w:spacing w:before="60" w:line="240" w:lineRule="auto"/>
        <w:ind w:left="5041"/>
        <w:outlineLvl w:val="0"/>
        <w:rPr>
          <w:sz w:val="24"/>
          <w:szCs w:val="24"/>
        </w:rPr>
      </w:pPr>
      <w:r>
        <w:rPr>
          <w:sz w:val="24"/>
          <w:szCs w:val="24"/>
        </w:rPr>
        <w:t>CHAIRPERSON</w:t>
      </w:r>
    </w:p>
    <w:p w:rsidR="00AB4EF4" w:rsidRDefault="00AB4EF4" w:rsidP="00374F02">
      <w:pPr>
        <w:spacing w:before="240" w:after="120" w:line="240" w:lineRule="auto"/>
        <w:ind w:left="0"/>
        <w:rPr>
          <w:sz w:val="24"/>
          <w:szCs w:val="24"/>
        </w:rPr>
      </w:pPr>
    </w:p>
    <w:sectPr w:rsidR="00AB4EF4">
      <w:headerReference w:type="default" r:id="rId10"/>
      <w:footerReference w:type="default" r:id="rId11"/>
      <w:pgSz w:w="11907" w:h="16834" w:code="9"/>
      <w:pgMar w:top="1440" w:right="1797" w:bottom="1440" w:left="1797" w:header="720" w:footer="720" w:gutter="0"/>
      <w:paperSrc w:first="1" w:other="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EF4" w:rsidRDefault="00AB4EF4">
      <w:r>
        <w:separator/>
      </w:r>
    </w:p>
  </w:endnote>
  <w:endnote w:type="continuationSeparator" w:id="0">
    <w:p w:rsidR="00AB4EF4" w:rsidRDefault="00AB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W1)">
    <w:altName w:val="Arial"/>
    <w:charset w:val="00"/>
    <w:family w:val="swiss"/>
    <w:pitch w:val="variable"/>
    <w:sig w:usb0="00000000" w:usb1="80000000" w:usb2="00000008"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F4" w:rsidRDefault="00AB4EF4">
    <w:pPr>
      <w:pStyle w:val="Footer"/>
      <w:ind w:left="0"/>
      <w:jc w:val="left"/>
      <w:rPr>
        <w:rFonts w:ascii="Arial" w:hAnsi="Arial"/>
        <w:b w:val="0"/>
      </w:rPr>
    </w:pPr>
    <w:r>
      <w:rPr>
        <w:rFonts w:ascii="Arial" w:hAnsi="Arial"/>
        <w:b w:val="0"/>
        <w:snapToGrid w:val="0"/>
      </w:rPr>
      <w:t xml:space="preserve">Page </w:t>
    </w:r>
    <w:r>
      <w:rPr>
        <w:rFonts w:ascii="Arial" w:hAnsi="Arial"/>
        <w:b w:val="0"/>
        <w:snapToGrid w:val="0"/>
      </w:rPr>
      <w:fldChar w:fldCharType="begin"/>
    </w:r>
    <w:r>
      <w:rPr>
        <w:rFonts w:ascii="Arial" w:hAnsi="Arial"/>
        <w:b w:val="0"/>
        <w:snapToGrid w:val="0"/>
      </w:rPr>
      <w:instrText xml:space="preserve"> PAGE </w:instrText>
    </w:r>
    <w:r>
      <w:rPr>
        <w:rFonts w:ascii="Arial" w:hAnsi="Arial"/>
        <w:b w:val="0"/>
        <w:snapToGrid w:val="0"/>
      </w:rPr>
      <w:fldChar w:fldCharType="separate"/>
    </w:r>
    <w:r w:rsidR="00875914">
      <w:rPr>
        <w:rFonts w:ascii="Arial" w:hAnsi="Arial"/>
        <w:b w:val="0"/>
        <w:noProof/>
        <w:snapToGrid w:val="0"/>
      </w:rPr>
      <w:t>1</w:t>
    </w:r>
    <w:r>
      <w:rPr>
        <w:rFonts w:ascii="Arial" w:hAnsi="Arial"/>
        <w:b w:val="0"/>
        <w:snapToGrid w:val="0"/>
      </w:rPr>
      <w:fldChar w:fldCharType="end"/>
    </w:r>
    <w:r>
      <w:rPr>
        <w:rFonts w:ascii="Arial" w:hAnsi="Arial"/>
        <w:b w:val="0"/>
        <w:snapToGrid w:val="0"/>
      </w:rPr>
      <w:t xml:space="preserve"> of </w:t>
    </w:r>
    <w:r>
      <w:rPr>
        <w:rStyle w:val="PageNumber"/>
        <w:rFonts w:ascii="Arial" w:hAnsi="Arial"/>
        <w:b w:val="0"/>
      </w:rPr>
      <w:fldChar w:fldCharType="begin"/>
    </w:r>
    <w:r>
      <w:rPr>
        <w:rStyle w:val="PageNumber"/>
        <w:rFonts w:ascii="Arial" w:hAnsi="Arial"/>
        <w:b w:val="0"/>
      </w:rPr>
      <w:instrText xml:space="preserve"> NUMPAGES </w:instrText>
    </w:r>
    <w:r>
      <w:rPr>
        <w:rStyle w:val="PageNumber"/>
        <w:rFonts w:ascii="Arial" w:hAnsi="Arial"/>
        <w:b w:val="0"/>
      </w:rPr>
      <w:fldChar w:fldCharType="separate"/>
    </w:r>
    <w:r w:rsidR="00875914">
      <w:rPr>
        <w:rStyle w:val="PageNumber"/>
        <w:rFonts w:ascii="Arial" w:hAnsi="Arial"/>
        <w:b w:val="0"/>
        <w:noProof/>
      </w:rPr>
      <w:t>3</w:t>
    </w:r>
    <w:r>
      <w:rPr>
        <w:rStyle w:val="PageNumber"/>
        <w:rFonts w:ascii="Arial" w:hAnsi="Arial"/>
        <w:b w:val="0"/>
      </w:rPr>
      <w:fldChar w:fldCharType="end"/>
    </w:r>
    <w:r w:rsidR="00B331AF">
      <w:rPr>
        <w:rFonts w:ascii="Arial" w:hAnsi="Arial"/>
        <w:b w:val="0"/>
      </w:rPr>
      <w:t xml:space="preserve"> of Instrument No. </w:t>
    </w:r>
    <w:r w:rsidR="000E5E5E">
      <w:rPr>
        <w:rFonts w:ascii="Arial" w:hAnsi="Arial"/>
        <w:b w:val="0"/>
      </w:rPr>
      <w:t>63</w:t>
    </w:r>
    <w:r>
      <w:rPr>
        <w:rFonts w:ascii="Arial" w:hAnsi="Arial"/>
        <w:b w:val="0"/>
      </w:rPr>
      <w:t xml:space="preserve"> of </w:t>
    </w:r>
    <w:r w:rsidR="00230780">
      <w:rPr>
        <w:rFonts w:ascii="Arial" w:hAnsi="Arial"/>
        <w:b w:val="0"/>
      </w:rP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EF4" w:rsidRDefault="00AB4EF4">
      <w:r>
        <w:separator/>
      </w:r>
    </w:p>
  </w:footnote>
  <w:footnote w:type="continuationSeparator" w:id="0">
    <w:p w:rsidR="00AB4EF4" w:rsidRDefault="00AB4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F4" w:rsidRDefault="00AB4EF4">
    <w:pPr>
      <w:pStyle w:val="Header"/>
      <w:jc w:val="center"/>
    </w:pPr>
  </w:p>
  <w:p w:rsidR="00AB4EF4" w:rsidRDefault="00AB4E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7B06"/>
    <w:multiLevelType w:val="hybridMultilevel"/>
    <w:tmpl w:val="CF4661AA"/>
    <w:lvl w:ilvl="0" w:tplc="66BA6B5E">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74B6F4A"/>
    <w:multiLevelType w:val="hybridMultilevel"/>
    <w:tmpl w:val="7B48F2D4"/>
    <w:lvl w:ilvl="0" w:tplc="548A9CAC">
      <w:start w:val="1"/>
      <w:numFmt w:val="lowerLetter"/>
      <w:lvlText w:val="(%1)"/>
      <w:lvlJc w:val="left"/>
      <w:pPr>
        <w:tabs>
          <w:tab w:val="num" w:pos="1080"/>
        </w:tabs>
        <w:ind w:left="1080" w:hanging="360"/>
      </w:pPr>
      <w:rPr>
        <w:rFonts w:hint="default"/>
        <w:i w:val="0"/>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
    <w:nsid w:val="17930EC9"/>
    <w:multiLevelType w:val="hybridMultilevel"/>
    <w:tmpl w:val="BEB23070"/>
    <w:lvl w:ilvl="0" w:tplc="43FA4576">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21451893"/>
    <w:multiLevelType w:val="singleLevel"/>
    <w:tmpl w:val="EECED2E6"/>
    <w:lvl w:ilvl="0">
      <w:start w:val="5"/>
      <w:numFmt w:val="lowerLetter"/>
      <w:lvlText w:val="(%1)"/>
      <w:lvlJc w:val="left"/>
      <w:pPr>
        <w:tabs>
          <w:tab w:val="num" w:pos="1440"/>
        </w:tabs>
        <w:ind w:left="1440" w:hanging="720"/>
      </w:pPr>
      <w:rPr>
        <w:rFonts w:hint="default"/>
      </w:rPr>
    </w:lvl>
  </w:abstractNum>
  <w:abstractNum w:abstractNumId="4">
    <w:nsid w:val="329252F4"/>
    <w:multiLevelType w:val="singleLevel"/>
    <w:tmpl w:val="37D443E0"/>
    <w:lvl w:ilvl="0">
      <w:start w:val="9"/>
      <w:numFmt w:val="decimal"/>
      <w:lvlText w:val="%1."/>
      <w:lvlJc w:val="left"/>
      <w:pPr>
        <w:tabs>
          <w:tab w:val="num" w:pos="720"/>
        </w:tabs>
        <w:ind w:left="720" w:hanging="720"/>
      </w:pPr>
      <w:rPr>
        <w:rFonts w:hint="default"/>
        <w:b/>
      </w:rPr>
    </w:lvl>
  </w:abstractNum>
  <w:abstractNum w:abstractNumId="5">
    <w:nsid w:val="40B817B4"/>
    <w:multiLevelType w:val="multilevel"/>
    <w:tmpl w:val="6B643E98"/>
    <w:lvl w:ilvl="0">
      <w:start w:val="1"/>
      <w:numFmt w:val="lowerLetter"/>
      <w:lvlText w:val="(%1)"/>
      <w:lvlJc w:val="left"/>
      <w:pPr>
        <w:tabs>
          <w:tab w:val="num" w:pos="1440"/>
        </w:tabs>
        <w:ind w:left="1440" w:hanging="72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90E6070"/>
    <w:multiLevelType w:val="singleLevel"/>
    <w:tmpl w:val="544A35C6"/>
    <w:lvl w:ilvl="0">
      <w:start w:val="1"/>
      <w:numFmt w:val="lowerLetter"/>
      <w:lvlText w:val="(%1)"/>
      <w:lvlJc w:val="left"/>
      <w:pPr>
        <w:tabs>
          <w:tab w:val="num" w:pos="1440"/>
        </w:tabs>
        <w:ind w:left="1440" w:hanging="720"/>
      </w:pPr>
      <w:rPr>
        <w:rFonts w:hint="default"/>
      </w:rPr>
    </w:lvl>
  </w:abstractNum>
  <w:abstractNum w:abstractNumId="7">
    <w:nsid w:val="4C7568DE"/>
    <w:multiLevelType w:val="singleLevel"/>
    <w:tmpl w:val="95CC4C00"/>
    <w:lvl w:ilvl="0">
      <w:start w:val="2"/>
      <w:numFmt w:val="lowerLetter"/>
      <w:lvlText w:val="(%1)"/>
      <w:lvlJc w:val="left"/>
      <w:pPr>
        <w:tabs>
          <w:tab w:val="num" w:pos="1429"/>
        </w:tabs>
        <w:ind w:left="1429" w:hanging="720"/>
      </w:pPr>
      <w:rPr>
        <w:rFonts w:hint="default"/>
      </w:rPr>
    </w:lvl>
  </w:abstractNum>
  <w:abstractNum w:abstractNumId="8">
    <w:nsid w:val="4ED17128"/>
    <w:multiLevelType w:val="singleLevel"/>
    <w:tmpl w:val="DA7C8A0A"/>
    <w:lvl w:ilvl="0">
      <w:start w:val="1"/>
      <w:numFmt w:val="lowerLetter"/>
      <w:lvlText w:val="(%1)"/>
      <w:lvlJc w:val="left"/>
      <w:pPr>
        <w:tabs>
          <w:tab w:val="num" w:pos="1440"/>
        </w:tabs>
        <w:ind w:left="1440" w:hanging="720"/>
      </w:pPr>
      <w:rPr>
        <w:rFonts w:ascii="Times New Roman" w:hAnsi="Times New Roman" w:hint="default"/>
        <w:b w:val="0"/>
        <w:i w:val="0"/>
        <w:sz w:val="24"/>
      </w:rPr>
    </w:lvl>
  </w:abstractNum>
  <w:abstractNum w:abstractNumId="9">
    <w:nsid w:val="56D62742"/>
    <w:multiLevelType w:val="hybridMultilevel"/>
    <w:tmpl w:val="9C501CFC"/>
    <w:lvl w:ilvl="0" w:tplc="2D3228E2">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56E43176"/>
    <w:multiLevelType w:val="hybridMultilevel"/>
    <w:tmpl w:val="6B643E98"/>
    <w:lvl w:ilvl="0" w:tplc="980C9870">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59CE009D"/>
    <w:multiLevelType w:val="singleLevel"/>
    <w:tmpl w:val="271E281A"/>
    <w:lvl w:ilvl="0">
      <w:start w:val="1"/>
      <w:numFmt w:val="decimal"/>
      <w:lvlText w:val="%1."/>
      <w:lvlJc w:val="left"/>
      <w:pPr>
        <w:tabs>
          <w:tab w:val="num" w:pos="720"/>
        </w:tabs>
        <w:ind w:left="720" w:hanging="720"/>
      </w:pPr>
      <w:rPr>
        <w:rFonts w:hint="default"/>
        <w:b/>
      </w:rPr>
    </w:lvl>
  </w:abstractNum>
  <w:abstractNum w:abstractNumId="12">
    <w:nsid w:val="5AEC65BF"/>
    <w:multiLevelType w:val="hybridMultilevel"/>
    <w:tmpl w:val="5C4ADA9A"/>
    <w:lvl w:ilvl="0" w:tplc="23ACE506">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74EA180D"/>
    <w:multiLevelType w:val="hybridMultilevel"/>
    <w:tmpl w:val="E1EA56B2"/>
    <w:lvl w:ilvl="0" w:tplc="3BE8A0B0">
      <w:start w:val="1"/>
      <w:numFmt w:val="lowerLetter"/>
      <w:lvlText w:val="(%1)"/>
      <w:lvlJc w:val="left"/>
      <w:pPr>
        <w:tabs>
          <w:tab w:val="num" w:pos="1080"/>
        </w:tabs>
        <w:ind w:left="1080" w:hanging="360"/>
      </w:pPr>
      <w:rPr>
        <w:rFonts w:hint="default"/>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7703052B"/>
    <w:multiLevelType w:val="multilevel"/>
    <w:tmpl w:val="BEB23070"/>
    <w:lvl w:ilvl="0">
      <w:start w:val="1"/>
      <w:numFmt w:val="lowerLetter"/>
      <w:lvlText w:val="(%1)"/>
      <w:lvlJc w:val="left"/>
      <w:pPr>
        <w:tabs>
          <w:tab w:val="num" w:pos="1440"/>
        </w:tabs>
        <w:ind w:left="1440" w:hanging="72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7D502709"/>
    <w:multiLevelType w:val="singleLevel"/>
    <w:tmpl w:val="5646128C"/>
    <w:lvl w:ilvl="0">
      <w:start w:val="4"/>
      <w:numFmt w:val="lowerLetter"/>
      <w:lvlText w:val="(%1)"/>
      <w:lvlJc w:val="left"/>
      <w:pPr>
        <w:tabs>
          <w:tab w:val="num" w:pos="1429"/>
        </w:tabs>
        <w:ind w:left="1429" w:hanging="720"/>
      </w:pPr>
      <w:rPr>
        <w:sz w:val="24"/>
        <w:szCs w:val="24"/>
      </w:rPr>
    </w:lvl>
  </w:abstractNum>
  <w:num w:numId="1">
    <w:abstractNumId w:val="4"/>
  </w:num>
  <w:num w:numId="2">
    <w:abstractNumId w:val="7"/>
  </w:num>
  <w:num w:numId="3">
    <w:abstractNumId w:val="6"/>
  </w:num>
  <w:num w:numId="4">
    <w:abstractNumId w:val="8"/>
  </w:num>
  <w:num w:numId="5">
    <w:abstractNumId w:val="3"/>
  </w:num>
  <w:num w:numId="6">
    <w:abstractNumId w:val="15"/>
  </w:num>
  <w:num w:numId="7">
    <w:abstractNumId w:val="11"/>
  </w:num>
  <w:num w:numId="8">
    <w:abstractNumId w:val="2"/>
  </w:num>
  <w:num w:numId="9">
    <w:abstractNumId w:val="10"/>
  </w:num>
  <w:num w:numId="10">
    <w:abstractNumId w:val="5"/>
  </w:num>
  <w:num w:numId="11">
    <w:abstractNumId w:val="0"/>
  </w:num>
  <w:num w:numId="12">
    <w:abstractNumId w:val="14"/>
  </w:num>
  <w:num w:numId="13">
    <w:abstractNumId w:val="12"/>
  </w:num>
  <w:num w:numId="14">
    <w:abstractNumId w:val="9"/>
  </w:num>
  <w:num w:numId="15">
    <w:abstractNumId w:val="13"/>
  </w:num>
  <w:num w:numId="1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hideGrammaticalErrors/>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DED"/>
    <w:rsid w:val="00001FAA"/>
    <w:rsid w:val="000C688E"/>
    <w:rsid w:val="000E5E5E"/>
    <w:rsid w:val="00125510"/>
    <w:rsid w:val="00230780"/>
    <w:rsid w:val="00331259"/>
    <w:rsid w:val="00374F02"/>
    <w:rsid w:val="0038527E"/>
    <w:rsid w:val="004864E2"/>
    <w:rsid w:val="0059446F"/>
    <w:rsid w:val="00634ACF"/>
    <w:rsid w:val="00671DED"/>
    <w:rsid w:val="00875914"/>
    <w:rsid w:val="00894615"/>
    <w:rsid w:val="00AB4EF4"/>
    <w:rsid w:val="00B331AF"/>
    <w:rsid w:val="00B47844"/>
    <w:rsid w:val="00BE0534"/>
    <w:rsid w:val="00D6118D"/>
    <w:rsid w:val="00E20E23"/>
    <w:rsid w:val="00EC5A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ind w:left="720"/>
      <w:jc w:val="both"/>
    </w:pPr>
    <w:rPr>
      <w:rFonts w:ascii="Times New Roman" w:hAnsi="Times New Roman"/>
      <w:sz w:val="26"/>
      <w:lang w:val="en-GB" w:eastAsia="en-US"/>
    </w:rPr>
  </w:style>
  <w:style w:type="paragraph" w:styleId="Heading1">
    <w:name w:val="heading 1"/>
    <w:basedOn w:val="Normal"/>
    <w:next w:val="Normal"/>
    <w:qFormat/>
    <w:pPr>
      <w:spacing w:before="240" w:after="240"/>
      <w:outlineLvl w:val="0"/>
    </w:pPr>
    <w:rPr>
      <w:rFonts w:ascii="Arial (W1)" w:hAnsi="Arial (W1)"/>
      <w:b/>
      <w:sz w:val="28"/>
    </w:rPr>
  </w:style>
  <w:style w:type="paragraph" w:styleId="Heading2">
    <w:name w:val="heading 2"/>
    <w:basedOn w:val="Normal"/>
    <w:next w:val="Normal"/>
    <w:qFormat/>
    <w:pPr>
      <w:spacing w:before="120" w:after="120"/>
      <w:outlineLvl w:val="1"/>
    </w:pPr>
    <w:rPr>
      <w:rFonts w:ascii="Arial (W1)" w:hAnsi="Arial (W1)"/>
      <w:b/>
    </w:rPr>
  </w:style>
  <w:style w:type="paragraph" w:styleId="Heading3">
    <w:name w:val="heading 3"/>
    <w:basedOn w:val="Normal"/>
    <w:next w:val="NormalIndent"/>
    <w:qFormat/>
    <w:pPr>
      <w:outlineLvl w:val="2"/>
    </w:pPr>
    <w:rPr>
      <w:b/>
    </w:rPr>
  </w:style>
  <w:style w:type="paragraph" w:styleId="Heading4">
    <w:name w:val="heading 4"/>
    <w:basedOn w:val="Normal"/>
    <w:next w:val="NormalIndent"/>
    <w:qFormat/>
    <w:pPr>
      <w:ind w:left="360"/>
      <w:outlineLvl w:val="3"/>
    </w:pPr>
    <w:rPr>
      <w:rFonts w:ascii="Times New (W1)" w:hAnsi="Times New (W1)"/>
      <w:sz w:val="24"/>
      <w:u w:val="single"/>
    </w:rPr>
  </w:style>
  <w:style w:type="paragraph" w:styleId="Heading5">
    <w:name w:val="heading 5"/>
    <w:basedOn w:val="Normal"/>
    <w:next w:val="NormalIndent"/>
    <w:qFormat/>
    <w:pPr>
      <w:outlineLvl w:val="4"/>
    </w:pPr>
    <w:rPr>
      <w:rFonts w:ascii="Times New (W1)" w:hAnsi="Times New (W1)"/>
      <w:b/>
      <w:sz w:val="20"/>
    </w:rPr>
  </w:style>
  <w:style w:type="paragraph" w:styleId="Heading6">
    <w:name w:val="heading 6"/>
    <w:basedOn w:val="Normal"/>
    <w:next w:val="NormalIndent"/>
    <w:qFormat/>
    <w:pPr>
      <w:outlineLvl w:val="5"/>
    </w:pPr>
    <w:rPr>
      <w:rFonts w:ascii="Times New (W1)" w:hAnsi="Times New (W1)"/>
      <w:sz w:val="20"/>
      <w:u w:val="single"/>
    </w:rPr>
  </w:style>
  <w:style w:type="paragraph" w:styleId="Heading7">
    <w:name w:val="heading 7"/>
    <w:basedOn w:val="Normal"/>
    <w:next w:val="NormalIndent"/>
    <w:qFormat/>
    <w:pPr>
      <w:outlineLvl w:val="6"/>
    </w:pPr>
    <w:rPr>
      <w:rFonts w:ascii="Times New (W1)" w:hAnsi="Times New (W1)"/>
      <w:i/>
      <w:sz w:val="20"/>
    </w:rPr>
  </w:style>
  <w:style w:type="paragraph" w:styleId="Heading8">
    <w:name w:val="heading 8"/>
    <w:basedOn w:val="Normal"/>
    <w:next w:val="NormalIndent"/>
    <w:qFormat/>
    <w:pPr>
      <w:outlineLvl w:val="7"/>
    </w:pPr>
    <w:rPr>
      <w:rFonts w:ascii="Times New (W1)" w:hAnsi="Times New (W1)"/>
      <w:i/>
      <w:sz w:val="20"/>
    </w:rPr>
  </w:style>
  <w:style w:type="paragraph" w:styleId="Heading9">
    <w:name w:val="heading 9"/>
    <w:basedOn w:val="Normal"/>
    <w:next w:val="NormalIndent"/>
    <w:qFormat/>
    <w:pPr>
      <w:outlineLvl w:val="8"/>
    </w:pPr>
    <w:rPr>
      <w:rFonts w:ascii="Times New (W1)" w:hAnsi="Times New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tyle>
  <w:style w:type="paragraph" w:styleId="Footer">
    <w:name w:val="footer"/>
    <w:basedOn w:val="Normal"/>
    <w:pPr>
      <w:tabs>
        <w:tab w:val="center" w:pos="4252"/>
        <w:tab w:val="right" w:pos="8504"/>
      </w:tabs>
      <w:spacing w:before="120" w:line="240" w:lineRule="auto"/>
    </w:pPr>
    <w:rPr>
      <w:b/>
      <w:sz w:val="16"/>
    </w:rPr>
  </w:style>
  <w:style w:type="paragraph" w:styleId="Header">
    <w:name w:val="header"/>
    <w:basedOn w:val="Normal"/>
    <w:pPr>
      <w:tabs>
        <w:tab w:val="center" w:pos="4819"/>
        <w:tab w:val="right" w:pos="9071"/>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customStyle="1" w:styleId="headingshd">
    <w:name w:val="headingshd"/>
    <w:basedOn w:val="Normal"/>
    <w:next w:val="Normal"/>
    <w:pPr>
      <w:pBdr>
        <w:top w:val="single" w:sz="12" w:space="1" w:color="auto" w:shadow="1"/>
        <w:left w:val="single" w:sz="12" w:space="1" w:color="auto" w:shadow="1"/>
        <w:bottom w:val="single" w:sz="12" w:space="1" w:color="auto" w:shadow="1"/>
        <w:right w:val="single" w:sz="12" w:space="1" w:color="auto" w:shadow="1"/>
      </w:pBdr>
      <w:shd w:val="pct10" w:color="auto" w:fill="auto"/>
      <w:spacing w:line="240" w:lineRule="auto"/>
      <w:jc w:val="center"/>
    </w:pPr>
    <w:rPr>
      <w:sz w:val="20"/>
    </w:rPr>
  </w:style>
  <w:style w:type="paragraph" w:customStyle="1" w:styleId="underline">
    <w:name w:val="underline"/>
    <w:basedOn w:val="Normal"/>
    <w:next w:val="Normal"/>
    <w:pPr>
      <w:pBdr>
        <w:bottom w:val="single" w:sz="18" w:space="1" w:color="auto"/>
      </w:pBdr>
      <w:spacing w:line="240" w:lineRule="auto"/>
    </w:pPr>
    <w:rPr>
      <w:rFonts w:ascii="Bookman" w:hAnsi="Bookman"/>
    </w:rPr>
  </w:style>
  <w:style w:type="paragraph" w:customStyle="1" w:styleId="GD">
    <w:name w:val="GD"/>
    <w:basedOn w:val="Normal"/>
    <w:pPr>
      <w:spacing w:line="240" w:lineRule="auto"/>
    </w:pPr>
  </w:style>
  <w:style w:type="paragraph" w:customStyle="1" w:styleId="Draft">
    <w:name w:val="Draft"/>
    <w:basedOn w:val="Normal"/>
    <w:pPr>
      <w:pBdr>
        <w:top w:val="single" w:sz="6" w:space="1" w:color="auto"/>
        <w:left w:val="single" w:sz="6" w:space="1" w:color="auto"/>
        <w:bottom w:val="single" w:sz="6" w:space="1" w:color="auto"/>
        <w:right w:val="single" w:sz="6" w:space="1" w:color="auto"/>
      </w:pBdr>
      <w:shd w:val="pct5" w:color="auto" w:fill="auto"/>
      <w:jc w:val="center"/>
    </w:pPr>
    <w:rPr>
      <w:sz w:val="30"/>
    </w:rPr>
  </w:style>
  <w:style w:type="paragraph" w:customStyle="1" w:styleId="sop">
    <w:name w:val="sop"/>
    <w:basedOn w:val="Normal"/>
    <w:pPr>
      <w:spacing w:before="240" w:after="240"/>
      <w:jc w:val="center"/>
    </w:pPr>
    <w:rPr>
      <w:sz w:val="36"/>
    </w:rPr>
  </w:style>
  <w:style w:type="paragraph" w:customStyle="1" w:styleId="ICD">
    <w:name w:val="ICD"/>
    <w:basedOn w:val="Normal"/>
    <w:pPr>
      <w:spacing w:before="240" w:after="240"/>
      <w:jc w:val="center"/>
    </w:pPr>
    <w:rPr>
      <w:b/>
      <w:caps/>
      <w:sz w:val="30"/>
    </w:rPr>
  </w:style>
  <w:style w:type="paragraph" w:customStyle="1" w:styleId="clauseheading">
    <w:name w:val="clause heading"/>
    <w:basedOn w:val="Normal"/>
    <w:autoRedefine/>
    <w:pPr>
      <w:keepNext/>
      <w:spacing w:before="240" w:after="120" w:line="240" w:lineRule="auto"/>
      <w:ind w:left="0"/>
      <w:outlineLvl w:val="0"/>
    </w:pPr>
    <w:rPr>
      <w:b/>
      <w:bCs/>
      <w:sz w:val="24"/>
      <w:szCs w:val="24"/>
      <w:lang w:val="en-AU"/>
    </w:rPr>
  </w:style>
  <w:style w:type="paragraph" w:styleId="BodyTextIndent">
    <w:name w:val="Body Text Indent"/>
    <w:basedOn w:val="Normal"/>
    <w:pPr>
      <w:ind w:left="1440" w:hanging="720"/>
    </w:pPr>
  </w:style>
  <w:style w:type="paragraph" w:styleId="BodyTextIndent3">
    <w:name w:val="Body Text Indent 3"/>
    <w:basedOn w:val="Normal"/>
    <w:pPr>
      <w:spacing w:line="240" w:lineRule="auto"/>
      <w:jc w:val="left"/>
    </w:pPr>
    <w:rPr>
      <w:i/>
      <w:sz w:val="24"/>
      <w:lang w:val="en-AU"/>
    </w:rPr>
  </w:style>
  <w:style w:type="paragraph" w:styleId="BodyTextIndent2">
    <w:name w:val="Body Text Indent 2"/>
    <w:basedOn w:val="Normal"/>
    <w:pPr>
      <w:ind w:left="1440" w:hanging="720"/>
    </w:pPr>
    <w:rPr>
      <w:i/>
    </w:rPr>
  </w:style>
  <w:style w:type="paragraph" w:customStyle="1" w:styleId="NormalIndent1">
    <w:name w:val="Normal Indent1"/>
    <w:basedOn w:val="Normal"/>
  </w:style>
  <w:style w:type="paragraph" w:customStyle="1" w:styleId="OmniPage7">
    <w:name w:val="OmniPage #7"/>
    <w:basedOn w:val="Normal"/>
    <w:pPr>
      <w:spacing w:line="307" w:lineRule="exact"/>
      <w:ind w:left="58" w:right="197"/>
      <w:jc w:val="left"/>
    </w:pPr>
    <w:rPr>
      <w:noProof/>
      <w:sz w:val="20"/>
    </w:rPr>
  </w:style>
  <w:style w:type="paragraph" w:styleId="BodyText">
    <w:name w:val="Body Text"/>
    <w:basedOn w:val="Normal"/>
    <w:pPr>
      <w:spacing w:line="240" w:lineRule="auto"/>
      <w:ind w:left="0"/>
      <w:jc w:val="left"/>
    </w:pPr>
    <w:rPr>
      <w:sz w:val="24"/>
      <w:lang w:val="en-AU"/>
    </w:rPr>
  </w:style>
  <w:style w:type="character" w:styleId="PageNumber">
    <w:name w:val="page number"/>
    <w:basedOn w:val="DefaultParagraphFont"/>
  </w:style>
  <w:style w:type="paragraph" w:styleId="BodyText2">
    <w:name w:val="Body Text 2"/>
    <w:basedOn w:val="Normal"/>
    <w:pPr>
      <w:spacing w:line="240" w:lineRule="auto"/>
      <w:ind w:left="0" w:right="98"/>
    </w:pPr>
    <w:rPr>
      <w:sz w:val="20"/>
      <w:lang w:val="en-AU"/>
    </w:rPr>
  </w:style>
  <w:style w:type="paragraph" w:styleId="BlockText">
    <w:name w:val="Block Text"/>
    <w:basedOn w:val="Normal"/>
    <w:pPr>
      <w:ind w:left="1440" w:right="98" w:hanging="731"/>
    </w:pPr>
    <w:rPr>
      <w:i/>
    </w:rPr>
  </w:style>
  <w:style w:type="paragraph" w:styleId="BodyText3">
    <w:name w:val="Body Text 3"/>
    <w:basedOn w:val="Normal"/>
    <w:pPr>
      <w:spacing w:line="240" w:lineRule="auto"/>
      <w:ind w:left="0"/>
      <w:jc w:val="left"/>
    </w:pPr>
    <w:rPr>
      <w:b/>
      <w:sz w:val="24"/>
      <w:lang w:val="en-AU"/>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 w:type="paragraph" w:customStyle="1" w:styleId="Styleclauseheading12pt">
    <w:name w:val="Style clause heading + 12 pt"/>
    <w:basedOn w:val="clauseheading"/>
    <w:autoRedefine/>
    <w:rPr>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ind w:left="720"/>
      <w:jc w:val="both"/>
    </w:pPr>
    <w:rPr>
      <w:rFonts w:ascii="Times New Roman" w:hAnsi="Times New Roman"/>
      <w:sz w:val="26"/>
      <w:lang w:val="en-GB" w:eastAsia="en-US"/>
    </w:rPr>
  </w:style>
  <w:style w:type="paragraph" w:styleId="Heading1">
    <w:name w:val="heading 1"/>
    <w:basedOn w:val="Normal"/>
    <w:next w:val="Normal"/>
    <w:qFormat/>
    <w:pPr>
      <w:spacing w:before="240" w:after="240"/>
      <w:outlineLvl w:val="0"/>
    </w:pPr>
    <w:rPr>
      <w:rFonts w:ascii="Arial (W1)" w:hAnsi="Arial (W1)"/>
      <w:b/>
      <w:sz w:val="28"/>
    </w:rPr>
  </w:style>
  <w:style w:type="paragraph" w:styleId="Heading2">
    <w:name w:val="heading 2"/>
    <w:basedOn w:val="Normal"/>
    <w:next w:val="Normal"/>
    <w:qFormat/>
    <w:pPr>
      <w:spacing w:before="120" w:after="120"/>
      <w:outlineLvl w:val="1"/>
    </w:pPr>
    <w:rPr>
      <w:rFonts w:ascii="Arial (W1)" w:hAnsi="Arial (W1)"/>
      <w:b/>
    </w:rPr>
  </w:style>
  <w:style w:type="paragraph" w:styleId="Heading3">
    <w:name w:val="heading 3"/>
    <w:basedOn w:val="Normal"/>
    <w:next w:val="NormalIndent"/>
    <w:qFormat/>
    <w:pPr>
      <w:outlineLvl w:val="2"/>
    </w:pPr>
    <w:rPr>
      <w:b/>
    </w:rPr>
  </w:style>
  <w:style w:type="paragraph" w:styleId="Heading4">
    <w:name w:val="heading 4"/>
    <w:basedOn w:val="Normal"/>
    <w:next w:val="NormalIndent"/>
    <w:qFormat/>
    <w:pPr>
      <w:ind w:left="360"/>
      <w:outlineLvl w:val="3"/>
    </w:pPr>
    <w:rPr>
      <w:rFonts w:ascii="Times New (W1)" w:hAnsi="Times New (W1)"/>
      <w:sz w:val="24"/>
      <w:u w:val="single"/>
    </w:rPr>
  </w:style>
  <w:style w:type="paragraph" w:styleId="Heading5">
    <w:name w:val="heading 5"/>
    <w:basedOn w:val="Normal"/>
    <w:next w:val="NormalIndent"/>
    <w:qFormat/>
    <w:pPr>
      <w:outlineLvl w:val="4"/>
    </w:pPr>
    <w:rPr>
      <w:rFonts w:ascii="Times New (W1)" w:hAnsi="Times New (W1)"/>
      <w:b/>
      <w:sz w:val="20"/>
    </w:rPr>
  </w:style>
  <w:style w:type="paragraph" w:styleId="Heading6">
    <w:name w:val="heading 6"/>
    <w:basedOn w:val="Normal"/>
    <w:next w:val="NormalIndent"/>
    <w:qFormat/>
    <w:pPr>
      <w:outlineLvl w:val="5"/>
    </w:pPr>
    <w:rPr>
      <w:rFonts w:ascii="Times New (W1)" w:hAnsi="Times New (W1)"/>
      <w:sz w:val="20"/>
      <w:u w:val="single"/>
    </w:rPr>
  </w:style>
  <w:style w:type="paragraph" w:styleId="Heading7">
    <w:name w:val="heading 7"/>
    <w:basedOn w:val="Normal"/>
    <w:next w:val="NormalIndent"/>
    <w:qFormat/>
    <w:pPr>
      <w:outlineLvl w:val="6"/>
    </w:pPr>
    <w:rPr>
      <w:rFonts w:ascii="Times New (W1)" w:hAnsi="Times New (W1)"/>
      <w:i/>
      <w:sz w:val="20"/>
    </w:rPr>
  </w:style>
  <w:style w:type="paragraph" w:styleId="Heading8">
    <w:name w:val="heading 8"/>
    <w:basedOn w:val="Normal"/>
    <w:next w:val="NormalIndent"/>
    <w:qFormat/>
    <w:pPr>
      <w:outlineLvl w:val="7"/>
    </w:pPr>
    <w:rPr>
      <w:rFonts w:ascii="Times New (W1)" w:hAnsi="Times New (W1)"/>
      <w:i/>
      <w:sz w:val="20"/>
    </w:rPr>
  </w:style>
  <w:style w:type="paragraph" w:styleId="Heading9">
    <w:name w:val="heading 9"/>
    <w:basedOn w:val="Normal"/>
    <w:next w:val="NormalIndent"/>
    <w:qFormat/>
    <w:pPr>
      <w:outlineLvl w:val="8"/>
    </w:pPr>
    <w:rPr>
      <w:rFonts w:ascii="Times New (W1)" w:hAnsi="Times New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tyle>
  <w:style w:type="paragraph" w:styleId="Footer">
    <w:name w:val="footer"/>
    <w:basedOn w:val="Normal"/>
    <w:pPr>
      <w:tabs>
        <w:tab w:val="center" w:pos="4252"/>
        <w:tab w:val="right" w:pos="8504"/>
      </w:tabs>
      <w:spacing w:before="120" w:line="240" w:lineRule="auto"/>
    </w:pPr>
    <w:rPr>
      <w:b/>
      <w:sz w:val="16"/>
    </w:rPr>
  </w:style>
  <w:style w:type="paragraph" w:styleId="Header">
    <w:name w:val="header"/>
    <w:basedOn w:val="Normal"/>
    <w:pPr>
      <w:tabs>
        <w:tab w:val="center" w:pos="4819"/>
        <w:tab w:val="right" w:pos="9071"/>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customStyle="1" w:styleId="headingshd">
    <w:name w:val="headingshd"/>
    <w:basedOn w:val="Normal"/>
    <w:next w:val="Normal"/>
    <w:pPr>
      <w:pBdr>
        <w:top w:val="single" w:sz="12" w:space="1" w:color="auto" w:shadow="1"/>
        <w:left w:val="single" w:sz="12" w:space="1" w:color="auto" w:shadow="1"/>
        <w:bottom w:val="single" w:sz="12" w:space="1" w:color="auto" w:shadow="1"/>
        <w:right w:val="single" w:sz="12" w:space="1" w:color="auto" w:shadow="1"/>
      </w:pBdr>
      <w:shd w:val="pct10" w:color="auto" w:fill="auto"/>
      <w:spacing w:line="240" w:lineRule="auto"/>
      <w:jc w:val="center"/>
    </w:pPr>
    <w:rPr>
      <w:sz w:val="20"/>
    </w:rPr>
  </w:style>
  <w:style w:type="paragraph" w:customStyle="1" w:styleId="underline">
    <w:name w:val="underline"/>
    <w:basedOn w:val="Normal"/>
    <w:next w:val="Normal"/>
    <w:pPr>
      <w:pBdr>
        <w:bottom w:val="single" w:sz="18" w:space="1" w:color="auto"/>
      </w:pBdr>
      <w:spacing w:line="240" w:lineRule="auto"/>
    </w:pPr>
    <w:rPr>
      <w:rFonts w:ascii="Bookman" w:hAnsi="Bookman"/>
    </w:rPr>
  </w:style>
  <w:style w:type="paragraph" w:customStyle="1" w:styleId="GD">
    <w:name w:val="GD"/>
    <w:basedOn w:val="Normal"/>
    <w:pPr>
      <w:spacing w:line="240" w:lineRule="auto"/>
    </w:pPr>
  </w:style>
  <w:style w:type="paragraph" w:customStyle="1" w:styleId="Draft">
    <w:name w:val="Draft"/>
    <w:basedOn w:val="Normal"/>
    <w:pPr>
      <w:pBdr>
        <w:top w:val="single" w:sz="6" w:space="1" w:color="auto"/>
        <w:left w:val="single" w:sz="6" w:space="1" w:color="auto"/>
        <w:bottom w:val="single" w:sz="6" w:space="1" w:color="auto"/>
        <w:right w:val="single" w:sz="6" w:space="1" w:color="auto"/>
      </w:pBdr>
      <w:shd w:val="pct5" w:color="auto" w:fill="auto"/>
      <w:jc w:val="center"/>
    </w:pPr>
    <w:rPr>
      <w:sz w:val="30"/>
    </w:rPr>
  </w:style>
  <w:style w:type="paragraph" w:customStyle="1" w:styleId="sop">
    <w:name w:val="sop"/>
    <w:basedOn w:val="Normal"/>
    <w:pPr>
      <w:spacing w:before="240" w:after="240"/>
      <w:jc w:val="center"/>
    </w:pPr>
    <w:rPr>
      <w:sz w:val="36"/>
    </w:rPr>
  </w:style>
  <w:style w:type="paragraph" w:customStyle="1" w:styleId="ICD">
    <w:name w:val="ICD"/>
    <w:basedOn w:val="Normal"/>
    <w:pPr>
      <w:spacing w:before="240" w:after="240"/>
      <w:jc w:val="center"/>
    </w:pPr>
    <w:rPr>
      <w:b/>
      <w:caps/>
      <w:sz w:val="30"/>
    </w:rPr>
  </w:style>
  <w:style w:type="paragraph" w:customStyle="1" w:styleId="clauseheading">
    <w:name w:val="clause heading"/>
    <w:basedOn w:val="Normal"/>
    <w:autoRedefine/>
    <w:pPr>
      <w:keepNext/>
      <w:spacing w:before="240" w:after="120" w:line="240" w:lineRule="auto"/>
      <w:ind w:left="0"/>
      <w:outlineLvl w:val="0"/>
    </w:pPr>
    <w:rPr>
      <w:b/>
      <w:bCs/>
      <w:sz w:val="24"/>
      <w:szCs w:val="24"/>
      <w:lang w:val="en-AU"/>
    </w:rPr>
  </w:style>
  <w:style w:type="paragraph" w:styleId="BodyTextIndent">
    <w:name w:val="Body Text Indent"/>
    <w:basedOn w:val="Normal"/>
    <w:pPr>
      <w:ind w:left="1440" w:hanging="720"/>
    </w:pPr>
  </w:style>
  <w:style w:type="paragraph" w:styleId="BodyTextIndent3">
    <w:name w:val="Body Text Indent 3"/>
    <w:basedOn w:val="Normal"/>
    <w:pPr>
      <w:spacing w:line="240" w:lineRule="auto"/>
      <w:jc w:val="left"/>
    </w:pPr>
    <w:rPr>
      <w:i/>
      <w:sz w:val="24"/>
      <w:lang w:val="en-AU"/>
    </w:rPr>
  </w:style>
  <w:style w:type="paragraph" w:styleId="BodyTextIndent2">
    <w:name w:val="Body Text Indent 2"/>
    <w:basedOn w:val="Normal"/>
    <w:pPr>
      <w:ind w:left="1440" w:hanging="720"/>
    </w:pPr>
    <w:rPr>
      <w:i/>
    </w:rPr>
  </w:style>
  <w:style w:type="paragraph" w:customStyle="1" w:styleId="NormalIndent1">
    <w:name w:val="Normal Indent1"/>
    <w:basedOn w:val="Normal"/>
  </w:style>
  <w:style w:type="paragraph" w:customStyle="1" w:styleId="OmniPage7">
    <w:name w:val="OmniPage #7"/>
    <w:basedOn w:val="Normal"/>
    <w:pPr>
      <w:spacing w:line="307" w:lineRule="exact"/>
      <w:ind w:left="58" w:right="197"/>
      <w:jc w:val="left"/>
    </w:pPr>
    <w:rPr>
      <w:noProof/>
      <w:sz w:val="20"/>
    </w:rPr>
  </w:style>
  <w:style w:type="paragraph" w:styleId="BodyText">
    <w:name w:val="Body Text"/>
    <w:basedOn w:val="Normal"/>
    <w:pPr>
      <w:spacing w:line="240" w:lineRule="auto"/>
      <w:ind w:left="0"/>
      <w:jc w:val="left"/>
    </w:pPr>
    <w:rPr>
      <w:sz w:val="24"/>
      <w:lang w:val="en-AU"/>
    </w:rPr>
  </w:style>
  <w:style w:type="character" w:styleId="PageNumber">
    <w:name w:val="page number"/>
    <w:basedOn w:val="DefaultParagraphFont"/>
  </w:style>
  <w:style w:type="paragraph" w:styleId="BodyText2">
    <w:name w:val="Body Text 2"/>
    <w:basedOn w:val="Normal"/>
    <w:pPr>
      <w:spacing w:line="240" w:lineRule="auto"/>
      <w:ind w:left="0" w:right="98"/>
    </w:pPr>
    <w:rPr>
      <w:sz w:val="20"/>
      <w:lang w:val="en-AU"/>
    </w:rPr>
  </w:style>
  <w:style w:type="paragraph" w:styleId="BlockText">
    <w:name w:val="Block Text"/>
    <w:basedOn w:val="Normal"/>
    <w:pPr>
      <w:ind w:left="1440" w:right="98" w:hanging="731"/>
    </w:pPr>
    <w:rPr>
      <w:i/>
    </w:rPr>
  </w:style>
  <w:style w:type="paragraph" w:styleId="BodyText3">
    <w:name w:val="Body Text 3"/>
    <w:basedOn w:val="Normal"/>
    <w:pPr>
      <w:spacing w:line="240" w:lineRule="auto"/>
      <w:ind w:left="0"/>
      <w:jc w:val="left"/>
    </w:pPr>
    <w:rPr>
      <w:b/>
      <w:sz w:val="24"/>
      <w:lang w:val="en-AU"/>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 w:type="paragraph" w:customStyle="1" w:styleId="Styleclauseheading12pt">
    <w:name w:val="Style clause heading + 12 pt"/>
    <w:basedOn w:val="clauseheading"/>
    <w:autoRedefine/>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4003</Characters>
  <Application>Microsoft Office Word</Application>
  <DocSecurity>0</DocSecurity>
  <Lines>33</Lines>
  <Paragraphs>9</Paragraphs>
  <ScaleCrop>false</ScaleCrop>
  <LinksUpToDate>false</LinksUpToDate>
  <CharactersWithSpaces>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2015-04-28T00:26:00Z</dcterms:created>
  <dcterms:modified xsi:type="dcterms:W3CDTF">2015-04-28T00:27:00Z</dcterms:modified>
</cp:coreProperties>
</file>