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3B" w:rsidRDefault="006C3A94">
      <w:pPr>
        <w:pStyle w:val="sop"/>
        <w:spacing w:before="0" w:after="0"/>
        <w:ind w:left="0"/>
        <w:rPr>
          <w:rFonts w:ascii="Arial" w:hAnsi="Arial"/>
        </w:rPr>
      </w:pPr>
      <w:bookmarkStart w:id="0" w:name="_GoBack"/>
      <w:bookmarkEnd w:id="0"/>
      <w:r>
        <w:rPr>
          <w:noProof/>
          <w:lang w:val="en-AU" w:eastAsia="en-AU"/>
        </w:rPr>
        <w:drawing>
          <wp:inline distT="0" distB="0" distL="0" distR="0">
            <wp:extent cx="1752600" cy="93726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7260"/>
                    </a:xfrm>
                    <a:prstGeom prst="rect">
                      <a:avLst/>
                    </a:prstGeom>
                    <a:noFill/>
                    <a:ln>
                      <a:noFill/>
                    </a:ln>
                  </pic:spPr>
                </pic:pic>
              </a:graphicData>
            </a:graphic>
          </wp:inline>
        </w:drawing>
      </w:r>
    </w:p>
    <w:p w:rsidR="00A53A3B" w:rsidRDefault="00A53A3B">
      <w:pPr>
        <w:pStyle w:val="sop"/>
        <w:ind w:left="0"/>
        <w:rPr>
          <w:rFonts w:ascii="Arial" w:hAnsi="Arial"/>
        </w:rPr>
      </w:pPr>
    </w:p>
    <w:p w:rsidR="00A53A3B" w:rsidRDefault="006C3A94">
      <w:pPr>
        <w:ind w:left="0"/>
        <w:jc w:val="center"/>
        <w:outlineLvl w:val="0"/>
        <w:rPr>
          <w:rFonts w:ascii="Arial" w:hAnsi="Arial"/>
          <w:sz w:val="40"/>
        </w:rPr>
      </w:pPr>
      <w:r>
        <w:rPr>
          <w:rFonts w:ascii="Arial" w:hAnsi="Arial"/>
          <w:sz w:val="40"/>
        </w:rPr>
        <w:t>Statement of Principles</w:t>
      </w:r>
    </w:p>
    <w:p w:rsidR="00A53A3B" w:rsidRDefault="006C3A94">
      <w:pPr>
        <w:ind w:left="0"/>
        <w:jc w:val="center"/>
        <w:outlineLvl w:val="0"/>
        <w:rPr>
          <w:rFonts w:ascii="Arial" w:hAnsi="Arial"/>
          <w:sz w:val="28"/>
        </w:rPr>
      </w:pPr>
      <w:r>
        <w:rPr>
          <w:rFonts w:ascii="Arial" w:hAnsi="Arial"/>
          <w:sz w:val="28"/>
        </w:rPr>
        <w:t>concerning</w:t>
      </w:r>
    </w:p>
    <w:p w:rsidR="00A53A3B" w:rsidRDefault="00A53A3B">
      <w:pPr>
        <w:ind w:left="0"/>
        <w:jc w:val="center"/>
        <w:rPr>
          <w:rFonts w:ascii="Arial" w:hAnsi="Arial"/>
          <w:sz w:val="28"/>
        </w:rPr>
      </w:pPr>
    </w:p>
    <w:p w:rsidR="00A53A3B" w:rsidRDefault="00FA1721">
      <w:pPr>
        <w:ind w:left="0"/>
        <w:jc w:val="center"/>
        <w:outlineLvl w:val="0"/>
        <w:rPr>
          <w:rFonts w:ascii="Arial" w:hAnsi="Arial"/>
          <w:b/>
          <w:sz w:val="40"/>
        </w:rPr>
      </w:pPr>
      <w:r>
        <w:rPr>
          <w:rFonts w:ascii="Arial" w:hAnsi="Arial"/>
          <w:b/>
          <w:sz w:val="40"/>
        </w:rPr>
        <w:t>SEBORRHOEIC KERATOSIS</w:t>
      </w:r>
    </w:p>
    <w:p w:rsidR="00A53A3B" w:rsidRDefault="006C3A94">
      <w:pPr>
        <w:spacing w:before="240"/>
        <w:ind w:left="0"/>
        <w:jc w:val="center"/>
        <w:outlineLvl w:val="0"/>
        <w:rPr>
          <w:rFonts w:ascii="Arial" w:hAnsi="Arial"/>
          <w:b/>
          <w:sz w:val="40"/>
        </w:rPr>
      </w:pPr>
      <w:r>
        <w:rPr>
          <w:rFonts w:ascii="Arial" w:hAnsi="Arial"/>
          <w:b/>
          <w:sz w:val="40"/>
        </w:rPr>
        <w:t xml:space="preserve">No. </w:t>
      </w:r>
      <w:r w:rsidR="00953244">
        <w:rPr>
          <w:rFonts w:ascii="Arial" w:hAnsi="Arial"/>
          <w:b/>
          <w:sz w:val="40"/>
        </w:rPr>
        <w:t>5</w:t>
      </w:r>
      <w:r w:rsidR="000807DC">
        <w:rPr>
          <w:rFonts w:ascii="Arial" w:hAnsi="Arial"/>
          <w:b/>
          <w:sz w:val="40"/>
        </w:rPr>
        <w:t>5</w:t>
      </w:r>
      <w:r>
        <w:rPr>
          <w:rFonts w:ascii="Arial" w:hAnsi="Arial"/>
          <w:b/>
          <w:sz w:val="40"/>
        </w:rPr>
        <w:t xml:space="preserve"> of </w:t>
      </w:r>
      <w:r w:rsidR="00FA1721">
        <w:rPr>
          <w:rFonts w:ascii="Arial" w:hAnsi="Arial"/>
          <w:b/>
          <w:sz w:val="40"/>
        </w:rPr>
        <w:t>2015</w:t>
      </w:r>
    </w:p>
    <w:p w:rsidR="00A53A3B" w:rsidRDefault="00A53A3B">
      <w:pPr>
        <w:ind w:left="0"/>
        <w:jc w:val="center"/>
        <w:rPr>
          <w:rFonts w:ascii="Arial" w:hAnsi="Arial"/>
          <w:b/>
          <w:sz w:val="24"/>
        </w:rPr>
      </w:pPr>
    </w:p>
    <w:p w:rsidR="00A53A3B" w:rsidRDefault="006C3A94">
      <w:pPr>
        <w:ind w:left="0"/>
        <w:jc w:val="center"/>
        <w:rPr>
          <w:rFonts w:ascii="Arial" w:hAnsi="Arial"/>
          <w:sz w:val="28"/>
        </w:rPr>
      </w:pPr>
      <w:r>
        <w:rPr>
          <w:rFonts w:ascii="Arial" w:hAnsi="Arial"/>
          <w:sz w:val="28"/>
        </w:rPr>
        <w:t>for the purposes of the</w:t>
      </w:r>
    </w:p>
    <w:p w:rsidR="00A53A3B" w:rsidRDefault="00A53A3B">
      <w:pPr>
        <w:ind w:left="0"/>
        <w:jc w:val="center"/>
        <w:rPr>
          <w:rFonts w:ascii="Arial" w:hAnsi="Arial"/>
          <w:b/>
          <w:sz w:val="24"/>
        </w:rPr>
      </w:pPr>
    </w:p>
    <w:p w:rsidR="00A53A3B" w:rsidRDefault="006C3A94">
      <w:pPr>
        <w:ind w:left="0"/>
        <w:jc w:val="center"/>
        <w:outlineLvl w:val="0"/>
        <w:rPr>
          <w:rFonts w:ascii="Arial" w:hAnsi="Arial"/>
          <w:i/>
          <w:sz w:val="32"/>
        </w:rPr>
      </w:pPr>
      <w:r>
        <w:rPr>
          <w:rFonts w:ascii="Arial" w:hAnsi="Arial"/>
          <w:i/>
          <w:sz w:val="32"/>
        </w:rPr>
        <w:t>Veterans’ Entitlements Act 1986</w:t>
      </w:r>
    </w:p>
    <w:p w:rsidR="00A53A3B" w:rsidRDefault="006C3A94">
      <w:pPr>
        <w:ind w:left="0"/>
        <w:jc w:val="center"/>
        <w:rPr>
          <w:rFonts w:ascii="Arial" w:hAnsi="Arial"/>
          <w:sz w:val="28"/>
        </w:rPr>
      </w:pPr>
      <w:r>
        <w:rPr>
          <w:rFonts w:ascii="Arial" w:hAnsi="Arial"/>
          <w:sz w:val="28"/>
        </w:rPr>
        <w:t>and</w:t>
      </w:r>
    </w:p>
    <w:p w:rsidR="00A53A3B" w:rsidRDefault="006C3A94">
      <w:pPr>
        <w:ind w:left="0"/>
        <w:jc w:val="center"/>
        <w:rPr>
          <w:rFonts w:ascii="Arial" w:hAnsi="Arial"/>
          <w:sz w:val="32"/>
        </w:rPr>
      </w:pPr>
      <w:r>
        <w:rPr>
          <w:rFonts w:ascii="Arial" w:hAnsi="Arial"/>
          <w:i/>
          <w:sz w:val="32"/>
        </w:rPr>
        <w:t>Military Rehabilitation and Compensation Act 2004</w:t>
      </w:r>
    </w:p>
    <w:p w:rsidR="00A53A3B" w:rsidRDefault="006C3A94">
      <w:pPr>
        <w:pStyle w:val="clauseheading"/>
      </w:pPr>
      <w:r>
        <w:t>Title</w:t>
      </w:r>
    </w:p>
    <w:p w:rsidR="00A53A3B" w:rsidRDefault="006C3A94">
      <w:pPr>
        <w:ind w:hanging="720"/>
        <w:rPr>
          <w:sz w:val="24"/>
          <w:szCs w:val="24"/>
        </w:rPr>
      </w:pPr>
      <w:r>
        <w:rPr>
          <w:b/>
          <w:sz w:val="24"/>
          <w:szCs w:val="24"/>
        </w:rPr>
        <w:t>1.</w:t>
      </w:r>
      <w:r>
        <w:rPr>
          <w:sz w:val="24"/>
          <w:szCs w:val="24"/>
        </w:rPr>
        <w:tab/>
        <w:t xml:space="preserve">This Instrument may be cited as Statement of Principles concerning </w:t>
      </w:r>
      <w:r w:rsidR="00FA1721">
        <w:rPr>
          <w:sz w:val="24"/>
          <w:szCs w:val="24"/>
        </w:rPr>
        <w:t>seborrhoeic keratosis</w:t>
      </w:r>
      <w:r>
        <w:rPr>
          <w:sz w:val="24"/>
          <w:szCs w:val="24"/>
        </w:rPr>
        <w:t xml:space="preserve"> No. </w:t>
      </w:r>
      <w:r w:rsidR="00953244">
        <w:rPr>
          <w:sz w:val="24"/>
          <w:szCs w:val="24"/>
        </w:rPr>
        <w:t>5</w:t>
      </w:r>
      <w:r w:rsidR="000807DC">
        <w:rPr>
          <w:sz w:val="24"/>
          <w:szCs w:val="24"/>
        </w:rPr>
        <w:t>5</w:t>
      </w:r>
      <w:r>
        <w:rPr>
          <w:sz w:val="24"/>
          <w:szCs w:val="24"/>
        </w:rPr>
        <w:t xml:space="preserve"> of </w:t>
      </w:r>
      <w:r w:rsidR="00FA1721">
        <w:rPr>
          <w:sz w:val="24"/>
          <w:szCs w:val="24"/>
        </w:rPr>
        <w:t>2015</w:t>
      </w:r>
      <w:r>
        <w:rPr>
          <w:sz w:val="24"/>
          <w:szCs w:val="24"/>
        </w:rPr>
        <w:t>.</w:t>
      </w:r>
    </w:p>
    <w:p w:rsidR="00A53A3B" w:rsidRDefault="006C3A94">
      <w:pPr>
        <w:pStyle w:val="clauseheading"/>
      </w:pPr>
      <w:r>
        <w:t>Determination</w:t>
      </w:r>
    </w:p>
    <w:p w:rsidR="00A53A3B" w:rsidRDefault="006C3A94">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A53A3B" w:rsidRDefault="006C3A94">
      <w:pPr>
        <w:pStyle w:val="BodyTextIndent"/>
        <w:spacing w:before="120"/>
        <w:rPr>
          <w:sz w:val="24"/>
          <w:szCs w:val="24"/>
        </w:rPr>
      </w:pPr>
      <w:r>
        <w:rPr>
          <w:sz w:val="24"/>
          <w:szCs w:val="24"/>
        </w:rPr>
        <w:t>(a)</w:t>
      </w:r>
      <w:r>
        <w:rPr>
          <w:sz w:val="24"/>
          <w:szCs w:val="24"/>
        </w:rPr>
        <w:tab/>
        <w:t xml:space="preserve">revokes Instrument No. </w:t>
      </w:r>
      <w:r w:rsidR="00FA1721">
        <w:rPr>
          <w:sz w:val="24"/>
          <w:szCs w:val="24"/>
        </w:rPr>
        <w:t>31</w:t>
      </w:r>
      <w:r>
        <w:rPr>
          <w:sz w:val="24"/>
          <w:szCs w:val="24"/>
        </w:rPr>
        <w:t xml:space="preserve"> of </w:t>
      </w:r>
      <w:r w:rsidR="00FA1721">
        <w:rPr>
          <w:sz w:val="24"/>
          <w:szCs w:val="24"/>
        </w:rPr>
        <w:t>2006</w:t>
      </w:r>
      <w:r>
        <w:rPr>
          <w:sz w:val="24"/>
          <w:szCs w:val="24"/>
        </w:rPr>
        <w:t xml:space="preserve"> concerning </w:t>
      </w:r>
      <w:r w:rsidR="00FA1721">
        <w:rPr>
          <w:sz w:val="24"/>
          <w:szCs w:val="24"/>
        </w:rPr>
        <w:t>seborrhoeic keratosis</w:t>
      </w:r>
      <w:r>
        <w:rPr>
          <w:sz w:val="24"/>
          <w:szCs w:val="24"/>
        </w:rPr>
        <w:t>; and</w:t>
      </w:r>
    </w:p>
    <w:p w:rsidR="00A53A3B" w:rsidRDefault="006C3A94">
      <w:pPr>
        <w:pStyle w:val="BodyTextIndent"/>
        <w:spacing w:before="120"/>
        <w:rPr>
          <w:sz w:val="24"/>
          <w:szCs w:val="24"/>
        </w:rPr>
      </w:pPr>
      <w:r>
        <w:rPr>
          <w:sz w:val="24"/>
          <w:szCs w:val="24"/>
        </w:rPr>
        <w:t>(b)</w:t>
      </w:r>
      <w:r>
        <w:rPr>
          <w:sz w:val="24"/>
          <w:szCs w:val="24"/>
        </w:rPr>
        <w:tab/>
        <w:t>determines in its place this Statement of Principles.</w:t>
      </w:r>
    </w:p>
    <w:p w:rsidR="00A53A3B" w:rsidRDefault="006C3A94">
      <w:pPr>
        <w:pStyle w:val="clauseheading"/>
      </w:pPr>
      <w:r>
        <w:t>Kind of injury, disease or death</w:t>
      </w:r>
    </w:p>
    <w:p w:rsidR="00A53A3B" w:rsidRDefault="006C3A94">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FA1721">
        <w:rPr>
          <w:b/>
          <w:sz w:val="24"/>
          <w:szCs w:val="24"/>
        </w:rPr>
        <w:t>seborrhoeic keratosis</w:t>
      </w:r>
      <w:r>
        <w:rPr>
          <w:b/>
          <w:sz w:val="24"/>
          <w:szCs w:val="24"/>
        </w:rPr>
        <w:t xml:space="preserve"> </w:t>
      </w:r>
      <w:r>
        <w:rPr>
          <w:sz w:val="24"/>
          <w:szCs w:val="24"/>
        </w:rPr>
        <w:t xml:space="preserve">and </w:t>
      </w:r>
      <w:r>
        <w:rPr>
          <w:b/>
          <w:sz w:val="24"/>
          <w:szCs w:val="24"/>
        </w:rPr>
        <w:t xml:space="preserve">death from </w:t>
      </w:r>
      <w:r w:rsidR="00FA1721">
        <w:rPr>
          <w:b/>
          <w:sz w:val="24"/>
          <w:szCs w:val="24"/>
        </w:rPr>
        <w:t>seborrhoeic keratosis</w:t>
      </w:r>
      <w:r>
        <w:rPr>
          <w:sz w:val="24"/>
          <w:szCs w:val="24"/>
        </w:rPr>
        <w:t>.</w:t>
      </w:r>
    </w:p>
    <w:p w:rsidR="00A53A3B" w:rsidRPr="00FA1721" w:rsidRDefault="006C3A94">
      <w:pPr>
        <w:numPr>
          <w:ilvl w:val="0"/>
          <w:numId w:val="2"/>
        </w:numPr>
        <w:spacing w:after="120" w:line="240" w:lineRule="auto"/>
        <w:rPr>
          <w:sz w:val="24"/>
          <w:szCs w:val="24"/>
        </w:rPr>
      </w:pPr>
      <w:r w:rsidRPr="00FA1721">
        <w:rPr>
          <w:sz w:val="24"/>
          <w:szCs w:val="24"/>
        </w:rPr>
        <w:t xml:space="preserve">For the purposes of this Statement of Principles, </w:t>
      </w:r>
      <w:r w:rsidRPr="00FA1721">
        <w:rPr>
          <w:b/>
          <w:sz w:val="24"/>
          <w:szCs w:val="24"/>
        </w:rPr>
        <w:t>"</w:t>
      </w:r>
      <w:r w:rsidR="00FA1721" w:rsidRPr="00FA1721">
        <w:rPr>
          <w:b/>
          <w:sz w:val="24"/>
          <w:szCs w:val="24"/>
        </w:rPr>
        <w:t>seborrhoeic keratosis</w:t>
      </w:r>
      <w:r w:rsidRPr="00FA1721">
        <w:rPr>
          <w:b/>
          <w:sz w:val="24"/>
          <w:szCs w:val="24"/>
        </w:rPr>
        <w:t>"</w:t>
      </w:r>
      <w:r w:rsidRPr="00FA1721">
        <w:rPr>
          <w:sz w:val="24"/>
          <w:szCs w:val="24"/>
        </w:rPr>
        <w:t xml:space="preserve"> means </w:t>
      </w:r>
      <w:r w:rsidR="00FA1721" w:rsidRPr="00FA1721">
        <w:rPr>
          <w:sz w:val="24"/>
          <w:szCs w:val="24"/>
        </w:rPr>
        <w:t xml:space="preserve">a benign, non-invasive skin tumour with histopathological features including hyperkeratosis, acanthosis and papillomatosis with horny invaginations known as pseudo-horn cysts. </w:t>
      </w:r>
      <w:r w:rsidR="00D43F78">
        <w:rPr>
          <w:sz w:val="24"/>
          <w:szCs w:val="24"/>
        </w:rPr>
        <w:t xml:space="preserve"> </w:t>
      </w:r>
      <w:r w:rsidR="00FA1721" w:rsidRPr="00FA1721">
        <w:rPr>
          <w:sz w:val="24"/>
          <w:szCs w:val="24"/>
        </w:rPr>
        <w:t xml:space="preserve">Proliferation of squamous cells and basaloid cells occurs in the acanthotic epidermis. </w:t>
      </w:r>
      <w:r w:rsidR="00D43F78">
        <w:rPr>
          <w:sz w:val="24"/>
          <w:szCs w:val="24"/>
        </w:rPr>
        <w:t xml:space="preserve"> </w:t>
      </w:r>
      <w:r w:rsidR="00FA1721" w:rsidRPr="00FA1721">
        <w:rPr>
          <w:sz w:val="24"/>
          <w:szCs w:val="24"/>
        </w:rPr>
        <w:t xml:space="preserve">This lesion commonly presents as a soft, friable plaque that shows slight to marked pigmentation, and displays a </w:t>
      </w:r>
      <w:r w:rsidR="000807DC">
        <w:rPr>
          <w:sz w:val="24"/>
          <w:szCs w:val="24"/>
        </w:rPr>
        <w:t>"</w:t>
      </w:r>
      <w:r w:rsidR="00FA1721" w:rsidRPr="00FA1721">
        <w:rPr>
          <w:sz w:val="24"/>
          <w:szCs w:val="24"/>
        </w:rPr>
        <w:t>stuck on</w:t>
      </w:r>
      <w:r w:rsidR="000807DC">
        <w:rPr>
          <w:sz w:val="24"/>
          <w:szCs w:val="24"/>
        </w:rPr>
        <w:t>"</w:t>
      </w:r>
      <w:r w:rsidR="00FA1721" w:rsidRPr="00FA1721">
        <w:rPr>
          <w:sz w:val="24"/>
          <w:szCs w:val="24"/>
        </w:rPr>
        <w:t xml:space="preserve"> appearance macroscopically.</w:t>
      </w:r>
    </w:p>
    <w:p w:rsidR="00A53A3B" w:rsidRPr="00FA1721" w:rsidRDefault="00FA1721">
      <w:pPr>
        <w:numPr>
          <w:ilvl w:val="0"/>
          <w:numId w:val="2"/>
        </w:numPr>
        <w:spacing w:after="120" w:line="240" w:lineRule="auto"/>
        <w:rPr>
          <w:sz w:val="24"/>
          <w:szCs w:val="24"/>
        </w:rPr>
      </w:pPr>
      <w:r w:rsidRPr="00FA1721">
        <w:rPr>
          <w:sz w:val="24"/>
          <w:szCs w:val="24"/>
        </w:rPr>
        <w:t>Seborrhoeic keratosis</w:t>
      </w:r>
      <w:r w:rsidR="006C3A94" w:rsidRPr="00FA1721">
        <w:rPr>
          <w:sz w:val="24"/>
          <w:szCs w:val="24"/>
        </w:rPr>
        <w:t xml:space="preserve"> attracts ICD-10-AM code </w:t>
      </w:r>
      <w:r w:rsidRPr="00FA1721">
        <w:rPr>
          <w:sz w:val="24"/>
          <w:szCs w:val="24"/>
        </w:rPr>
        <w:t>L82</w:t>
      </w:r>
      <w:r w:rsidR="006C3A94" w:rsidRPr="00FA1721">
        <w:rPr>
          <w:sz w:val="24"/>
          <w:szCs w:val="24"/>
        </w:rPr>
        <w:t>.</w:t>
      </w:r>
    </w:p>
    <w:p w:rsidR="00A53A3B" w:rsidRPr="00FA1721" w:rsidRDefault="006C3A94">
      <w:pPr>
        <w:numPr>
          <w:ilvl w:val="0"/>
          <w:numId w:val="6"/>
        </w:numPr>
        <w:spacing w:line="240" w:lineRule="auto"/>
        <w:rPr>
          <w:sz w:val="24"/>
          <w:szCs w:val="24"/>
        </w:rPr>
      </w:pPr>
      <w:r w:rsidRPr="00FA1721">
        <w:rPr>
          <w:sz w:val="24"/>
          <w:szCs w:val="24"/>
        </w:rPr>
        <w:lastRenderedPageBreak/>
        <w:t xml:space="preserve">In the application of this Statement of Principles, the definition of </w:t>
      </w:r>
      <w:r w:rsidRPr="00FA1721">
        <w:rPr>
          <w:b/>
          <w:sz w:val="24"/>
          <w:szCs w:val="24"/>
        </w:rPr>
        <w:t>"</w:t>
      </w:r>
      <w:r w:rsidR="00FA1721" w:rsidRPr="00FA1721">
        <w:rPr>
          <w:b/>
          <w:sz w:val="24"/>
          <w:szCs w:val="24"/>
        </w:rPr>
        <w:t>seborrhoeic keratosis</w:t>
      </w:r>
      <w:r w:rsidRPr="00FA1721">
        <w:rPr>
          <w:b/>
          <w:sz w:val="24"/>
          <w:szCs w:val="24"/>
        </w:rPr>
        <w:t xml:space="preserve">" </w:t>
      </w:r>
      <w:r w:rsidRPr="00FA1721">
        <w:rPr>
          <w:sz w:val="24"/>
          <w:szCs w:val="24"/>
        </w:rPr>
        <w:t>is that given at paragraph 3(b) above.</w:t>
      </w:r>
    </w:p>
    <w:p w:rsidR="00A53A3B" w:rsidRDefault="006C3A94">
      <w:pPr>
        <w:pStyle w:val="clauseheading"/>
      </w:pPr>
      <w:r>
        <w:t>Basis for determining the factors</w:t>
      </w:r>
    </w:p>
    <w:p w:rsidR="00A53A3B" w:rsidRDefault="006C3A94">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sidR="00FA1721">
        <w:rPr>
          <w:b/>
          <w:sz w:val="24"/>
          <w:szCs w:val="24"/>
        </w:rPr>
        <w:t>seborrhoeic keratosis</w:t>
      </w:r>
      <w:r>
        <w:rPr>
          <w:b/>
          <w:sz w:val="24"/>
          <w:szCs w:val="24"/>
        </w:rPr>
        <w:t xml:space="preserve"> </w:t>
      </w:r>
      <w:r>
        <w:rPr>
          <w:sz w:val="24"/>
          <w:szCs w:val="24"/>
        </w:rPr>
        <w:t>and</w:t>
      </w:r>
      <w:r>
        <w:rPr>
          <w:b/>
          <w:sz w:val="24"/>
          <w:szCs w:val="24"/>
        </w:rPr>
        <w:t xml:space="preserve"> death from </w:t>
      </w:r>
      <w:r w:rsidR="00FA1721">
        <w:rPr>
          <w:b/>
          <w:sz w:val="24"/>
          <w:szCs w:val="24"/>
        </w:rPr>
        <w:t>seborrhoeic keratosis</w:t>
      </w:r>
      <w:r>
        <w:rPr>
          <w:b/>
          <w:sz w:val="24"/>
          <w:szCs w:val="24"/>
        </w:rPr>
        <w:t xml:space="preserve">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A53A3B" w:rsidRDefault="006C3A94">
      <w:pPr>
        <w:pStyle w:val="clauseheading"/>
      </w:pPr>
      <w:r>
        <w:t>Factors that must be related to service</w:t>
      </w:r>
    </w:p>
    <w:p w:rsidR="00A53A3B" w:rsidRDefault="006C3A94">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A53A3B" w:rsidRDefault="006C3A94">
      <w:pPr>
        <w:pStyle w:val="clauseheading"/>
      </w:pPr>
      <w:r>
        <w:t>Factors</w:t>
      </w:r>
    </w:p>
    <w:p w:rsidR="00A53A3B" w:rsidRDefault="006C3A94">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sidR="00FA1721">
        <w:rPr>
          <w:b/>
          <w:sz w:val="24"/>
          <w:szCs w:val="24"/>
        </w:rPr>
        <w:t>seborrhoeic keratosis</w:t>
      </w:r>
      <w:r>
        <w:rPr>
          <w:b/>
          <w:sz w:val="24"/>
          <w:szCs w:val="24"/>
        </w:rPr>
        <w:t xml:space="preserve"> </w:t>
      </w:r>
      <w:r>
        <w:rPr>
          <w:sz w:val="24"/>
          <w:szCs w:val="24"/>
        </w:rPr>
        <w:t>or</w:t>
      </w:r>
      <w:r>
        <w:rPr>
          <w:b/>
          <w:sz w:val="24"/>
          <w:szCs w:val="24"/>
        </w:rPr>
        <w:t xml:space="preserve"> death from </w:t>
      </w:r>
      <w:r w:rsidR="00FA1721">
        <w:rPr>
          <w:b/>
          <w:sz w:val="24"/>
          <w:szCs w:val="24"/>
        </w:rPr>
        <w:t>seborrhoeic keratosis</w:t>
      </w:r>
      <w:r>
        <w:rPr>
          <w:b/>
          <w:sz w:val="24"/>
          <w:szCs w:val="24"/>
        </w:rPr>
        <w:t xml:space="preserve"> </w:t>
      </w:r>
      <w:r>
        <w:rPr>
          <w:sz w:val="24"/>
          <w:szCs w:val="24"/>
        </w:rPr>
        <w:t>with the circumstances of a person’s relevant service is:</w:t>
      </w:r>
    </w:p>
    <w:p w:rsidR="00A53A3B" w:rsidRPr="00FA1721" w:rsidRDefault="00FA1721">
      <w:pPr>
        <w:numPr>
          <w:ilvl w:val="0"/>
          <w:numId w:val="4"/>
        </w:numPr>
        <w:spacing w:after="120" w:line="240" w:lineRule="auto"/>
        <w:rPr>
          <w:sz w:val="24"/>
          <w:szCs w:val="24"/>
          <w:lang w:val="en-US"/>
        </w:rPr>
      </w:pPr>
      <w:r w:rsidRPr="00FA1721">
        <w:rPr>
          <w:sz w:val="24"/>
          <w:szCs w:val="24"/>
        </w:rPr>
        <w:t>having sunlight exposure to unprotected skin at the affected site for at least 2</w:t>
      </w:r>
      <w:r w:rsidR="000807DC">
        <w:rPr>
          <w:sz w:val="24"/>
          <w:szCs w:val="24"/>
        </w:rPr>
        <w:t> </w:t>
      </w:r>
      <w:r w:rsidRPr="00FA1721">
        <w:rPr>
          <w:sz w:val="24"/>
          <w:szCs w:val="24"/>
        </w:rPr>
        <w:t>250 hours while in a tropical area, or having equivalent sunlight exposure in other latitude zones, before the clinical onset of seborrhoeic keratosis; or</w:t>
      </w:r>
    </w:p>
    <w:p w:rsidR="00A53A3B" w:rsidRDefault="006C3A94">
      <w:pPr>
        <w:numPr>
          <w:ilvl w:val="0"/>
          <w:numId w:val="4"/>
        </w:numPr>
        <w:spacing w:line="240" w:lineRule="auto"/>
        <w:rPr>
          <w:sz w:val="24"/>
          <w:szCs w:val="24"/>
        </w:rPr>
      </w:pPr>
      <w:r>
        <w:rPr>
          <w:sz w:val="24"/>
          <w:szCs w:val="24"/>
        </w:rPr>
        <w:t xml:space="preserve">inability to obtain appropriate clinical management for </w:t>
      </w:r>
      <w:r w:rsidR="00FA1721">
        <w:rPr>
          <w:sz w:val="24"/>
          <w:szCs w:val="24"/>
        </w:rPr>
        <w:t>seborrhoeic keratosis</w:t>
      </w:r>
      <w:r>
        <w:rPr>
          <w:sz w:val="24"/>
          <w:szCs w:val="24"/>
        </w:rPr>
        <w:t>.</w:t>
      </w:r>
    </w:p>
    <w:p w:rsidR="00A53A3B" w:rsidRDefault="006C3A94">
      <w:pPr>
        <w:pStyle w:val="clauseheading"/>
      </w:pPr>
      <w:r>
        <w:t>Factors that apply only to material contribution or aggravation</w:t>
      </w:r>
    </w:p>
    <w:p w:rsidR="00A53A3B" w:rsidRDefault="006C3A94">
      <w:pPr>
        <w:ind w:hanging="720"/>
        <w:rPr>
          <w:sz w:val="24"/>
          <w:szCs w:val="24"/>
        </w:rPr>
      </w:pPr>
      <w:r>
        <w:rPr>
          <w:b/>
          <w:sz w:val="24"/>
          <w:szCs w:val="24"/>
        </w:rPr>
        <w:t>7.</w:t>
      </w:r>
      <w:r>
        <w:rPr>
          <w:sz w:val="24"/>
          <w:szCs w:val="24"/>
        </w:rPr>
        <w:tab/>
        <w:t xml:space="preserve">Paragraph </w:t>
      </w:r>
      <w:r>
        <w:rPr>
          <w:b/>
          <w:sz w:val="24"/>
          <w:szCs w:val="24"/>
        </w:rPr>
        <w:t>6(</w:t>
      </w:r>
      <w:r w:rsidR="00FA1721">
        <w:rPr>
          <w:b/>
          <w:sz w:val="24"/>
          <w:szCs w:val="24"/>
        </w:rPr>
        <w:t>b</w:t>
      </w:r>
      <w:r>
        <w:rPr>
          <w:b/>
          <w:sz w:val="24"/>
          <w:szCs w:val="24"/>
        </w:rPr>
        <w:t xml:space="preserve">) </w:t>
      </w:r>
      <w:r>
        <w:rPr>
          <w:sz w:val="24"/>
          <w:szCs w:val="24"/>
        </w:rPr>
        <w:t xml:space="preserve">applies only to material contribution to, or aggravation of, </w:t>
      </w:r>
      <w:r w:rsidR="00FA1721">
        <w:rPr>
          <w:sz w:val="24"/>
          <w:szCs w:val="24"/>
        </w:rPr>
        <w:t>seborrhoeic keratosis</w:t>
      </w:r>
      <w:r>
        <w:rPr>
          <w:sz w:val="24"/>
          <w:szCs w:val="24"/>
        </w:rPr>
        <w:t xml:space="preserve"> where the person’s </w:t>
      </w:r>
      <w:r w:rsidR="00FA1721">
        <w:rPr>
          <w:sz w:val="24"/>
          <w:szCs w:val="24"/>
        </w:rPr>
        <w:t>seborrhoeic keratosis</w:t>
      </w:r>
      <w:r>
        <w:rPr>
          <w:sz w:val="24"/>
          <w:szCs w:val="24"/>
        </w:rPr>
        <w:t xml:space="preserve"> was suffered or contracted before or during (but not arising out of) the person’s relevant service.</w:t>
      </w:r>
    </w:p>
    <w:p w:rsidR="00A53A3B" w:rsidRDefault="006C3A94">
      <w:pPr>
        <w:pStyle w:val="clauseheading"/>
      </w:pPr>
      <w:r>
        <w:t>Inclusion of Statements of Principles</w:t>
      </w:r>
    </w:p>
    <w:p w:rsidR="00A53A3B" w:rsidRDefault="006C3A94">
      <w:pPr>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A53A3B" w:rsidRDefault="006C3A94">
      <w:pPr>
        <w:pStyle w:val="clauseheading"/>
      </w:pPr>
      <w:r>
        <w:t>Other definitions</w:t>
      </w:r>
    </w:p>
    <w:p w:rsidR="00A53A3B" w:rsidRDefault="006C3A94">
      <w:pPr>
        <w:spacing w:after="120" w:line="240" w:lineRule="auto"/>
        <w:ind w:left="0"/>
        <w:rPr>
          <w:sz w:val="24"/>
          <w:szCs w:val="24"/>
        </w:rPr>
      </w:pPr>
      <w:r>
        <w:rPr>
          <w:b/>
          <w:sz w:val="24"/>
          <w:szCs w:val="24"/>
        </w:rPr>
        <w:t>9.</w:t>
      </w:r>
      <w:r>
        <w:rPr>
          <w:sz w:val="24"/>
          <w:szCs w:val="24"/>
        </w:rPr>
        <w:tab/>
        <w:t>For the purposes of this Statement of Principles:</w:t>
      </w:r>
    </w:p>
    <w:p w:rsidR="00A53A3B" w:rsidRDefault="006C3A94">
      <w:pPr>
        <w:tabs>
          <w:tab w:val="num" w:pos="709"/>
        </w:tabs>
        <w:spacing w:after="120" w:line="240" w:lineRule="auto"/>
        <w:ind w:left="709"/>
        <w:rPr>
          <w:sz w:val="24"/>
          <w:szCs w:val="24"/>
        </w:rPr>
      </w:pPr>
      <w:r>
        <w:rPr>
          <w:b/>
          <w:sz w:val="24"/>
          <w:szCs w:val="24"/>
        </w:rPr>
        <w:t xml:space="preserve">"death from </w:t>
      </w:r>
      <w:r w:rsidR="00FA1721">
        <w:rPr>
          <w:b/>
          <w:sz w:val="24"/>
          <w:szCs w:val="24"/>
        </w:rPr>
        <w:t>seborrhoeic keratosis</w:t>
      </w:r>
      <w:r>
        <w:rPr>
          <w:b/>
          <w:sz w:val="24"/>
          <w:szCs w:val="24"/>
        </w:rPr>
        <w:t xml:space="preserve">" </w:t>
      </w:r>
      <w:r>
        <w:rPr>
          <w:sz w:val="24"/>
          <w:szCs w:val="24"/>
        </w:rPr>
        <w:t xml:space="preserve">in relation to a person includes death from a terminal event or condition that was contributed to by the person’s </w:t>
      </w:r>
      <w:r w:rsidR="00FA1721">
        <w:rPr>
          <w:sz w:val="24"/>
          <w:szCs w:val="24"/>
        </w:rPr>
        <w:t>seborrhoeic keratosis</w:t>
      </w:r>
      <w:r>
        <w:rPr>
          <w:sz w:val="24"/>
          <w:szCs w:val="24"/>
        </w:rPr>
        <w:t>;</w:t>
      </w:r>
    </w:p>
    <w:p w:rsidR="00FA1721" w:rsidRPr="00FA1721" w:rsidRDefault="00FA1721" w:rsidP="00FA1721">
      <w:pPr>
        <w:pStyle w:val="NormalIndent"/>
        <w:rPr>
          <w:snapToGrid w:val="0"/>
          <w:sz w:val="24"/>
          <w:szCs w:val="24"/>
          <w:lang w:val="en-AU"/>
        </w:rPr>
      </w:pPr>
      <w:r>
        <w:rPr>
          <w:b/>
          <w:snapToGrid w:val="0"/>
          <w:sz w:val="24"/>
          <w:szCs w:val="24"/>
          <w:lang w:val="en-AU"/>
        </w:rPr>
        <w:lastRenderedPageBreak/>
        <w:t>"</w:t>
      </w:r>
      <w:r w:rsidRPr="00FA1721">
        <w:rPr>
          <w:b/>
          <w:snapToGrid w:val="0"/>
          <w:sz w:val="24"/>
          <w:szCs w:val="24"/>
          <w:lang w:val="en-AU"/>
        </w:rPr>
        <w:t>equivalent sunlight exposure in other latitude zones</w:t>
      </w:r>
      <w:r>
        <w:rPr>
          <w:b/>
          <w:snapToGrid w:val="0"/>
          <w:sz w:val="24"/>
          <w:szCs w:val="24"/>
          <w:lang w:val="en-AU"/>
        </w:rPr>
        <w:t>"</w:t>
      </w:r>
      <w:r w:rsidRPr="00FA1721">
        <w:rPr>
          <w:snapToGrid w:val="0"/>
          <w:sz w:val="24"/>
          <w:szCs w:val="24"/>
          <w:lang w:val="en-AU"/>
        </w:rPr>
        <w:t xml:space="preserve"> 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FA1721" w:rsidRPr="00FA1721" w:rsidRDefault="00FA1721" w:rsidP="00FA1721">
      <w:pPr>
        <w:spacing w:before="120"/>
        <w:ind w:firstLine="720"/>
        <w:rPr>
          <w:sz w:val="24"/>
          <w:szCs w:val="24"/>
          <w:u w:val="single"/>
        </w:rPr>
      </w:pPr>
      <w:r w:rsidRPr="00FA1721">
        <w:rPr>
          <w:sz w:val="24"/>
          <w:szCs w:val="24"/>
          <w:u w:val="single"/>
        </w:rPr>
        <w:t>Latitude weighting factor schedule</w:t>
      </w:r>
    </w:p>
    <w:p w:rsidR="00FA1721" w:rsidRPr="00FA1721" w:rsidRDefault="00FA1721" w:rsidP="00FA1721">
      <w:pPr>
        <w:ind w:firstLine="720"/>
        <w:rPr>
          <w:i/>
          <w:sz w:val="24"/>
          <w:szCs w:val="24"/>
          <w:u w:val="single"/>
        </w:rPr>
      </w:pPr>
      <w:r w:rsidRPr="00FA1721">
        <w:rPr>
          <w:i/>
          <w:sz w:val="24"/>
          <w:szCs w:val="24"/>
          <w:u w:val="single"/>
        </w:rPr>
        <w:t>Latitude zone</w:t>
      </w:r>
      <w:r w:rsidRPr="00FA1721">
        <w:rPr>
          <w:i/>
          <w:sz w:val="24"/>
          <w:szCs w:val="24"/>
        </w:rPr>
        <w:tab/>
      </w:r>
      <w:r w:rsidRPr="00FA1721">
        <w:rPr>
          <w:i/>
          <w:sz w:val="24"/>
          <w:szCs w:val="24"/>
        </w:rPr>
        <w:tab/>
      </w:r>
      <w:r w:rsidRPr="00FA1721">
        <w:rPr>
          <w:i/>
          <w:sz w:val="24"/>
          <w:szCs w:val="24"/>
        </w:rPr>
        <w:tab/>
      </w:r>
      <w:r w:rsidRPr="00FA1721">
        <w:rPr>
          <w:i/>
          <w:sz w:val="24"/>
          <w:szCs w:val="24"/>
        </w:rPr>
        <w:tab/>
      </w:r>
      <w:r w:rsidRPr="00FA1721">
        <w:rPr>
          <w:i/>
          <w:sz w:val="24"/>
          <w:szCs w:val="24"/>
        </w:rPr>
        <w:tab/>
        <w:t>L</w:t>
      </w:r>
      <w:r w:rsidRPr="00FA1721">
        <w:rPr>
          <w:i/>
          <w:sz w:val="24"/>
          <w:szCs w:val="24"/>
          <w:u w:val="single"/>
        </w:rPr>
        <w:t>atitude weighting factor</w:t>
      </w:r>
    </w:p>
    <w:p w:rsidR="00FA1721" w:rsidRPr="00FA1721" w:rsidRDefault="00FA1721" w:rsidP="00FA1721">
      <w:pPr>
        <w:ind w:firstLine="720"/>
        <w:rPr>
          <w:sz w:val="24"/>
          <w:szCs w:val="24"/>
        </w:rPr>
      </w:pPr>
      <w:r w:rsidRPr="00FA1721">
        <w:rPr>
          <w:sz w:val="24"/>
          <w:szCs w:val="24"/>
        </w:rPr>
        <w:t>a latitude between 23</w:t>
      </w:r>
      <w:r w:rsidRPr="00FA1721">
        <w:rPr>
          <w:sz w:val="24"/>
          <w:szCs w:val="24"/>
        </w:rPr>
        <w:sym w:font="Symbol" w:char="F0B0"/>
      </w:r>
      <w:r w:rsidRPr="00FA1721">
        <w:rPr>
          <w:sz w:val="24"/>
          <w:szCs w:val="24"/>
        </w:rPr>
        <w:t xml:space="preserve"> 27' S and 23</w:t>
      </w:r>
      <w:r w:rsidRPr="00FA1721">
        <w:rPr>
          <w:sz w:val="24"/>
          <w:szCs w:val="24"/>
        </w:rPr>
        <w:sym w:font="Symbol" w:char="F0B0"/>
      </w:r>
      <w:r w:rsidRPr="00FA1721">
        <w:rPr>
          <w:sz w:val="24"/>
          <w:szCs w:val="24"/>
        </w:rPr>
        <w:t xml:space="preserve"> 27' N</w:t>
      </w:r>
      <w:r w:rsidRPr="00FA1721">
        <w:rPr>
          <w:sz w:val="24"/>
          <w:szCs w:val="24"/>
        </w:rPr>
        <w:tab/>
      </w:r>
      <w:r w:rsidRPr="00FA1721">
        <w:rPr>
          <w:sz w:val="24"/>
          <w:szCs w:val="24"/>
        </w:rPr>
        <w:tab/>
        <w:t>1.0</w:t>
      </w:r>
    </w:p>
    <w:p w:rsidR="00FA1721" w:rsidRPr="00FA1721" w:rsidRDefault="00FA1721" w:rsidP="00FA1721">
      <w:pPr>
        <w:ind w:firstLine="720"/>
        <w:rPr>
          <w:sz w:val="24"/>
          <w:szCs w:val="24"/>
        </w:rPr>
      </w:pPr>
      <w:r w:rsidRPr="00FA1721">
        <w:rPr>
          <w:sz w:val="24"/>
          <w:szCs w:val="24"/>
        </w:rPr>
        <w:t>a latitude from &gt; 23</w:t>
      </w:r>
      <w:r w:rsidRPr="00FA1721">
        <w:rPr>
          <w:sz w:val="24"/>
          <w:szCs w:val="24"/>
        </w:rPr>
        <w:sym w:font="Symbol" w:char="F0B0"/>
      </w:r>
      <w:r w:rsidRPr="00FA1721">
        <w:rPr>
          <w:sz w:val="24"/>
          <w:szCs w:val="24"/>
        </w:rPr>
        <w:t xml:space="preserve"> 27' to 35</w:t>
      </w:r>
      <w:r w:rsidRPr="00FA1721">
        <w:rPr>
          <w:sz w:val="24"/>
          <w:szCs w:val="24"/>
        </w:rPr>
        <w:sym w:font="Symbol" w:char="F0B0"/>
      </w:r>
      <w:r w:rsidRPr="00FA1721">
        <w:rPr>
          <w:sz w:val="24"/>
          <w:szCs w:val="24"/>
        </w:rPr>
        <w:tab/>
      </w:r>
      <w:r w:rsidRPr="00FA1721">
        <w:rPr>
          <w:sz w:val="24"/>
          <w:szCs w:val="24"/>
        </w:rPr>
        <w:tab/>
      </w:r>
      <w:r w:rsidRPr="00FA1721">
        <w:rPr>
          <w:sz w:val="24"/>
          <w:szCs w:val="24"/>
        </w:rPr>
        <w:tab/>
        <w:t>0.75</w:t>
      </w:r>
    </w:p>
    <w:p w:rsidR="00FA1721" w:rsidRPr="00FA1721" w:rsidRDefault="00FA1721" w:rsidP="00FA1721">
      <w:pPr>
        <w:ind w:firstLine="720"/>
        <w:rPr>
          <w:sz w:val="24"/>
          <w:szCs w:val="24"/>
        </w:rPr>
      </w:pPr>
      <w:r w:rsidRPr="00FA1721">
        <w:rPr>
          <w:sz w:val="24"/>
          <w:szCs w:val="24"/>
        </w:rPr>
        <w:t>a latitude from &gt; 35</w:t>
      </w:r>
      <w:r w:rsidRPr="00FA1721">
        <w:rPr>
          <w:sz w:val="24"/>
          <w:szCs w:val="24"/>
        </w:rPr>
        <w:sym w:font="Symbol" w:char="F0B0"/>
      </w:r>
      <w:r w:rsidRPr="00FA1721">
        <w:rPr>
          <w:sz w:val="24"/>
          <w:szCs w:val="24"/>
        </w:rPr>
        <w:t xml:space="preserve"> to 45</w:t>
      </w:r>
      <w:r w:rsidRPr="00FA1721">
        <w:rPr>
          <w:sz w:val="24"/>
          <w:szCs w:val="24"/>
        </w:rPr>
        <w:sym w:font="Symbol" w:char="F0B0"/>
      </w:r>
      <w:r w:rsidRPr="00FA1721">
        <w:rPr>
          <w:sz w:val="24"/>
          <w:szCs w:val="24"/>
        </w:rPr>
        <w:tab/>
      </w:r>
      <w:r w:rsidRPr="00FA1721">
        <w:rPr>
          <w:sz w:val="24"/>
          <w:szCs w:val="24"/>
        </w:rPr>
        <w:tab/>
      </w:r>
      <w:r w:rsidRPr="00FA1721">
        <w:rPr>
          <w:sz w:val="24"/>
          <w:szCs w:val="24"/>
        </w:rPr>
        <w:tab/>
      </w:r>
      <w:r w:rsidRPr="00FA1721">
        <w:rPr>
          <w:sz w:val="24"/>
          <w:szCs w:val="24"/>
        </w:rPr>
        <w:tab/>
        <w:t>0.5</w:t>
      </w:r>
    </w:p>
    <w:p w:rsidR="00FA1721" w:rsidRPr="00FA1721" w:rsidRDefault="00FA1721" w:rsidP="00FA1721">
      <w:pPr>
        <w:spacing w:after="120"/>
        <w:ind w:firstLine="720"/>
        <w:rPr>
          <w:b/>
          <w:sz w:val="24"/>
          <w:szCs w:val="24"/>
        </w:rPr>
      </w:pPr>
      <w:r w:rsidRPr="00FA1721">
        <w:rPr>
          <w:sz w:val="24"/>
          <w:szCs w:val="24"/>
        </w:rPr>
        <w:t>a latitude from &gt; 45</w:t>
      </w:r>
      <w:r w:rsidRPr="00FA1721">
        <w:rPr>
          <w:sz w:val="24"/>
          <w:szCs w:val="24"/>
        </w:rPr>
        <w:sym w:font="Symbol" w:char="F0B0"/>
      </w:r>
      <w:r w:rsidRPr="00FA1721">
        <w:rPr>
          <w:sz w:val="24"/>
          <w:szCs w:val="24"/>
        </w:rPr>
        <w:t xml:space="preserve"> to 65</w:t>
      </w:r>
      <w:r w:rsidRPr="00FA1721">
        <w:rPr>
          <w:sz w:val="24"/>
          <w:szCs w:val="24"/>
        </w:rPr>
        <w:sym w:font="Symbol" w:char="F0B0"/>
      </w:r>
      <w:r w:rsidRPr="00FA1721">
        <w:rPr>
          <w:sz w:val="24"/>
          <w:szCs w:val="24"/>
        </w:rPr>
        <w:tab/>
      </w:r>
      <w:r w:rsidRPr="00FA1721">
        <w:rPr>
          <w:sz w:val="24"/>
          <w:szCs w:val="24"/>
        </w:rPr>
        <w:tab/>
      </w:r>
      <w:r w:rsidRPr="00FA1721">
        <w:rPr>
          <w:sz w:val="24"/>
          <w:szCs w:val="24"/>
        </w:rPr>
        <w:tab/>
      </w:r>
      <w:r w:rsidRPr="00FA1721">
        <w:rPr>
          <w:sz w:val="24"/>
          <w:szCs w:val="24"/>
        </w:rPr>
        <w:tab/>
        <w:t>0.25;</w:t>
      </w:r>
    </w:p>
    <w:p w:rsidR="00A53A3B" w:rsidRDefault="006C3A94">
      <w:pPr>
        <w:tabs>
          <w:tab w:val="num" w:pos="709"/>
        </w:tabs>
        <w:spacing w:after="120" w:line="240" w:lineRule="auto"/>
        <w:ind w:left="709"/>
        <w:rPr>
          <w:sz w:val="24"/>
          <w:szCs w:val="24"/>
        </w:rPr>
      </w:pPr>
      <w:r>
        <w:rPr>
          <w:b/>
          <w:sz w:val="24"/>
          <w:szCs w:val="24"/>
        </w:rPr>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A53A3B" w:rsidRDefault="006C3A94">
      <w:pPr>
        <w:tabs>
          <w:tab w:val="num" w:pos="709"/>
        </w:tabs>
        <w:spacing w:after="60" w:line="240" w:lineRule="auto"/>
        <w:ind w:left="709"/>
        <w:rPr>
          <w:sz w:val="24"/>
          <w:szCs w:val="24"/>
        </w:rPr>
      </w:pPr>
      <w:r>
        <w:rPr>
          <w:b/>
          <w:sz w:val="24"/>
          <w:szCs w:val="24"/>
        </w:rPr>
        <w:t>"relevant service"</w:t>
      </w:r>
      <w:r>
        <w:rPr>
          <w:sz w:val="24"/>
          <w:szCs w:val="24"/>
        </w:rPr>
        <w:t xml:space="preserve"> means:</w:t>
      </w:r>
    </w:p>
    <w:p w:rsidR="00A53A3B" w:rsidRDefault="006C3A94">
      <w:pPr>
        <w:numPr>
          <w:ilvl w:val="0"/>
          <w:numId w:val="3"/>
        </w:numPr>
        <w:tabs>
          <w:tab w:val="clear" w:pos="1440"/>
        </w:tabs>
        <w:spacing w:line="240" w:lineRule="auto"/>
        <w:ind w:left="1418"/>
        <w:rPr>
          <w:sz w:val="24"/>
          <w:szCs w:val="24"/>
        </w:rPr>
      </w:pPr>
      <w:r>
        <w:rPr>
          <w:sz w:val="24"/>
          <w:szCs w:val="24"/>
        </w:rPr>
        <w:t xml:space="preserve">operational service under the VEA; </w:t>
      </w:r>
    </w:p>
    <w:p w:rsidR="00A53A3B" w:rsidRDefault="006C3A94">
      <w:pPr>
        <w:numPr>
          <w:ilvl w:val="0"/>
          <w:numId w:val="3"/>
        </w:numPr>
        <w:tabs>
          <w:tab w:val="clear" w:pos="1440"/>
        </w:tabs>
        <w:spacing w:line="240" w:lineRule="auto"/>
        <w:ind w:left="1418"/>
        <w:rPr>
          <w:sz w:val="24"/>
          <w:szCs w:val="24"/>
        </w:rPr>
      </w:pPr>
      <w:r>
        <w:rPr>
          <w:sz w:val="24"/>
          <w:szCs w:val="24"/>
        </w:rPr>
        <w:t xml:space="preserve">peacekeeping service under the VEA; </w:t>
      </w:r>
    </w:p>
    <w:p w:rsidR="00A53A3B" w:rsidRDefault="006C3A94">
      <w:pPr>
        <w:numPr>
          <w:ilvl w:val="0"/>
          <w:numId w:val="3"/>
        </w:numPr>
        <w:tabs>
          <w:tab w:val="clear" w:pos="1440"/>
        </w:tabs>
        <w:spacing w:line="240" w:lineRule="auto"/>
        <w:ind w:left="1418"/>
        <w:rPr>
          <w:sz w:val="24"/>
          <w:szCs w:val="24"/>
        </w:rPr>
      </w:pPr>
      <w:r>
        <w:rPr>
          <w:sz w:val="24"/>
          <w:szCs w:val="24"/>
        </w:rPr>
        <w:t xml:space="preserve">hazardous service under the VEA; </w:t>
      </w:r>
    </w:p>
    <w:p w:rsidR="00A53A3B" w:rsidRDefault="006C3A94">
      <w:pPr>
        <w:numPr>
          <w:ilvl w:val="0"/>
          <w:numId w:val="3"/>
        </w:numPr>
        <w:tabs>
          <w:tab w:val="clear" w:pos="1440"/>
        </w:tabs>
        <w:spacing w:line="240" w:lineRule="auto"/>
        <w:ind w:left="1418"/>
        <w:rPr>
          <w:sz w:val="24"/>
          <w:szCs w:val="24"/>
        </w:rPr>
      </w:pPr>
      <w:r>
        <w:rPr>
          <w:sz w:val="24"/>
          <w:szCs w:val="24"/>
        </w:rPr>
        <w:t>British nuclear test defence service under the VEA;</w:t>
      </w:r>
    </w:p>
    <w:p w:rsidR="00A53A3B" w:rsidRDefault="006C3A94">
      <w:pPr>
        <w:numPr>
          <w:ilvl w:val="0"/>
          <w:numId w:val="3"/>
        </w:numPr>
        <w:tabs>
          <w:tab w:val="clear" w:pos="1440"/>
        </w:tabs>
        <w:spacing w:line="240" w:lineRule="auto"/>
        <w:ind w:left="1418"/>
        <w:rPr>
          <w:sz w:val="24"/>
          <w:szCs w:val="24"/>
        </w:rPr>
      </w:pPr>
      <w:r>
        <w:rPr>
          <w:sz w:val="24"/>
          <w:szCs w:val="24"/>
        </w:rPr>
        <w:t>warlike service under the MRCA; or</w:t>
      </w:r>
    </w:p>
    <w:p w:rsidR="00A53A3B" w:rsidRDefault="006C3A94">
      <w:pPr>
        <w:numPr>
          <w:ilvl w:val="0"/>
          <w:numId w:val="3"/>
        </w:numPr>
        <w:tabs>
          <w:tab w:val="clear" w:pos="1440"/>
        </w:tabs>
        <w:spacing w:after="120" w:line="240" w:lineRule="auto"/>
        <w:ind w:left="1417"/>
        <w:rPr>
          <w:sz w:val="24"/>
          <w:szCs w:val="24"/>
        </w:rPr>
      </w:pPr>
      <w:r>
        <w:rPr>
          <w:sz w:val="24"/>
          <w:szCs w:val="24"/>
        </w:rPr>
        <w:t>non-warlike service under the MRCA;</w:t>
      </w:r>
    </w:p>
    <w:p w:rsidR="00A53A3B" w:rsidRDefault="006C3A94">
      <w:pPr>
        <w:tabs>
          <w:tab w:val="num" w:pos="709"/>
        </w:tabs>
        <w:spacing w:after="60" w:line="240" w:lineRule="auto"/>
        <w:ind w:left="709"/>
        <w:rPr>
          <w:sz w:val="24"/>
          <w:szCs w:val="24"/>
        </w:rPr>
      </w:pPr>
      <w:r>
        <w:rPr>
          <w:b/>
          <w:sz w:val="24"/>
          <w:szCs w:val="24"/>
        </w:rPr>
        <w:t xml:space="preserve">"terminal event" </w:t>
      </w:r>
      <w:r>
        <w:rPr>
          <w:sz w:val="24"/>
          <w:szCs w:val="24"/>
        </w:rPr>
        <w:t>means the proximate or ultimate cause of death and includes:</w:t>
      </w:r>
    </w:p>
    <w:p w:rsidR="00A53A3B" w:rsidRDefault="006C3A94">
      <w:pPr>
        <w:numPr>
          <w:ilvl w:val="0"/>
          <w:numId w:val="14"/>
        </w:numPr>
        <w:tabs>
          <w:tab w:val="clear" w:pos="1440"/>
        </w:tabs>
        <w:spacing w:line="240" w:lineRule="auto"/>
        <w:ind w:left="1418" w:hanging="698"/>
        <w:rPr>
          <w:sz w:val="24"/>
          <w:szCs w:val="24"/>
        </w:rPr>
      </w:pPr>
      <w:r>
        <w:rPr>
          <w:sz w:val="24"/>
          <w:szCs w:val="24"/>
        </w:rPr>
        <w:t>pneumonia;</w:t>
      </w:r>
    </w:p>
    <w:p w:rsidR="00A53A3B" w:rsidRDefault="006C3A94">
      <w:pPr>
        <w:numPr>
          <w:ilvl w:val="0"/>
          <w:numId w:val="14"/>
        </w:numPr>
        <w:tabs>
          <w:tab w:val="clear" w:pos="1440"/>
        </w:tabs>
        <w:spacing w:line="240" w:lineRule="auto"/>
        <w:ind w:left="1418" w:hanging="698"/>
        <w:rPr>
          <w:sz w:val="24"/>
          <w:szCs w:val="24"/>
        </w:rPr>
      </w:pPr>
      <w:r>
        <w:rPr>
          <w:sz w:val="24"/>
          <w:szCs w:val="24"/>
        </w:rPr>
        <w:t>respiratory failure;</w:t>
      </w:r>
    </w:p>
    <w:p w:rsidR="00A53A3B" w:rsidRDefault="006C3A94">
      <w:pPr>
        <w:numPr>
          <w:ilvl w:val="0"/>
          <w:numId w:val="14"/>
        </w:numPr>
        <w:tabs>
          <w:tab w:val="clear" w:pos="1440"/>
        </w:tabs>
        <w:spacing w:line="240" w:lineRule="auto"/>
        <w:ind w:left="1418" w:hanging="698"/>
        <w:rPr>
          <w:sz w:val="24"/>
          <w:szCs w:val="24"/>
        </w:rPr>
      </w:pPr>
      <w:r>
        <w:rPr>
          <w:sz w:val="24"/>
          <w:szCs w:val="24"/>
        </w:rPr>
        <w:t>cardiac arrest;</w:t>
      </w:r>
    </w:p>
    <w:p w:rsidR="00A53A3B" w:rsidRDefault="006C3A94">
      <w:pPr>
        <w:numPr>
          <w:ilvl w:val="0"/>
          <w:numId w:val="14"/>
        </w:numPr>
        <w:tabs>
          <w:tab w:val="clear" w:pos="1440"/>
        </w:tabs>
        <w:spacing w:line="240" w:lineRule="auto"/>
        <w:ind w:left="1418" w:hanging="698"/>
        <w:rPr>
          <w:sz w:val="24"/>
          <w:szCs w:val="24"/>
        </w:rPr>
      </w:pPr>
      <w:r>
        <w:rPr>
          <w:sz w:val="24"/>
          <w:szCs w:val="24"/>
        </w:rPr>
        <w:t>circulatory failure; or</w:t>
      </w:r>
    </w:p>
    <w:p w:rsidR="00A53A3B" w:rsidRDefault="006C3A94">
      <w:pPr>
        <w:numPr>
          <w:ilvl w:val="0"/>
          <w:numId w:val="14"/>
        </w:numPr>
        <w:tabs>
          <w:tab w:val="clear" w:pos="1440"/>
        </w:tabs>
        <w:spacing w:line="240" w:lineRule="auto"/>
        <w:ind w:left="1418" w:hanging="698"/>
        <w:rPr>
          <w:sz w:val="24"/>
          <w:szCs w:val="24"/>
        </w:rPr>
      </w:pPr>
      <w:r>
        <w:rPr>
          <w:sz w:val="24"/>
          <w:szCs w:val="24"/>
        </w:rPr>
        <w:t>cessation of brain function.</w:t>
      </w:r>
    </w:p>
    <w:p w:rsidR="00A53A3B" w:rsidRDefault="006C3A94">
      <w:pPr>
        <w:pStyle w:val="clauseheading"/>
      </w:pPr>
      <w:r>
        <w:t>Application</w:t>
      </w:r>
    </w:p>
    <w:p w:rsidR="00A53A3B" w:rsidRDefault="006C3A94">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544E75" w:rsidRDefault="00544E75" w:rsidP="00544E75">
      <w:pPr>
        <w:pStyle w:val="clauseheading"/>
      </w:pPr>
      <w:r>
        <w:t>Date of effect</w:t>
      </w:r>
    </w:p>
    <w:p w:rsidR="00544E75" w:rsidRDefault="00544E75" w:rsidP="00544E75">
      <w:pPr>
        <w:spacing w:line="240" w:lineRule="auto"/>
        <w:ind w:hanging="720"/>
        <w:rPr>
          <w:sz w:val="24"/>
          <w:szCs w:val="24"/>
        </w:rPr>
      </w:pPr>
      <w:r>
        <w:rPr>
          <w:b/>
          <w:sz w:val="24"/>
          <w:szCs w:val="24"/>
        </w:rPr>
        <w:t>11.</w:t>
      </w:r>
      <w:r>
        <w:rPr>
          <w:sz w:val="24"/>
          <w:szCs w:val="24"/>
        </w:rPr>
        <w:tab/>
        <w:t>This Instrument takes effect from 30 March 2015.</w:t>
      </w:r>
    </w:p>
    <w:p w:rsidR="00544E75" w:rsidRDefault="00544E75" w:rsidP="00544E75">
      <w:pPr>
        <w:spacing w:before="240" w:after="120" w:line="240" w:lineRule="auto"/>
        <w:ind w:left="0"/>
        <w:rPr>
          <w:sz w:val="24"/>
          <w:szCs w:val="24"/>
        </w:rPr>
      </w:pPr>
      <w:r>
        <w:rPr>
          <w:noProof/>
          <w:lang w:val="en-AU" w:eastAsia="en-AU"/>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twenty-seventh</w:t>
      </w:r>
      <w:r>
        <w:rPr>
          <w:sz w:val="24"/>
          <w:szCs w:val="24"/>
        </w:rPr>
        <w:t xml:space="preserve">   day of   </w:t>
      </w:r>
      <w:r>
        <w:rPr>
          <w:rFonts w:ascii="Brush Script MT" w:hAnsi="Brush Script MT"/>
          <w:sz w:val="44"/>
          <w:szCs w:val="44"/>
        </w:rPr>
        <w:t>February</w:t>
      </w:r>
      <w:r>
        <w:rPr>
          <w:sz w:val="24"/>
          <w:szCs w:val="24"/>
        </w:rPr>
        <w:t xml:space="preserve">   2015</w:t>
      </w:r>
    </w:p>
    <w:p w:rsidR="00544E75" w:rsidRDefault="00544E75" w:rsidP="00544E75">
      <w:pPr>
        <w:spacing w:line="240" w:lineRule="auto"/>
        <w:ind w:hanging="720"/>
        <w:rPr>
          <w:sz w:val="24"/>
          <w:szCs w:val="24"/>
        </w:rPr>
      </w:pPr>
      <w:r>
        <w:rPr>
          <w:sz w:val="24"/>
          <w:szCs w:val="24"/>
        </w:rPr>
        <w:t>The Common Seal of the</w:t>
      </w:r>
      <w:r>
        <w:rPr>
          <w:sz w:val="24"/>
          <w:szCs w:val="24"/>
        </w:rPr>
        <w:tab/>
      </w:r>
      <w:r>
        <w:rPr>
          <w:sz w:val="24"/>
          <w:szCs w:val="24"/>
        </w:rPr>
        <w:tab/>
        <w:t>)</w:t>
      </w:r>
    </w:p>
    <w:p w:rsidR="00544E75" w:rsidRDefault="00544E75" w:rsidP="00544E75">
      <w:pPr>
        <w:spacing w:line="240" w:lineRule="auto"/>
        <w:ind w:hanging="720"/>
        <w:rPr>
          <w:sz w:val="24"/>
          <w:szCs w:val="24"/>
        </w:rPr>
      </w:pPr>
      <w:r>
        <w:rPr>
          <w:sz w:val="24"/>
          <w:szCs w:val="24"/>
        </w:rPr>
        <w:t>Repatriation Medical Authority</w:t>
      </w:r>
      <w:r>
        <w:rPr>
          <w:sz w:val="24"/>
          <w:szCs w:val="24"/>
        </w:rPr>
        <w:tab/>
        <w:t>)</w:t>
      </w:r>
    </w:p>
    <w:p w:rsidR="00544E75" w:rsidRDefault="00544E75" w:rsidP="00544E75">
      <w:pPr>
        <w:spacing w:line="240" w:lineRule="auto"/>
        <w:ind w:hanging="720"/>
        <w:rPr>
          <w:sz w:val="24"/>
          <w:szCs w:val="24"/>
        </w:rPr>
      </w:pPr>
      <w:r>
        <w:rPr>
          <w:sz w:val="24"/>
          <w:szCs w:val="24"/>
        </w:rPr>
        <w:t>was affixed at the direction of:</w:t>
      </w:r>
      <w:r>
        <w:rPr>
          <w:sz w:val="24"/>
          <w:szCs w:val="24"/>
        </w:rPr>
        <w:tab/>
        <w:t>)</w:t>
      </w:r>
    </w:p>
    <w:p w:rsidR="00544E75" w:rsidRDefault="00544E75" w:rsidP="00544E75">
      <w:pPr>
        <w:spacing w:before="120" w:line="240" w:lineRule="auto"/>
        <w:ind w:left="3600"/>
        <w:outlineLvl w:val="0"/>
        <w:rPr>
          <w:sz w:val="24"/>
          <w:szCs w:val="24"/>
        </w:rPr>
      </w:pPr>
      <w:r>
        <w:rPr>
          <w:sz w:val="24"/>
          <w:szCs w:val="24"/>
        </w:rPr>
        <w:t>PROFESSOR NICHOLAS SAUNDERS AO</w:t>
      </w:r>
    </w:p>
    <w:p w:rsidR="00A53A3B" w:rsidRDefault="00544E75" w:rsidP="00544E75">
      <w:pPr>
        <w:spacing w:before="60" w:line="240" w:lineRule="auto"/>
        <w:ind w:left="5041"/>
        <w:outlineLvl w:val="0"/>
        <w:rPr>
          <w:sz w:val="24"/>
          <w:szCs w:val="24"/>
        </w:rPr>
      </w:pPr>
      <w:r>
        <w:rPr>
          <w:sz w:val="24"/>
          <w:szCs w:val="24"/>
        </w:rPr>
        <w:t>CHAIRPERSON</w:t>
      </w:r>
    </w:p>
    <w:sectPr w:rsidR="00A53A3B">
      <w:footerReference w:type="default" r:id="rId10"/>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3B" w:rsidRDefault="006C3A94">
      <w:r>
        <w:separator/>
      </w:r>
    </w:p>
  </w:endnote>
  <w:endnote w:type="continuationSeparator" w:id="0">
    <w:p w:rsidR="00A53A3B" w:rsidRDefault="006C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3B" w:rsidRDefault="006C3A94">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381139">
      <w:rPr>
        <w:rFonts w:ascii="Arial" w:hAnsi="Arial"/>
        <w:b w:val="0"/>
        <w:noProof/>
        <w:snapToGrid w:val="0"/>
      </w:rPr>
      <w:t>1</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381139">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953244">
      <w:rPr>
        <w:rFonts w:ascii="Arial" w:hAnsi="Arial"/>
        <w:b w:val="0"/>
      </w:rPr>
      <w:t>5</w:t>
    </w:r>
    <w:r w:rsidR="000807DC">
      <w:rPr>
        <w:rFonts w:ascii="Arial" w:hAnsi="Arial"/>
        <w:b w:val="0"/>
      </w:rPr>
      <w:t>5</w:t>
    </w:r>
    <w:r>
      <w:rPr>
        <w:rFonts w:ascii="Arial" w:hAnsi="Arial"/>
        <w:b w:val="0"/>
      </w:rPr>
      <w:t xml:space="preserve"> of </w:t>
    </w:r>
    <w:r w:rsidR="00FA1721">
      <w:rPr>
        <w:rFonts w:ascii="Arial" w:hAnsi="Arial"/>
        <w:b w:val="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3B" w:rsidRDefault="006C3A94">
      <w:r>
        <w:separator/>
      </w:r>
    </w:p>
  </w:footnote>
  <w:footnote w:type="continuationSeparator" w:id="0">
    <w:p w:rsidR="00A53A3B" w:rsidRDefault="006C3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B06"/>
    <w:multiLevelType w:val="hybridMultilevel"/>
    <w:tmpl w:val="CF4661AA"/>
    <w:lvl w:ilvl="0" w:tplc="66BA6B5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7930EC9"/>
    <w:multiLevelType w:val="hybridMultilevel"/>
    <w:tmpl w:val="BEB23070"/>
    <w:lvl w:ilvl="0" w:tplc="43FA457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3">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4">
    <w:nsid w:val="40B817B4"/>
    <w:multiLevelType w:val="multilevel"/>
    <w:tmpl w:val="6B643E98"/>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6">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7">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8">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6E43176"/>
    <w:multiLevelType w:val="hybridMultilevel"/>
    <w:tmpl w:val="6B643E98"/>
    <w:lvl w:ilvl="0" w:tplc="980C9870">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1">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7703052B"/>
    <w:multiLevelType w:val="multilevel"/>
    <w:tmpl w:val="BEB23070"/>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D502709"/>
    <w:multiLevelType w:val="singleLevel"/>
    <w:tmpl w:val="4CDE4F6E"/>
    <w:lvl w:ilvl="0">
      <w:start w:val="4"/>
      <w:numFmt w:val="lowerLetter"/>
      <w:lvlText w:val="(%1)"/>
      <w:lvlJc w:val="left"/>
      <w:pPr>
        <w:tabs>
          <w:tab w:val="num" w:pos="1429"/>
        </w:tabs>
        <w:ind w:left="1429" w:hanging="720"/>
      </w:pPr>
      <w:rPr>
        <w:sz w:val="24"/>
        <w:szCs w:val="24"/>
      </w:rPr>
    </w:lvl>
  </w:abstractNum>
  <w:num w:numId="1">
    <w:abstractNumId w:val="3"/>
  </w:num>
  <w:num w:numId="2">
    <w:abstractNumId w:val="6"/>
  </w:num>
  <w:num w:numId="3">
    <w:abstractNumId w:val="5"/>
  </w:num>
  <w:num w:numId="4">
    <w:abstractNumId w:val="7"/>
  </w:num>
  <w:num w:numId="5">
    <w:abstractNumId w:val="2"/>
  </w:num>
  <w:num w:numId="6">
    <w:abstractNumId w:val="13"/>
  </w:num>
  <w:num w:numId="7">
    <w:abstractNumId w:val="10"/>
  </w:num>
  <w:num w:numId="8">
    <w:abstractNumId w:val="1"/>
  </w:num>
  <w:num w:numId="9">
    <w:abstractNumId w:val="9"/>
  </w:num>
  <w:num w:numId="10">
    <w:abstractNumId w:val="4"/>
  </w:num>
  <w:num w:numId="11">
    <w:abstractNumId w:val="0"/>
  </w:num>
  <w:num w:numId="12">
    <w:abstractNumId w:val="12"/>
  </w:num>
  <w:num w:numId="13">
    <w:abstractNumId w:val="11"/>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94"/>
    <w:rsid w:val="000807DC"/>
    <w:rsid w:val="00381139"/>
    <w:rsid w:val="00532846"/>
    <w:rsid w:val="00544E75"/>
    <w:rsid w:val="0059655E"/>
    <w:rsid w:val="006C3A94"/>
    <w:rsid w:val="00864240"/>
    <w:rsid w:val="008A7CA8"/>
    <w:rsid w:val="00953244"/>
    <w:rsid w:val="009F0607"/>
    <w:rsid w:val="00A53A3B"/>
    <w:rsid w:val="00BB1A88"/>
    <w:rsid w:val="00BD78D4"/>
    <w:rsid w:val="00D36BC5"/>
    <w:rsid w:val="00D43F78"/>
    <w:rsid w:val="00FA1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2015-02-25T02:44:00Z</dcterms:created>
  <dcterms:modified xsi:type="dcterms:W3CDTF">2015-02-26T01:57:00Z</dcterms:modified>
</cp:coreProperties>
</file>