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672" w:rsidRPr="00FA33FB" w:rsidRDefault="00D40672" w:rsidP="00D40672">
      <w:pPr>
        <w:pStyle w:val="Plain"/>
        <w:jc w:val="center"/>
        <w:rPr>
          <w:sz w:val="28"/>
        </w:rPr>
      </w:pPr>
      <w:bookmarkStart w:id="0" w:name="_GoBack"/>
      <w:bookmarkEnd w:id="0"/>
      <w:r>
        <w:rPr>
          <w:noProof/>
        </w:rPr>
        <w:drawing>
          <wp:inline distT="0" distB="0" distL="0" distR="0" wp14:anchorId="34760452" wp14:editId="2E909EAC">
            <wp:extent cx="1752600" cy="93345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D40672" w:rsidRPr="00FA33FB" w:rsidRDefault="00D40672" w:rsidP="00D40672">
      <w:pPr>
        <w:rPr>
          <w:sz w:val="19"/>
        </w:rPr>
      </w:pPr>
    </w:p>
    <w:p w:rsidR="00715914" w:rsidRPr="00D40672" w:rsidRDefault="00715914" w:rsidP="000D4D03">
      <w:pPr>
        <w:pStyle w:val="Plain"/>
        <w:jc w:val="center"/>
        <w:rPr>
          <w:sz w:val="40"/>
          <w:szCs w:val="40"/>
        </w:rPr>
      </w:pPr>
    </w:p>
    <w:p w:rsidR="000F76FA" w:rsidRPr="00831C11" w:rsidRDefault="00E55F66" w:rsidP="006647B7">
      <w:pPr>
        <w:pStyle w:val="Plainheader"/>
      </w:pPr>
      <w:r w:rsidRPr="00831C11">
        <w:t>Statement of Principles</w:t>
      </w:r>
    </w:p>
    <w:p w:rsidR="000F76FA" w:rsidRPr="00831C11" w:rsidRDefault="00EA5BE3" w:rsidP="00EA5BE3">
      <w:pPr>
        <w:pStyle w:val="Plainheader"/>
        <w:tabs>
          <w:tab w:val="center" w:pos="4156"/>
          <w:tab w:val="left" w:pos="5964"/>
        </w:tabs>
        <w:jc w:val="left"/>
      </w:pPr>
      <w:r>
        <w:tab/>
      </w:r>
      <w:r w:rsidR="001F4BD4">
        <w:t>c</w:t>
      </w:r>
      <w:r w:rsidR="00E55F66" w:rsidRPr="00831C11">
        <w:t>oncerning</w:t>
      </w:r>
      <w:r>
        <w:tab/>
      </w:r>
    </w:p>
    <w:p w:rsidR="00BF676B" w:rsidRDefault="00831C11" w:rsidP="00FF7405">
      <w:pPr>
        <w:pStyle w:val="Plainheader"/>
        <w:ind w:hanging="426"/>
      </w:pPr>
      <w:r w:rsidRPr="00831C11">
        <w:fldChar w:fldCharType="begin"/>
      </w:r>
      <w:r w:rsidRPr="00831C11">
        <w:instrText xml:space="preserve"> REF SoP_Name</w:instrText>
      </w:r>
      <w:r>
        <w:instrText xml:space="preserve"> \*UPPER</w:instrText>
      </w:r>
      <w:r w:rsidRPr="00831C11">
        <w:instrText xml:space="preserve"> \*Charformat</w:instrText>
      </w:r>
      <w:r w:rsidRPr="00831C11">
        <w:fldChar w:fldCharType="separate"/>
      </w:r>
      <w:r w:rsidR="00B6771B" w:rsidRPr="00B6771B">
        <w:t>ACHILLES TENDINOPATHY AND BURSITIS</w:t>
      </w:r>
      <w:r w:rsidRPr="00831C11">
        <w:fldChar w:fldCharType="end"/>
      </w:r>
    </w:p>
    <w:p w:rsidR="00ED501C" w:rsidRPr="00831C11" w:rsidRDefault="00DF6CE3" w:rsidP="00FF7405">
      <w:pPr>
        <w:pStyle w:val="Plainheader"/>
        <w:ind w:hanging="426"/>
      </w:pPr>
      <w:r>
        <w:t>(Reasonable Hypothesis)</w:t>
      </w:r>
    </w:p>
    <w:p w:rsidR="00715914" w:rsidRPr="00831C11" w:rsidRDefault="00E55F66" w:rsidP="006647B7">
      <w:pPr>
        <w:pStyle w:val="Plainheader"/>
      </w:pPr>
      <w:r w:rsidRPr="00831C11">
        <w:t xml:space="preserve">(No. </w:t>
      </w:r>
      <w:bookmarkStart w:id="1" w:name="BP"/>
      <w:r w:rsidR="00DF6CE3">
        <w:t>96</w:t>
      </w:r>
      <w:bookmarkEnd w:id="1"/>
      <w:r w:rsidRPr="00831C11">
        <w:t xml:space="preserve"> of</w:t>
      </w:r>
      <w:r w:rsidR="00085567" w:rsidRPr="00831C11">
        <w:t xml:space="preserve"> </w:t>
      </w:r>
      <w:bookmarkStart w:id="2" w:name="year"/>
      <w:r w:rsidR="00F4549D">
        <w:t>2015</w:t>
      </w:r>
      <w:bookmarkEnd w:id="2"/>
      <w:r w:rsidRPr="00831C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FF7405">
        <w:rPr>
          <w:sz w:val="24"/>
          <w:szCs w:val="24"/>
        </w:rPr>
        <w:t xml:space="preserve"> </w:t>
      </w:r>
      <w:r w:rsidR="00FF7405" w:rsidRPr="003176E8">
        <w:rPr>
          <w:sz w:val="24"/>
          <w:szCs w:val="24"/>
        </w:rPr>
        <w:t xml:space="preserve">under subsection 196B(2) of the </w:t>
      </w:r>
      <w:r w:rsidR="00FF7405" w:rsidRPr="003176E8">
        <w:rPr>
          <w:i/>
          <w:sz w:val="24"/>
          <w:szCs w:val="24"/>
        </w:rPr>
        <w:t>Veterans’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FF7405">
        <w:t>21 August</w:t>
      </w:r>
      <w:r w:rsidR="007615E2">
        <w:tab/>
      </w:r>
      <w:r w:rsidR="007615E2">
        <w:tab/>
      </w:r>
      <w:r w:rsidR="007615E2">
        <w:tab/>
      </w:r>
      <w:r w:rsidR="00B664A3">
        <w:t xml:space="preserve"> </w:t>
      </w:r>
      <w:r w:rsidR="00B664A3">
        <w:tab/>
      </w:r>
      <w:r w:rsidR="00B664A3">
        <w:tab/>
      </w:r>
      <w:r w:rsidR="00B664A3">
        <w:tab/>
      </w:r>
      <w:r w:rsidR="00B664A3">
        <w:tab/>
      </w:r>
      <w:r w:rsidR="00B664A3">
        <w:tab/>
      </w:r>
      <w:r w:rsidR="00B664A3">
        <w:tab/>
      </w:r>
      <w:r w:rsidR="00B664A3">
        <w:tab/>
      </w:r>
      <w:r w:rsidR="00B664A3">
        <w:tab/>
      </w:r>
      <w:r w:rsidR="00B664A3">
        <w:tab/>
      </w:r>
      <w:r w:rsidRPr="007527C1">
        <w:tab/>
      </w:r>
      <w:r w:rsidRPr="007527C1">
        <w:tab/>
      </w:r>
      <w:r w:rsidRPr="007527C1">
        <w:tab/>
      </w:r>
      <w:r w:rsidRPr="007527C1">
        <w:tab/>
      </w:r>
      <w:bookmarkStart w:id="3" w:name="BKCheck15B_1"/>
      <w:bookmarkEnd w:id="3"/>
      <w:r w:rsidRPr="007527C1">
        <w:fldChar w:fldCharType="begin"/>
      </w:r>
      <w:r w:rsidRPr="007527C1">
        <w:instrText xml:space="preserve"> DATE  \@ "2015" </w:instrText>
      </w:r>
      <w:r w:rsidRPr="007527C1">
        <w:fldChar w:fldCharType="separate"/>
      </w:r>
      <w:r w:rsidR="00B6771B">
        <w:rPr>
          <w:noProof/>
        </w:rPr>
        <w:t>2015</w:t>
      </w:r>
      <w:r w:rsidRPr="007527C1">
        <w:fldChar w:fldCharType="end"/>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p w:rsidR="00FF7405" w:rsidRDefault="00FF7405" w:rsidP="00FF7405">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FF7405" w:rsidRDefault="00FF7405" w:rsidP="00FF7405">
      <w:pPr>
        <w:pStyle w:val="Plain"/>
      </w:pPr>
      <w:r>
        <w:rPr>
          <w:noProof/>
        </w:rPr>
        <w:drawing>
          <wp:anchor distT="0" distB="0" distL="114300" distR="114300" simplePos="0" relativeHeight="251659264" behindDoc="1" locked="0" layoutInCell="1" allowOverlap="1" wp14:anchorId="32EE0E3C" wp14:editId="71A4D6B5">
            <wp:simplePos x="0" y="0"/>
            <wp:positionH relativeFrom="column">
              <wp:posOffset>104775</wp:posOffset>
            </wp:positionH>
            <wp:positionV relativeFrom="paragraph">
              <wp:posOffset>153670</wp:posOffset>
            </wp:positionV>
            <wp:extent cx="2466975" cy="533400"/>
            <wp:effectExtent l="0" t="0" r="9525" b="0"/>
            <wp:wrapTight wrapText="bothSides">
              <wp:wrapPolygon edited="0">
                <wp:start x="0" y="0"/>
                <wp:lineTo x="0" y="20829"/>
                <wp:lineTo x="21517" y="20829"/>
                <wp:lineTo x="215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FF7405" w:rsidRDefault="00FF7405" w:rsidP="00FF7405">
      <w:pPr>
        <w:pStyle w:val="Plain"/>
      </w:pPr>
    </w:p>
    <w:p w:rsidR="00FF7405" w:rsidRDefault="00FF7405" w:rsidP="00FF7405">
      <w:pPr>
        <w:pStyle w:val="Plain"/>
      </w:pPr>
    </w:p>
    <w:p w:rsidR="00FF7405" w:rsidRDefault="00FF7405" w:rsidP="00FF7405">
      <w:pPr>
        <w:pStyle w:val="Plain"/>
      </w:pPr>
    </w:p>
    <w:p w:rsidR="00FF7405" w:rsidRPr="007527C1" w:rsidRDefault="00FF7405" w:rsidP="00FF7405">
      <w:pPr>
        <w:pStyle w:val="Plain"/>
      </w:pPr>
    </w:p>
    <w:p w:rsidR="00FF7405" w:rsidRPr="007527C1" w:rsidRDefault="00FF7405" w:rsidP="00FF7405">
      <w:pPr>
        <w:pStyle w:val="Plain"/>
      </w:pPr>
      <w:r w:rsidRPr="007527C1">
        <w:t>Professor Nicholas Saunders AO</w:t>
      </w:r>
    </w:p>
    <w:p w:rsidR="00FF7405" w:rsidRDefault="00FF7405" w:rsidP="00FF7405">
      <w:pPr>
        <w:pStyle w:val="Plain"/>
      </w:pPr>
      <w:r w:rsidRPr="007527C1">
        <w:t>Chairperson</w:t>
      </w:r>
    </w:p>
    <w:p w:rsidR="00262848" w:rsidRDefault="00262848" w:rsidP="00764D43">
      <w:pPr>
        <w:pStyle w:val="Plain"/>
      </w:pPr>
    </w:p>
    <w:p w:rsidR="00262848" w:rsidRPr="007527C1" w:rsidRDefault="00262848" w:rsidP="00764D43">
      <w:pPr>
        <w:pStyle w:val="Plain"/>
      </w:pPr>
    </w:p>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rsidR="00DF6CE3"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DF6CE3">
        <w:rPr>
          <w:noProof/>
        </w:rPr>
        <w:t>1</w:t>
      </w:r>
      <w:r w:rsidR="00DF6CE3">
        <w:rPr>
          <w:rFonts w:asciiTheme="minorHAnsi" w:eastAsiaTheme="minorEastAsia" w:hAnsiTheme="minorHAnsi" w:cstheme="minorBidi"/>
          <w:noProof/>
          <w:kern w:val="0"/>
          <w:sz w:val="22"/>
          <w:szCs w:val="22"/>
        </w:rPr>
        <w:tab/>
      </w:r>
      <w:r w:rsidR="00DF6CE3">
        <w:rPr>
          <w:noProof/>
        </w:rPr>
        <w:t>Name</w:t>
      </w:r>
      <w:r w:rsidR="00DF6CE3">
        <w:rPr>
          <w:noProof/>
        </w:rPr>
        <w:tab/>
      </w:r>
      <w:r w:rsidR="00DF6CE3">
        <w:rPr>
          <w:noProof/>
        </w:rPr>
        <w:fldChar w:fldCharType="begin"/>
      </w:r>
      <w:r w:rsidR="00DF6CE3">
        <w:rPr>
          <w:noProof/>
        </w:rPr>
        <w:instrText xml:space="preserve"> PAGEREF _Toc426030085 \h </w:instrText>
      </w:r>
      <w:r w:rsidR="00DF6CE3">
        <w:rPr>
          <w:noProof/>
        </w:rPr>
      </w:r>
      <w:r w:rsidR="00DF6CE3">
        <w:rPr>
          <w:noProof/>
        </w:rPr>
        <w:fldChar w:fldCharType="separate"/>
      </w:r>
      <w:r w:rsidR="00B6771B">
        <w:rPr>
          <w:noProof/>
        </w:rPr>
        <w:t>3</w:t>
      </w:r>
      <w:r w:rsidR="00DF6CE3">
        <w:rPr>
          <w:noProof/>
        </w:rPr>
        <w:fldChar w:fldCharType="end"/>
      </w:r>
    </w:p>
    <w:p w:rsidR="00DF6CE3" w:rsidRDefault="00DF6CE3">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_Toc426030086 \h </w:instrText>
      </w:r>
      <w:r>
        <w:rPr>
          <w:noProof/>
        </w:rPr>
      </w:r>
      <w:r>
        <w:rPr>
          <w:noProof/>
        </w:rPr>
        <w:fldChar w:fldCharType="separate"/>
      </w:r>
      <w:r w:rsidR="00B6771B">
        <w:rPr>
          <w:noProof/>
        </w:rPr>
        <w:t>3</w:t>
      </w:r>
      <w:r>
        <w:rPr>
          <w:noProof/>
        </w:rPr>
        <w:fldChar w:fldCharType="end"/>
      </w:r>
    </w:p>
    <w:p w:rsidR="00DF6CE3" w:rsidRDefault="00DF6CE3">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_Toc426030087 \h </w:instrText>
      </w:r>
      <w:r>
        <w:rPr>
          <w:noProof/>
        </w:rPr>
      </w:r>
      <w:r>
        <w:rPr>
          <w:noProof/>
        </w:rPr>
        <w:fldChar w:fldCharType="separate"/>
      </w:r>
      <w:r w:rsidR="00B6771B">
        <w:rPr>
          <w:noProof/>
        </w:rPr>
        <w:t>3</w:t>
      </w:r>
      <w:r>
        <w:rPr>
          <w:noProof/>
        </w:rPr>
        <w:fldChar w:fldCharType="end"/>
      </w:r>
    </w:p>
    <w:p w:rsidR="00DF6CE3" w:rsidRDefault="00DF6CE3">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Revocation</w:t>
      </w:r>
      <w:r>
        <w:rPr>
          <w:noProof/>
        </w:rPr>
        <w:tab/>
      </w:r>
      <w:r>
        <w:rPr>
          <w:noProof/>
        </w:rPr>
        <w:fldChar w:fldCharType="begin"/>
      </w:r>
      <w:r>
        <w:rPr>
          <w:noProof/>
        </w:rPr>
        <w:instrText xml:space="preserve"> PAGEREF _Toc426030088 \h </w:instrText>
      </w:r>
      <w:r>
        <w:rPr>
          <w:noProof/>
        </w:rPr>
      </w:r>
      <w:r>
        <w:rPr>
          <w:noProof/>
        </w:rPr>
        <w:fldChar w:fldCharType="separate"/>
      </w:r>
      <w:r w:rsidR="00B6771B">
        <w:rPr>
          <w:noProof/>
        </w:rPr>
        <w:t>3</w:t>
      </w:r>
      <w:r>
        <w:rPr>
          <w:noProof/>
        </w:rPr>
        <w:fldChar w:fldCharType="end"/>
      </w:r>
    </w:p>
    <w:p w:rsidR="00DF6CE3" w:rsidRDefault="00DF6CE3">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_Toc426030089 \h </w:instrText>
      </w:r>
      <w:r>
        <w:rPr>
          <w:noProof/>
        </w:rPr>
      </w:r>
      <w:r>
        <w:rPr>
          <w:noProof/>
        </w:rPr>
        <w:fldChar w:fldCharType="separate"/>
      </w:r>
      <w:r w:rsidR="00B6771B">
        <w:rPr>
          <w:noProof/>
        </w:rPr>
        <w:t>3</w:t>
      </w:r>
      <w:r>
        <w:rPr>
          <w:noProof/>
        </w:rPr>
        <w:fldChar w:fldCharType="end"/>
      </w:r>
    </w:p>
    <w:p w:rsidR="00DF6CE3" w:rsidRDefault="00DF6CE3">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_Toc426030090 \h </w:instrText>
      </w:r>
      <w:r>
        <w:rPr>
          <w:noProof/>
        </w:rPr>
      </w:r>
      <w:r>
        <w:rPr>
          <w:noProof/>
        </w:rPr>
        <w:fldChar w:fldCharType="separate"/>
      </w:r>
      <w:r w:rsidR="00B6771B">
        <w:rPr>
          <w:noProof/>
        </w:rPr>
        <w:t>3</w:t>
      </w:r>
      <w:r>
        <w:rPr>
          <w:noProof/>
        </w:rPr>
        <w:fldChar w:fldCharType="end"/>
      </w:r>
    </w:p>
    <w:p w:rsidR="00DF6CE3" w:rsidRDefault="00DF6CE3">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_Toc426030091 \h </w:instrText>
      </w:r>
      <w:r>
        <w:rPr>
          <w:noProof/>
        </w:rPr>
      </w:r>
      <w:r>
        <w:rPr>
          <w:noProof/>
        </w:rPr>
        <w:fldChar w:fldCharType="separate"/>
      </w:r>
      <w:r w:rsidR="00B6771B">
        <w:rPr>
          <w:noProof/>
        </w:rPr>
        <w:t>3</w:t>
      </w:r>
      <w:r>
        <w:rPr>
          <w:noProof/>
        </w:rPr>
        <w:fldChar w:fldCharType="end"/>
      </w:r>
    </w:p>
    <w:p w:rsidR="00DF6CE3" w:rsidRDefault="00DF6CE3">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_Toc426030092 \h </w:instrText>
      </w:r>
      <w:r>
        <w:rPr>
          <w:noProof/>
        </w:rPr>
      </w:r>
      <w:r>
        <w:rPr>
          <w:noProof/>
        </w:rPr>
        <w:fldChar w:fldCharType="separate"/>
      </w:r>
      <w:r w:rsidR="00B6771B">
        <w:rPr>
          <w:noProof/>
        </w:rPr>
        <w:t>4</w:t>
      </w:r>
      <w:r>
        <w:rPr>
          <w:noProof/>
        </w:rPr>
        <w:fldChar w:fldCharType="end"/>
      </w:r>
    </w:p>
    <w:p w:rsidR="00DF6CE3" w:rsidRDefault="00DF6CE3">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_Toc426030093 \h </w:instrText>
      </w:r>
      <w:r>
        <w:rPr>
          <w:noProof/>
        </w:rPr>
      </w:r>
      <w:r>
        <w:rPr>
          <w:noProof/>
        </w:rPr>
        <w:fldChar w:fldCharType="separate"/>
      </w:r>
      <w:r w:rsidR="00B6771B">
        <w:rPr>
          <w:noProof/>
        </w:rPr>
        <w:t>4</w:t>
      </w:r>
      <w:r>
        <w:rPr>
          <w:noProof/>
        </w:rPr>
        <w:fldChar w:fldCharType="end"/>
      </w:r>
    </w:p>
    <w:p w:rsidR="00DF6CE3" w:rsidRDefault="00DF6CE3">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_Toc426030094 \h </w:instrText>
      </w:r>
      <w:r>
        <w:rPr>
          <w:noProof/>
        </w:rPr>
      </w:r>
      <w:r>
        <w:rPr>
          <w:noProof/>
        </w:rPr>
        <w:fldChar w:fldCharType="separate"/>
      </w:r>
      <w:r w:rsidR="00B6771B">
        <w:rPr>
          <w:noProof/>
        </w:rPr>
        <w:t>6</w:t>
      </w:r>
      <w:r>
        <w:rPr>
          <w:noProof/>
        </w:rPr>
        <w:fldChar w:fldCharType="end"/>
      </w:r>
    </w:p>
    <w:p w:rsidR="00DF6CE3" w:rsidRDefault="00DF6CE3">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_Toc426030095 \h </w:instrText>
      </w:r>
      <w:r>
        <w:rPr>
          <w:noProof/>
        </w:rPr>
      </w:r>
      <w:r>
        <w:rPr>
          <w:noProof/>
        </w:rPr>
        <w:fldChar w:fldCharType="separate"/>
      </w:r>
      <w:r w:rsidR="00B6771B">
        <w:rPr>
          <w:noProof/>
        </w:rPr>
        <w:t>7</w:t>
      </w:r>
      <w:r>
        <w:rPr>
          <w:noProof/>
        </w:rPr>
        <w:fldChar w:fldCharType="end"/>
      </w:r>
    </w:p>
    <w:p w:rsidR="00DF6CE3" w:rsidRDefault="00DF6CE3">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_Toc426030096 \h </w:instrText>
      </w:r>
      <w:r>
        <w:rPr>
          <w:noProof/>
        </w:rPr>
      </w:r>
      <w:r>
        <w:rPr>
          <w:noProof/>
        </w:rPr>
        <w:fldChar w:fldCharType="separate"/>
      </w:r>
      <w:r w:rsidR="00B6771B">
        <w:rPr>
          <w:noProof/>
        </w:rPr>
        <w:t>8</w:t>
      </w:r>
      <w:r>
        <w:rPr>
          <w:noProof/>
        </w:rPr>
        <w:fldChar w:fldCharType="end"/>
      </w:r>
    </w:p>
    <w:p w:rsidR="00DF6CE3" w:rsidRDefault="00DF6CE3">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_Toc426030097 \h </w:instrText>
      </w:r>
      <w:r>
        <w:rPr>
          <w:noProof/>
        </w:rPr>
      </w:r>
      <w:r>
        <w:rPr>
          <w:noProof/>
        </w:rPr>
        <w:fldChar w:fldCharType="separate"/>
      </w:r>
      <w:r w:rsidR="00B6771B">
        <w:rPr>
          <w:noProof/>
        </w:rPr>
        <w:t>8</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5" w:name="_Toc418945119"/>
      <w:bookmarkStart w:id="6" w:name="_Toc426030085"/>
      <w:r>
        <w:lastRenderedPageBreak/>
        <w:t>Name</w:t>
      </w:r>
      <w:bookmarkEnd w:id="5"/>
      <w:bookmarkEnd w:id="6"/>
    </w:p>
    <w:p w:rsidR="00237471" w:rsidRPr="00F97A62" w:rsidRDefault="00715914" w:rsidP="00262848">
      <w:pPr>
        <w:pStyle w:val="PlainIndent"/>
      </w:pPr>
      <w:r w:rsidRPr="00F97A62">
        <w:t xml:space="preserve">This </w:t>
      </w:r>
      <w:r w:rsidR="00CE493D" w:rsidRPr="00F97A62">
        <w:t xml:space="preserve">is the </w:t>
      </w:r>
      <w:bookmarkStart w:id="7" w:name="BKCheck15B_3"/>
      <w:bookmarkEnd w:id="7"/>
      <w:r w:rsidR="00E55F66" w:rsidRPr="00F97A62">
        <w:t xml:space="preserve">Statement of Principles </w:t>
      </w:r>
      <w:r w:rsidR="00E55F66" w:rsidRPr="00781B24">
        <w:t>concerning</w:t>
      </w:r>
      <w:r w:rsidR="00912B55" w:rsidRPr="00781B24">
        <w:t xml:space="preserve"> </w:t>
      </w:r>
      <w:bookmarkStart w:id="8" w:name="SoP_Name"/>
      <w:r w:rsidR="00816F6C" w:rsidRPr="00DF6CE3">
        <w:rPr>
          <w:i/>
        </w:rPr>
        <w:t>Achilles</w:t>
      </w:r>
      <w:r w:rsidR="00F4549D" w:rsidRPr="00DF6CE3">
        <w:rPr>
          <w:i/>
        </w:rPr>
        <w:t xml:space="preserve"> tendinopathy and bursitis</w:t>
      </w:r>
      <w:bookmarkEnd w:id="8"/>
      <w:r w:rsidR="008E4A16">
        <w:rPr>
          <w:b/>
        </w:rPr>
        <w:t xml:space="preserve"> </w:t>
      </w:r>
      <w:r w:rsidR="00FF7405" w:rsidRPr="00E93D9B">
        <w:rPr>
          <w:i/>
        </w:rPr>
        <w:t>(Reasonable Hypothesis)</w:t>
      </w:r>
      <w:r w:rsidR="00DF6CE3">
        <w:rPr>
          <w:b/>
        </w:rPr>
        <w:t xml:space="preserve"> </w:t>
      </w:r>
      <w:r w:rsidR="00E55F66" w:rsidRPr="00F97A62">
        <w:t xml:space="preserve">(No. </w:t>
      </w:r>
      <w:fldSimple w:instr=" REF BP  \* MERGEFORMAT">
        <w:r w:rsidR="00B6771B">
          <w:t>96</w:t>
        </w:r>
      </w:fldSimple>
      <w:r w:rsidR="00085567">
        <w:t xml:space="preserve"> </w:t>
      </w:r>
      <w:r w:rsidR="00E55F66" w:rsidRPr="00F97A62">
        <w:t>of</w:t>
      </w:r>
      <w:r w:rsidR="00085567">
        <w:t xml:space="preserve"> </w:t>
      </w:r>
      <w:r w:rsidR="00B6771B">
        <w:fldChar w:fldCharType="begin"/>
      </w:r>
      <w:r w:rsidR="00B6771B">
        <w:instrText xml:space="preserve"> REF year \* Charformat \* MERGEFORMAT </w:instrText>
      </w:r>
      <w:r w:rsidR="00B6771B">
        <w:fldChar w:fldCharType="separate"/>
      </w:r>
      <w:r w:rsidR="00B6771B">
        <w:t>2015</w:t>
      </w:r>
      <w:r w:rsidR="00B6771B">
        <w:fldChar w:fldCharType="end"/>
      </w:r>
      <w:r w:rsidR="00E55F66" w:rsidRPr="00F97A62">
        <w:t>)</w:t>
      </w:r>
      <w:r w:rsidRPr="00F97A62">
        <w:t>.</w:t>
      </w:r>
    </w:p>
    <w:p w:rsidR="00F67B67" w:rsidRPr="00684C0E" w:rsidRDefault="00F67B67" w:rsidP="00C96667">
      <w:pPr>
        <w:pStyle w:val="LV1"/>
      </w:pPr>
      <w:bookmarkStart w:id="9" w:name="_Toc418945120"/>
      <w:bookmarkStart w:id="10" w:name="_Toc426030086"/>
      <w:r w:rsidRPr="00684C0E">
        <w:t>Commencement</w:t>
      </w:r>
      <w:bookmarkEnd w:id="9"/>
      <w:bookmarkEnd w:id="10"/>
    </w:p>
    <w:p w:rsidR="00F67B67" w:rsidRPr="007527C1" w:rsidRDefault="007527C1" w:rsidP="00F97A62">
      <w:pPr>
        <w:pStyle w:val="PlainIndent"/>
      </w:pPr>
      <w:r w:rsidRPr="007527C1">
        <w:tab/>
      </w:r>
      <w:r w:rsidR="00F67B67" w:rsidRPr="007527C1">
        <w:t xml:space="preserve">This instrument commences on </w:t>
      </w:r>
      <w:r w:rsidR="003D55EC">
        <w:rPr>
          <w:b/>
        </w:rPr>
        <w:t>21 September 2015</w:t>
      </w:r>
      <w:r w:rsidR="00F67B67" w:rsidRPr="007527C1">
        <w:t>.</w:t>
      </w:r>
    </w:p>
    <w:p w:rsidR="00F67B67" w:rsidRPr="00684C0E" w:rsidRDefault="00F67B67" w:rsidP="00C96667">
      <w:pPr>
        <w:pStyle w:val="LV1"/>
      </w:pPr>
      <w:bookmarkStart w:id="11" w:name="_Toc418945121"/>
      <w:bookmarkStart w:id="12" w:name="_Toc426030087"/>
      <w:r w:rsidRPr="00684C0E">
        <w:t>Authority</w:t>
      </w:r>
      <w:bookmarkEnd w:id="11"/>
      <w:bookmarkEnd w:id="12"/>
    </w:p>
    <w:p w:rsidR="00F67B67" w:rsidRPr="007527C1" w:rsidRDefault="00F67B67" w:rsidP="00F97A62">
      <w:pPr>
        <w:pStyle w:val="PlainIndent"/>
      </w:pPr>
      <w:r w:rsidRPr="007527C1">
        <w:t>This inst</w:t>
      </w:r>
      <w:r w:rsidR="00D32F71">
        <w:t xml:space="preserve">rument is made under subsection </w:t>
      </w:r>
      <w:r w:rsidR="00A02752">
        <w:t>196B(2</w:t>
      </w:r>
      <w:r w:rsidRPr="007527C1">
        <w:t xml:space="preserve">) of the </w:t>
      </w:r>
      <w:r w:rsidRPr="007527C1">
        <w:rPr>
          <w:i/>
        </w:rPr>
        <w:t>Veterans’ Entitlements Act 1986</w:t>
      </w:r>
      <w:r w:rsidRPr="007527C1">
        <w:t>.</w:t>
      </w:r>
    </w:p>
    <w:p w:rsidR="00F4549D" w:rsidRDefault="00F4549D" w:rsidP="00F4549D">
      <w:pPr>
        <w:pStyle w:val="LV1"/>
      </w:pPr>
      <w:bookmarkStart w:id="13" w:name="_Toc418945123"/>
      <w:bookmarkStart w:id="14" w:name="_Toc426030088"/>
      <w:bookmarkStart w:id="15" w:name="_Toc418945122"/>
      <w:r>
        <w:t>Revocation</w:t>
      </w:r>
      <w:bookmarkEnd w:id="13"/>
      <w:bookmarkEnd w:id="14"/>
    </w:p>
    <w:p w:rsidR="00F4549D" w:rsidRPr="007527C1" w:rsidRDefault="00F4549D" w:rsidP="00F4549D">
      <w:pPr>
        <w:pStyle w:val="PlainIndent"/>
      </w:pPr>
      <w:r w:rsidRPr="000B755A">
        <w:t>The Statement of Principles concerning</w:t>
      </w:r>
      <w:r>
        <w:t xml:space="preserve"> </w:t>
      </w:r>
      <w:r w:rsidR="00816F6C">
        <w:t>Achilles</w:t>
      </w:r>
      <w:r w:rsidR="004C0C17" w:rsidRPr="004C0C17">
        <w:t xml:space="preserve"> tendinopathy and bursitis</w:t>
      </w:r>
      <w:r w:rsidR="0052305B">
        <w:t xml:space="preserve"> No. 37</w:t>
      </w:r>
      <w:r>
        <w:t xml:space="preserve"> of </w:t>
      </w:r>
      <w:r w:rsidR="0052305B">
        <w:t>2007</w:t>
      </w:r>
      <w:r>
        <w:t xml:space="preserve"> made under subsection 196B(2</w:t>
      </w:r>
      <w:r w:rsidRPr="000B755A">
        <w:t xml:space="preserve">) of the </w:t>
      </w:r>
      <w:r w:rsidRPr="00A545B3">
        <w:t>VEA</w:t>
      </w:r>
      <w:r w:rsidRPr="000B755A">
        <w:t xml:space="preserve"> is revoked.</w:t>
      </w:r>
    </w:p>
    <w:p w:rsidR="007C7DEE" w:rsidRPr="00684C0E" w:rsidRDefault="007C7DEE" w:rsidP="00C96667">
      <w:pPr>
        <w:pStyle w:val="LV1"/>
      </w:pPr>
      <w:bookmarkStart w:id="16" w:name="_Toc426030089"/>
      <w:r w:rsidRPr="00684C0E">
        <w:t>Application</w:t>
      </w:r>
      <w:bookmarkEnd w:id="15"/>
      <w:bookmarkEnd w:id="16"/>
    </w:p>
    <w:p w:rsidR="007C7DEE" w:rsidRDefault="007C7DEE" w:rsidP="00F97A62">
      <w:pPr>
        <w:pStyle w:val="PlainIndent"/>
      </w:pPr>
      <w:r w:rsidRPr="007527C1">
        <w:t xml:space="preserve">This instrument applies to </w:t>
      </w:r>
      <w:r w:rsidR="00237471" w:rsidRPr="007527C1">
        <w:t xml:space="preserve">a claim </w:t>
      </w:r>
      <w:r w:rsidRPr="007527C1">
        <w:t>to which section</w:t>
      </w:r>
      <w:r w:rsidR="00FA33FB" w:rsidRPr="007527C1">
        <w:t> </w:t>
      </w:r>
      <w:r w:rsidR="00A02752">
        <w:t>120A</w:t>
      </w:r>
      <w:r w:rsidRPr="007527C1">
        <w:t xml:space="preserve"> of the </w:t>
      </w:r>
      <w:r w:rsidR="00D32F71">
        <w:t xml:space="preserve">VEA </w:t>
      </w:r>
      <w:r w:rsidRPr="007527C1">
        <w:t>or section</w:t>
      </w:r>
      <w:r w:rsidR="00FA33FB" w:rsidRPr="007527C1">
        <w:t> </w:t>
      </w:r>
      <w:r w:rsidR="00A02752">
        <w:t>338</w:t>
      </w:r>
      <w:r w:rsidRPr="007527C1">
        <w:t xml:space="preserve"> of the </w:t>
      </w:r>
      <w:r w:rsidRPr="007527C1">
        <w:rPr>
          <w:i/>
        </w:rPr>
        <w:t>Military Rehabilitation and Compensation Act 2004</w:t>
      </w:r>
      <w:r w:rsidRPr="007527C1">
        <w:t xml:space="preserve"> applies.</w:t>
      </w:r>
    </w:p>
    <w:p w:rsidR="007C7DEE" w:rsidRPr="00684C0E" w:rsidRDefault="007C7DEE" w:rsidP="00C96667">
      <w:pPr>
        <w:pStyle w:val="LV1"/>
      </w:pPr>
      <w:bookmarkStart w:id="17" w:name="_Ref410129949"/>
      <w:bookmarkStart w:id="18" w:name="_Toc418945124"/>
      <w:bookmarkStart w:id="19" w:name="_Toc426030090"/>
      <w:r w:rsidRPr="00684C0E">
        <w:t>Definitions</w:t>
      </w:r>
      <w:bookmarkEnd w:id="17"/>
      <w:bookmarkEnd w:id="18"/>
      <w:bookmarkEnd w:id="19"/>
    </w:p>
    <w:p w:rsidR="00237471" w:rsidRPr="00D5620B" w:rsidRDefault="007142FB" w:rsidP="00F97A62">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20" w:name="_Ref409687573"/>
      <w:bookmarkStart w:id="21" w:name="_Ref409687579"/>
      <w:bookmarkStart w:id="22" w:name="_Ref409687725"/>
      <w:bookmarkStart w:id="23" w:name="_Toc418945125"/>
      <w:bookmarkStart w:id="24" w:name="_Toc426030091"/>
      <w:r w:rsidRPr="00684C0E">
        <w:t>Kind of injury, disease or death</w:t>
      </w:r>
      <w:r w:rsidR="00215860" w:rsidRPr="00684C0E">
        <w:t xml:space="preserve"> to which this Statement of Principles relates</w:t>
      </w:r>
      <w:bookmarkEnd w:id="20"/>
      <w:bookmarkEnd w:id="21"/>
      <w:bookmarkEnd w:id="22"/>
      <w:bookmarkEnd w:id="23"/>
      <w:bookmarkEnd w:id="24"/>
    </w:p>
    <w:p w:rsidR="007C7DEE" w:rsidRPr="00D5620B" w:rsidRDefault="007C7DEE" w:rsidP="003802D6">
      <w:pPr>
        <w:pStyle w:val="LV2"/>
      </w:pPr>
      <w:bookmarkStart w:id="25" w:name="_Ref403053584"/>
      <w:r w:rsidRPr="00D5620B">
        <w:t xml:space="preserve">This Statement of Principles is about </w:t>
      </w:r>
      <w:r w:rsidR="00816F6C">
        <w:t>Achilles</w:t>
      </w:r>
      <w:r w:rsidR="004C0C17" w:rsidRPr="004C0C17">
        <w:t xml:space="preserve"> tendinopathy </w:t>
      </w:r>
      <w:r w:rsidR="003D55EC">
        <w:t>and</w:t>
      </w:r>
      <w:r w:rsidR="004C0C17" w:rsidRPr="004C0C17">
        <w:t xml:space="preserve"> bursitis</w:t>
      </w:r>
      <w:r w:rsidR="003C445A">
        <w:t xml:space="preserve"> </w:t>
      </w:r>
      <w:r w:rsidRPr="00D5620B">
        <w:t>and death from</w:t>
      </w:r>
      <w:r w:rsidR="008E4A16">
        <w:t xml:space="preserve"> </w:t>
      </w:r>
      <w:r w:rsidR="00816F6C">
        <w:t>Achilles</w:t>
      </w:r>
      <w:r w:rsidR="004C0C17" w:rsidRPr="004C0C17">
        <w:t xml:space="preserve"> tendinopathy </w:t>
      </w:r>
      <w:r w:rsidR="003D55EC">
        <w:t>and</w:t>
      </w:r>
      <w:r w:rsidR="004C0C17" w:rsidRPr="004C0C17">
        <w:t xml:space="preserve"> bursitis</w:t>
      </w:r>
      <w:r w:rsidRPr="00D5620B">
        <w:t>.</w:t>
      </w:r>
      <w:bookmarkEnd w:id="25"/>
    </w:p>
    <w:p w:rsidR="00215860" w:rsidRPr="007142FB" w:rsidRDefault="00215860" w:rsidP="007142FB">
      <w:pPr>
        <w:pStyle w:val="LV2"/>
        <w:numPr>
          <w:ilvl w:val="0"/>
          <w:numId w:val="0"/>
        </w:numPr>
        <w:ind w:left="907"/>
        <w:rPr>
          <w:i/>
        </w:rPr>
      </w:pPr>
      <w:r w:rsidRPr="007142FB">
        <w:rPr>
          <w:i/>
        </w:rPr>
        <w:t>Meaning of</w:t>
      </w:r>
      <w:r w:rsidR="00D60FC8" w:rsidRPr="007142FB">
        <w:rPr>
          <w:i/>
        </w:rPr>
        <w:t xml:space="preserve"> </w:t>
      </w:r>
      <w:r w:rsidR="00816F6C">
        <w:rPr>
          <w:b/>
          <w:i/>
        </w:rPr>
        <w:t>Achilles</w:t>
      </w:r>
      <w:r w:rsidR="004C0C17" w:rsidRPr="004C0C17">
        <w:rPr>
          <w:b/>
          <w:i/>
        </w:rPr>
        <w:t xml:space="preserve"> tendinopathy and bursitis</w:t>
      </w:r>
    </w:p>
    <w:p w:rsidR="002716E4" w:rsidRPr="00237BAF" w:rsidRDefault="007C7DEE" w:rsidP="003802D6">
      <w:pPr>
        <w:pStyle w:val="LV2"/>
      </w:pPr>
      <w:bookmarkStart w:id="26" w:name="_Ref409598124"/>
      <w:bookmarkStart w:id="27" w:name="_Ref402529683"/>
      <w:r w:rsidRPr="00237BAF">
        <w:t>For the purposes of this Statement of Principles,</w:t>
      </w:r>
      <w:r w:rsidR="008E4A16" w:rsidRPr="008E4A16">
        <w:t xml:space="preserve"> </w:t>
      </w:r>
      <w:bookmarkEnd w:id="26"/>
    </w:p>
    <w:p w:rsidR="002716E4" w:rsidRPr="008E76DC" w:rsidRDefault="00F85D9E" w:rsidP="00F85D9E">
      <w:pPr>
        <w:pStyle w:val="LV3"/>
      </w:pPr>
      <w:r w:rsidRPr="00F85D9E">
        <w:t>Achilles tendinopathy means a condition characterised by painful inflammation associated with degeneration in the Achilles tendon, including degenerative tears of the Achilles tendon, or inflammation of the paratendinous tissues; and</w:t>
      </w:r>
    </w:p>
    <w:bookmarkEnd w:id="27"/>
    <w:p w:rsidR="0052305B" w:rsidRDefault="0052305B" w:rsidP="0052305B">
      <w:pPr>
        <w:pStyle w:val="LV3"/>
      </w:pPr>
      <w:r w:rsidRPr="0052305B">
        <w:t xml:space="preserve">bursitis means inflammation and thickening of the deep retrocalcaneal bursa about the </w:t>
      </w:r>
      <w:r w:rsidR="00816F6C">
        <w:t>Achilles</w:t>
      </w:r>
      <w:r w:rsidRPr="0052305B">
        <w:t xml:space="preserve"> tendon</w:t>
      </w:r>
      <w:r>
        <w:t>; and</w:t>
      </w:r>
      <w:r w:rsidRPr="0052305B">
        <w:t xml:space="preserve">  </w:t>
      </w:r>
    </w:p>
    <w:p w:rsidR="000F76FA" w:rsidRDefault="0052305B" w:rsidP="0052305B">
      <w:pPr>
        <w:pStyle w:val="LV3"/>
      </w:pPr>
      <w:r w:rsidRPr="0052305B">
        <w:t>exclude</w:t>
      </w:r>
      <w:r w:rsidR="00D144D6">
        <w:t>s</w:t>
      </w:r>
      <w:r w:rsidRPr="0052305B">
        <w:t xml:space="preserve"> posterior adventitial heel bursitis.</w:t>
      </w:r>
    </w:p>
    <w:p w:rsidR="0052305B" w:rsidRPr="00237BAF" w:rsidRDefault="0052305B" w:rsidP="0052305B">
      <w:pPr>
        <w:pStyle w:val="LV2"/>
      </w:pPr>
      <w:r w:rsidRPr="00237BAF">
        <w:t xml:space="preserve">While </w:t>
      </w:r>
      <w:r w:rsidR="00816F6C">
        <w:t>Achilles</w:t>
      </w:r>
      <w:r w:rsidR="004C0C17" w:rsidRPr="004C0C17">
        <w:t xml:space="preserve"> tendinopathy and bursitis</w:t>
      </w:r>
      <w:r>
        <w:t xml:space="preserve"> </w:t>
      </w:r>
      <w:r w:rsidRPr="00237BAF">
        <w:t>attracts ICD</w:t>
      </w:r>
      <w:r w:rsidRPr="00237BAF">
        <w:noBreakHyphen/>
        <w:t>10</w:t>
      </w:r>
      <w:r w:rsidRPr="00237BAF">
        <w:noBreakHyphen/>
        <w:t xml:space="preserve">AM </w:t>
      </w:r>
      <w:r w:rsidRPr="00EB2BC4">
        <w:t xml:space="preserve">code </w:t>
      </w:r>
      <w:r>
        <w:t>M76.6</w:t>
      </w:r>
      <w:r w:rsidRPr="00EB2BC4">
        <w:t>,</w:t>
      </w:r>
      <w:r w:rsidRPr="00237BAF">
        <w:t xml:space="preserve"> in applying this Statement of Principles the </w:t>
      </w:r>
      <w:r w:rsidRPr="00D5620B">
        <w:t xml:space="preserve">meaning of </w:t>
      </w:r>
      <w:r w:rsidR="00816F6C">
        <w:t>Achilles</w:t>
      </w:r>
      <w:r w:rsidR="004C0C17" w:rsidRPr="004C0C17">
        <w:t xml:space="preserve"> tendinopathy and bursitis</w:t>
      </w:r>
      <w:r>
        <w:t xml:space="preserve"> </w:t>
      </w:r>
      <w:r w:rsidRPr="00D5620B">
        <w:t>is that</w:t>
      </w:r>
      <w:r w:rsidRPr="00237BAF">
        <w:t xml:space="preserve"> given in subsection (2).</w:t>
      </w:r>
    </w:p>
    <w:p w:rsidR="0052305B" w:rsidRPr="0053697E" w:rsidRDefault="0052305B" w:rsidP="0052305B">
      <w:pPr>
        <w:pStyle w:val="LV2"/>
        <w:rPr>
          <w:i/>
          <w:color w:val="000000"/>
        </w:rPr>
      </w:pPr>
      <w:r w:rsidRPr="00237BAF">
        <w:lastRenderedPageBreak/>
        <w:t>For subsection (3), a reference to an ICD</w:t>
      </w:r>
      <w:r w:rsidRPr="00237BAF">
        <w:noBreakHyphen/>
        <w:t>10</w:t>
      </w:r>
      <w:r w:rsidRPr="00237BAF">
        <w:noBreakHyphen/>
        <w:t>AM code</w:t>
      </w:r>
      <w:r w:rsidRPr="0053697E">
        <w:rPr>
          <w:i/>
        </w:rPr>
        <w:t xml:space="preserve"> </w:t>
      </w:r>
      <w:r w:rsidRPr="00237BAF">
        <w:t xml:space="preserve">is a reference to the code assigned to a particular kind of injury or disease in </w:t>
      </w:r>
      <w:r w:rsidRPr="0053697E">
        <w:rPr>
          <w:i/>
        </w:rPr>
        <w:t>The International Statistical Classification of Diseases and Related Health Problems</w:t>
      </w:r>
      <w:r w:rsidRPr="00237BAF">
        <w:t xml:space="preserve">, </w:t>
      </w:r>
      <w:r w:rsidRPr="00D02068">
        <w:rPr>
          <w:i/>
        </w:rPr>
        <w:t>Tenth Revision, Australian Modification</w:t>
      </w:r>
      <w:r w:rsidRPr="00237BAF">
        <w:t xml:space="preserve"> (ICD</w:t>
      </w:r>
      <w:r w:rsidRPr="00237BAF">
        <w:noBreakHyphen/>
        <w:t>10</w:t>
      </w:r>
      <w:r w:rsidRPr="00237BAF">
        <w:noBreakHyphen/>
        <w:t xml:space="preserve">AM), </w:t>
      </w:r>
      <w:r>
        <w:t>Ninth</w:t>
      </w:r>
      <w:r w:rsidRPr="00237BAF">
        <w:t xml:space="preserve"> Edition, effective date of 1 July 201</w:t>
      </w:r>
      <w:r>
        <w:t>5</w:t>
      </w:r>
      <w:r w:rsidRPr="00237BAF">
        <w:t>, copyrighted by the Independent Hospital Pricing Authority, ISBN 978</w:t>
      </w:r>
      <w:r w:rsidRPr="00237BAF">
        <w:noBreakHyphen/>
        <w:t>1</w:t>
      </w:r>
      <w:r w:rsidRPr="00237BAF">
        <w:noBreakHyphen/>
      </w:r>
      <w:r>
        <w:t>76007</w:t>
      </w:r>
      <w:r w:rsidRPr="00237BAF">
        <w:noBreakHyphen/>
      </w:r>
      <w:r>
        <w:t>020</w:t>
      </w:r>
      <w:r w:rsidRPr="00237BAF">
        <w:noBreakHyphen/>
      </w:r>
      <w:r>
        <w:t>5</w:t>
      </w:r>
      <w:r w:rsidRPr="00237BAF">
        <w:t>.</w:t>
      </w:r>
    </w:p>
    <w:p w:rsidR="008F572A" w:rsidRPr="00FA33FB" w:rsidRDefault="00237BAF" w:rsidP="003A5C26">
      <w:pPr>
        <w:pStyle w:val="LV2"/>
        <w:numPr>
          <w:ilvl w:val="0"/>
          <w:numId w:val="0"/>
        </w:numPr>
        <w:ind w:left="1474" w:hanging="567"/>
      </w:pPr>
      <w:r w:rsidRPr="003A5C26">
        <w:rPr>
          <w:i/>
        </w:rPr>
        <w:t>Death from</w:t>
      </w:r>
      <w:r w:rsidR="008F572A" w:rsidRPr="00237BAF">
        <w:t xml:space="preserve"> </w:t>
      </w:r>
      <w:r w:rsidR="00816F6C">
        <w:rPr>
          <w:b/>
          <w:i/>
        </w:rPr>
        <w:t>Achilles</w:t>
      </w:r>
      <w:r w:rsidR="004C0C17" w:rsidRPr="004C0C17">
        <w:rPr>
          <w:b/>
          <w:i/>
        </w:rPr>
        <w:t xml:space="preserve"> tendinopathy </w:t>
      </w:r>
      <w:r w:rsidR="00A77A64">
        <w:rPr>
          <w:b/>
          <w:i/>
        </w:rPr>
        <w:t>and</w:t>
      </w:r>
      <w:r w:rsidR="004C0C17" w:rsidRPr="004C0C17">
        <w:rPr>
          <w:b/>
          <w:i/>
        </w:rPr>
        <w:t xml:space="preserve"> bursitis</w:t>
      </w:r>
    </w:p>
    <w:p w:rsidR="008F572A" w:rsidRPr="00237BAF" w:rsidRDefault="008F572A" w:rsidP="003802D6">
      <w:pPr>
        <w:pStyle w:val="LV2"/>
      </w:pPr>
      <w:r w:rsidRPr="00237BAF">
        <w:t xml:space="preserve">For the purposes of this Statement of </w:t>
      </w:r>
      <w:r w:rsidR="00D5620B">
        <w:t xml:space="preserve">Principles, </w:t>
      </w:r>
      <w:r w:rsidR="00816F6C">
        <w:t>Achilles</w:t>
      </w:r>
      <w:r w:rsidR="004C0C17" w:rsidRPr="004C0C17">
        <w:t xml:space="preserve"> tendinopathy </w:t>
      </w:r>
      <w:r w:rsidR="004F572B">
        <w:t>or</w:t>
      </w:r>
      <w:r w:rsidR="004C0C17" w:rsidRPr="004C0C17">
        <w:t xml:space="preserve"> bursitis</w:t>
      </w:r>
      <w:r w:rsidRPr="00D5620B">
        <w:t>,</w:t>
      </w:r>
      <w:r w:rsidRPr="00237BAF">
        <w:rPr>
          <w:b/>
        </w:rPr>
        <w:t xml:space="preserve"> </w:t>
      </w:r>
      <w:r w:rsidRPr="00237BAF">
        <w:t xml:space="preserve">in relation to a person, includes death from a terminal event or condition that was contributed to by the </w:t>
      </w:r>
      <w:r w:rsidRPr="00D5620B">
        <w:t>person’s</w:t>
      </w:r>
      <w:r w:rsidR="008E4A16">
        <w:t xml:space="preserve"> </w:t>
      </w:r>
      <w:r w:rsidR="00816F6C">
        <w:t>Achilles</w:t>
      </w:r>
      <w:r w:rsidR="004C0C17" w:rsidRPr="004C0C17">
        <w:t xml:space="preserve"> tendinopathy </w:t>
      </w:r>
      <w:r w:rsidR="003D55EC">
        <w:t>or</w:t>
      </w:r>
      <w:r w:rsidR="004C0C17" w:rsidRPr="004C0C17">
        <w:t xml:space="preserve"> bursitis</w:t>
      </w:r>
      <w:r w:rsidRPr="00D5620B">
        <w:t>.</w:t>
      </w:r>
    </w:p>
    <w:p w:rsidR="007C7DEE" w:rsidRDefault="00046E67" w:rsidP="00046E67">
      <w:pPr>
        <w:pStyle w:val="NOTE"/>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DE0026">
        <w:t>–</w:t>
      </w:r>
      <w:r w:rsidR="00D32F71">
        <w:t xml:space="preserve"> </w:t>
      </w:r>
      <w:r w:rsidR="00885EAB" w:rsidRPr="00046E67">
        <w:t>Dictionary</w:t>
      </w:r>
      <w:r w:rsidR="00776551">
        <w:t>.</w:t>
      </w:r>
    </w:p>
    <w:p w:rsidR="007C7DEE" w:rsidRPr="00A20CA1" w:rsidRDefault="007C7DEE" w:rsidP="00C96667">
      <w:pPr>
        <w:pStyle w:val="LV1"/>
      </w:pPr>
      <w:bookmarkStart w:id="28" w:name="_Toc418945126"/>
      <w:bookmarkStart w:id="29" w:name="_Toc426030092"/>
      <w:r w:rsidRPr="00A20CA1">
        <w:t>Basis for determining the factors</w:t>
      </w:r>
      <w:bookmarkEnd w:id="28"/>
      <w:bookmarkEnd w:id="29"/>
    </w:p>
    <w:p w:rsidR="007C7DEE" w:rsidRPr="00237BAF" w:rsidRDefault="00D33883" w:rsidP="00F97A62">
      <w:pPr>
        <w:pStyle w:val="PlainIndent"/>
      </w:pPr>
      <w:r w:rsidRPr="00283A64">
        <w:t>The Repatriation Medical Authority is of the view that there is sound medical</w:t>
      </w:r>
      <w:r>
        <w:noBreakHyphen/>
      </w:r>
      <w:r w:rsidRPr="00283A64">
        <w:t>scientific evidence that indicates</w:t>
      </w:r>
      <w:r w:rsidRPr="00D5620B">
        <w:t xml:space="preserve"> </w:t>
      </w:r>
      <w:r w:rsidR="007C7DEE" w:rsidRPr="00D5620B">
        <w:t xml:space="preserve">that </w:t>
      </w:r>
      <w:r w:rsidR="00816F6C">
        <w:t>Achilles</w:t>
      </w:r>
      <w:r w:rsidR="004C0C17" w:rsidRPr="004C0C17">
        <w:t xml:space="preserve"> tendinopathy </w:t>
      </w:r>
      <w:r w:rsidR="00A37576">
        <w:t>or</w:t>
      </w:r>
      <w:r w:rsidR="004C0C17" w:rsidRPr="004C0C17">
        <w:t xml:space="preserve"> bursitis</w:t>
      </w:r>
      <w:r w:rsidR="008E4A16">
        <w:t xml:space="preserve"> </w:t>
      </w:r>
      <w:r w:rsidR="007C7DEE" w:rsidRPr="00D5620B">
        <w:t>and death from</w:t>
      </w:r>
      <w:r w:rsidR="00D5620B">
        <w:t xml:space="preserve"> </w:t>
      </w:r>
      <w:r w:rsidR="00816F6C">
        <w:t>Achilles</w:t>
      </w:r>
      <w:r w:rsidR="004C0C17" w:rsidRPr="004C0C17">
        <w:t xml:space="preserve"> tendinopathy </w:t>
      </w:r>
      <w:r w:rsidR="00A37576">
        <w:t>or</w:t>
      </w:r>
      <w:r w:rsidR="004C0C17" w:rsidRPr="004C0C17">
        <w:t xml:space="preserve"> bursitis</w:t>
      </w:r>
      <w:r w:rsidR="008E4A16">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007C7DEE" w:rsidRPr="00237BAF">
        <w:t>.</w:t>
      </w:r>
    </w:p>
    <w:p w:rsidR="00885EAB" w:rsidRPr="00046E67" w:rsidRDefault="00046E67" w:rsidP="00046E67">
      <w:pPr>
        <w:pStyle w:val="NOTE"/>
      </w:pPr>
      <w:r>
        <w:t xml:space="preserve">Note: </w:t>
      </w:r>
      <w:r w:rsidR="00C9794D">
        <w:rPr>
          <w:b/>
          <w:i/>
        </w:rPr>
        <w:t>r</w:t>
      </w:r>
      <w:r w:rsidR="000E4183" w:rsidRPr="00FA33FB">
        <w:rPr>
          <w:b/>
          <w:i/>
        </w:rPr>
        <w:t>elevant service</w:t>
      </w:r>
      <w:r w:rsidR="000E4183" w:rsidRPr="00FA33FB">
        <w:t xml:space="preserve"> </w:t>
      </w:r>
      <w:r w:rsidR="00885EAB" w:rsidRPr="00046E67">
        <w:t xml:space="preserve">is defined in the </w:t>
      </w:r>
      <w:r w:rsidR="00D32F71">
        <w:t xml:space="preserve">Schedule 1 </w:t>
      </w:r>
      <w:r w:rsidR="00FA0587">
        <w:t>–</w:t>
      </w:r>
      <w:r w:rsidR="00D32F71">
        <w:t xml:space="preserve"> </w:t>
      </w:r>
      <w:r w:rsidR="00885EAB" w:rsidRPr="00046E67">
        <w:t>Dictionary</w:t>
      </w:r>
      <w:r w:rsidR="00FA0587">
        <w:t>.</w:t>
      </w:r>
    </w:p>
    <w:p w:rsidR="007C7DEE" w:rsidRPr="00301C54" w:rsidRDefault="007C7DEE" w:rsidP="00C96667">
      <w:pPr>
        <w:pStyle w:val="LV1"/>
      </w:pPr>
      <w:bookmarkStart w:id="30" w:name="_Ref411946955"/>
      <w:bookmarkStart w:id="31" w:name="_Ref411946997"/>
      <w:bookmarkStart w:id="32" w:name="_Ref412032503"/>
      <w:bookmarkStart w:id="33" w:name="_Toc418945127"/>
      <w:bookmarkStart w:id="34" w:name="_Toc426030093"/>
      <w:r w:rsidRPr="00301C54">
        <w:t xml:space="preserve">Factors that must </w:t>
      </w:r>
      <w:r w:rsidR="00D32F71">
        <w:t>exist</w:t>
      </w:r>
      <w:bookmarkEnd w:id="30"/>
      <w:bookmarkEnd w:id="31"/>
      <w:bookmarkEnd w:id="32"/>
      <w:bookmarkEnd w:id="33"/>
      <w:bookmarkEnd w:id="34"/>
    </w:p>
    <w:p w:rsidR="007C7DEE" w:rsidRPr="00AA6D8B" w:rsidRDefault="00D33883" w:rsidP="006647B7">
      <w:pPr>
        <w:pStyle w:val="PlainIndent"/>
      </w:pPr>
      <w:bookmarkStart w:id="35" w:name="_Ref402530190"/>
      <w:r w:rsidRPr="00283A64">
        <w:t>At least one of the following factors must as a minimum exist before it can be said that a reasonable hypothesis has been raised connecting</w:t>
      </w:r>
      <w:r w:rsidR="007C7DEE" w:rsidRPr="00AA6D8B">
        <w:t xml:space="preserve"> </w:t>
      </w:r>
      <w:r w:rsidR="00816F6C">
        <w:t>Achilles</w:t>
      </w:r>
      <w:r w:rsidR="004C0C17" w:rsidRPr="004C0C17">
        <w:t xml:space="preserve"> tendinopathy </w:t>
      </w:r>
      <w:r w:rsidR="00A37576">
        <w:t>or</w:t>
      </w:r>
      <w:r w:rsidR="004C0C17" w:rsidRPr="004C0C17">
        <w:t xml:space="preserve"> bursitis</w:t>
      </w:r>
      <w:r w:rsidR="008E4A16">
        <w:t xml:space="preserve"> </w:t>
      </w:r>
      <w:r w:rsidR="007C7DEE" w:rsidRPr="00AA6D8B">
        <w:t xml:space="preserve">or death from </w:t>
      </w:r>
      <w:r w:rsidR="00816F6C">
        <w:t>Achilles</w:t>
      </w:r>
      <w:r w:rsidR="004C0C17" w:rsidRPr="004C0C17">
        <w:t xml:space="preserve"> tendinopathy </w:t>
      </w:r>
      <w:r w:rsidR="00A37576">
        <w:t>or</w:t>
      </w:r>
      <w:r w:rsidR="004C0C17" w:rsidRPr="004C0C17">
        <w:t xml:space="preserve"> bursitis</w:t>
      </w:r>
      <w:r w:rsidR="008E4A16">
        <w:t xml:space="preserve"> </w:t>
      </w:r>
      <w:r w:rsidR="007C7DEE" w:rsidRPr="00AA6D8B">
        <w:t>with the circumstances of a pers</w:t>
      </w:r>
      <w:r w:rsidR="002A1ECC" w:rsidRPr="00AA6D8B">
        <w:t>on’s relevant service</w:t>
      </w:r>
      <w:r w:rsidR="007C7DEE" w:rsidRPr="00AA6D8B">
        <w:t>:</w:t>
      </w:r>
      <w:bookmarkEnd w:id="35"/>
    </w:p>
    <w:p w:rsidR="007C7DEE" w:rsidRDefault="00DD0175" w:rsidP="006647B7">
      <w:pPr>
        <w:pStyle w:val="LV2"/>
      </w:pPr>
      <w:r w:rsidRPr="00F62989">
        <w:t>running or jogging an average of at least 30</w:t>
      </w:r>
      <w:r>
        <w:t xml:space="preserve"> </w:t>
      </w:r>
      <w:r w:rsidRPr="00F62989">
        <w:t xml:space="preserve">kilometres per week for the </w:t>
      </w:r>
      <w:r>
        <w:t xml:space="preserve">four weeks </w:t>
      </w:r>
      <w:r w:rsidRPr="00F62989">
        <w:t xml:space="preserve">before the clinical onset of </w:t>
      </w:r>
      <w:r w:rsidR="00816F6C">
        <w:t>Achilles</w:t>
      </w:r>
      <w:r w:rsidRPr="004A3858">
        <w:t xml:space="preserve"> tendinopathy or bursitis</w:t>
      </w:r>
      <w:r w:rsidRPr="00F62989">
        <w:t>;</w:t>
      </w:r>
    </w:p>
    <w:p w:rsidR="00DD0175" w:rsidRDefault="00DD0175" w:rsidP="006647B7">
      <w:pPr>
        <w:pStyle w:val="LV2"/>
      </w:pPr>
      <w:r>
        <w:t xml:space="preserve">undertaking weight bearing exercise involving repeated activity of the ankle joint of the affected leg, at a minimum intensity of five METs, for at least four hours per week for the four weeks before the clinical onset of </w:t>
      </w:r>
      <w:r w:rsidR="00816F6C">
        <w:t>Achilles</w:t>
      </w:r>
      <w:r w:rsidRPr="004A3858">
        <w:t xml:space="preserve"> tendinopathy or bursitis</w:t>
      </w:r>
      <w:r>
        <w:t>;</w:t>
      </w:r>
    </w:p>
    <w:p w:rsidR="00323BE3" w:rsidRDefault="00323BE3" w:rsidP="00323BE3">
      <w:pPr>
        <w:pStyle w:val="NOTE"/>
      </w:pPr>
      <w:r>
        <w:t xml:space="preserve">Note: </w:t>
      </w:r>
      <w:r>
        <w:rPr>
          <w:b/>
          <w:i/>
        </w:rPr>
        <w:t>MET</w:t>
      </w:r>
      <w:r w:rsidRPr="00046E67">
        <w:t xml:space="preserve"> is defined in the </w:t>
      </w:r>
      <w:r>
        <w:t xml:space="preserve">Schedule 1 - </w:t>
      </w:r>
      <w:r w:rsidRPr="002717B2">
        <w:t>Dictionary</w:t>
      </w:r>
      <w:r w:rsidRPr="00046E67">
        <w:t>.</w:t>
      </w:r>
    </w:p>
    <w:p w:rsidR="00DD0175" w:rsidRPr="00323BE3" w:rsidRDefault="00DD0175" w:rsidP="006647B7">
      <w:pPr>
        <w:pStyle w:val="LV2"/>
      </w:pPr>
      <w:r w:rsidRPr="00893451">
        <w:rPr>
          <w:lang w:val="en-US"/>
        </w:rPr>
        <w:t>increasing the frequency, duration or intensity of weight bearing</w:t>
      </w:r>
      <w:r>
        <w:rPr>
          <w:lang w:val="en-US"/>
        </w:rPr>
        <w:t xml:space="preserve"> </w:t>
      </w:r>
      <w:r w:rsidRPr="00893451">
        <w:rPr>
          <w:lang w:val="en-US"/>
        </w:rPr>
        <w:t xml:space="preserve">activity involving the </w:t>
      </w:r>
      <w:r>
        <w:t>ankle joint of the affected leg</w:t>
      </w:r>
      <w:r w:rsidRPr="00893451">
        <w:rPr>
          <w:lang w:val="en-US"/>
        </w:rPr>
        <w:t xml:space="preserve"> by at least 100 percent,</w:t>
      </w:r>
      <w:r>
        <w:rPr>
          <w:lang w:val="en-US"/>
        </w:rPr>
        <w:t xml:space="preserve"> </w:t>
      </w:r>
      <w:r w:rsidRPr="00893451">
        <w:rPr>
          <w:lang w:val="en-US"/>
        </w:rPr>
        <w:t>to a minimum intensity of five METs for at least two</w:t>
      </w:r>
      <w:r>
        <w:rPr>
          <w:lang w:val="en-US"/>
        </w:rPr>
        <w:t xml:space="preserve"> </w:t>
      </w:r>
      <w:r w:rsidRPr="00893451">
        <w:rPr>
          <w:lang w:val="en-US"/>
        </w:rPr>
        <w:t>hours per day,</w:t>
      </w:r>
      <w:r>
        <w:rPr>
          <w:lang w:val="en-US"/>
        </w:rPr>
        <w:t xml:space="preserve"> </w:t>
      </w:r>
      <w:r w:rsidRPr="00893451">
        <w:rPr>
          <w:lang w:val="en-US"/>
        </w:rPr>
        <w:t xml:space="preserve">within the seven days before the clinical onset of </w:t>
      </w:r>
      <w:r w:rsidR="00816F6C">
        <w:t>Achilles</w:t>
      </w:r>
      <w:r w:rsidRPr="004A3858">
        <w:t xml:space="preserve"> tendinopathy or bursitis</w:t>
      </w:r>
      <w:r w:rsidRPr="00893451">
        <w:rPr>
          <w:lang w:val="en-US"/>
        </w:rPr>
        <w:t>;</w:t>
      </w:r>
    </w:p>
    <w:p w:rsidR="00323BE3" w:rsidRPr="00DD0175" w:rsidRDefault="00323BE3" w:rsidP="00323BE3">
      <w:pPr>
        <w:pStyle w:val="NOTE"/>
      </w:pPr>
      <w:r>
        <w:t xml:space="preserve">Note: </w:t>
      </w:r>
      <w:r>
        <w:rPr>
          <w:b/>
          <w:i/>
        </w:rPr>
        <w:t>MET</w:t>
      </w:r>
      <w:r w:rsidRPr="00046E67">
        <w:t xml:space="preserve"> is defined in the </w:t>
      </w:r>
      <w:r>
        <w:t xml:space="preserve">Schedule 1 - </w:t>
      </w:r>
      <w:r w:rsidRPr="002717B2">
        <w:t>Dictionary</w:t>
      </w:r>
      <w:r w:rsidRPr="00046E67">
        <w:t>.</w:t>
      </w:r>
    </w:p>
    <w:p w:rsidR="00DD0175" w:rsidRPr="008D1B8B" w:rsidRDefault="00DD0175" w:rsidP="006647B7">
      <w:pPr>
        <w:pStyle w:val="LV2"/>
      </w:pPr>
      <w:r w:rsidRPr="00FD7B26">
        <w:rPr>
          <w:lang w:val="en-US"/>
        </w:rPr>
        <w:lastRenderedPageBreak/>
        <w:t xml:space="preserve">having a </w:t>
      </w:r>
      <w:r>
        <w:rPr>
          <w:lang w:val="en-US"/>
        </w:rPr>
        <w:t xml:space="preserve">disease from the specified list of </w:t>
      </w:r>
      <w:r w:rsidRPr="00FD7B26">
        <w:rPr>
          <w:lang w:val="en-US"/>
        </w:rPr>
        <w:t>systemic arthritic disease</w:t>
      </w:r>
      <w:r>
        <w:rPr>
          <w:lang w:val="en-US"/>
        </w:rPr>
        <w:t>s</w:t>
      </w:r>
      <w:r w:rsidRPr="00FD7B26">
        <w:rPr>
          <w:lang w:val="en-US"/>
        </w:rPr>
        <w:t xml:space="preserve"> at the time of the clinical onset</w:t>
      </w:r>
      <w:r>
        <w:rPr>
          <w:lang w:val="en-US"/>
        </w:rPr>
        <w:t xml:space="preserve"> </w:t>
      </w:r>
      <w:r w:rsidRPr="00FD7B26">
        <w:rPr>
          <w:lang w:val="en-US"/>
        </w:rPr>
        <w:t xml:space="preserve">of </w:t>
      </w:r>
      <w:r w:rsidR="00816F6C">
        <w:rPr>
          <w:lang w:val="en-US"/>
        </w:rPr>
        <w:t>Achilles</w:t>
      </w:r>
      <w:r w:rsidRPr="00FD7B26">
        <w:rPr>
          <w:lang w:val="en-US"/>
        </w:rPr>
        <w:t xml:space="preserve"> tendinopathy or bursitis;</w:t>
      </w:r>
    </w:p>
    <w:p w:rsidR="00885EAB" w:rsidRPr="00046E67" w:rsidRDefault="00046E67" w:rsidP="002717B2">
      <w:pPr>
        <w:pStyle w:val="NOTE"/>
      </w:pPr>
      <w:r>
        <w:t xml:space="preserve">Note: </w:t>
      </w:r>
      <w:r w:rsidR="00DD0175" w:rsidRPr="00DD0175">
        <w:rPr>
          <w:b/>
          <w:i/>
        </w:rPr>
        <w:t>specified list of systemic arthritic diseases</w:t>
      </w:r>
      <w:r w:rsidR="00885EAB" w:rsidRPr="00046E67">
        <w:t xml:space="preserve"> is defined in the </w:t>
      </w:r>
      <w:r w:rsidR="00FA0587">
        <w:t xml:space="preserve">Schedule 1 - </w:t>
      </w:r>
      <w:r w:rsidR="00885EAB" w:rsidRPr="002717B2">
        <w:t>Dictionary</w:t>
      </w:r>
      <w:r w:rsidR="00885EAB" w:rsidRPr="00046E67">
        <w:t>.</w:t>
      </w:r>
    </w:p>
    <w:p w:rsidR="00DD0175" w:rsidRDefault="000523E4" w:rsidP="006647B7">
      <w:pPr>
        <w:pStyle w:val="LV2"/>
        <w:rPr>
          <w:lang w:val="en-US"/>
        </w:rPr>
      </w:pPr>
      <w:r w:rsidRPr="000523E4">
        <w:rPr>
          <w:lang w:val="en-US"/>
        </w:rPr>
        <w:t xml:space="preserve">having a significant biomechanical abnormality involving the affected foot or affected ankle at the time of the clinical onset of </w:t>
      </w:r>
      <w:r w:rsidR="00816F6C">
        <w:rPr>
          <w:lang w:val="en-US"/>
        </w:rPr>
        <w:t>Achilles</w:t>
      </w:r>
      <w:r w:rsidRPr="000523E4">
        <w:rPr>
          <w:lang w:val="en-US"/>
        </w:rPr>
        <w:t xml:space="preserve"> tendinopathy or bursitis;</w:t>
      </w:r>
    </w:p>
    <w:p w:rsidR="000523E4" w:rsidRPr="000523E4" w:rsidRDefault="000523E4" w:rsidP="000523E4">
      <w:pPr>
        <w:pStyle w:val="NOTE"/>
        <w:rPr>
          <w:lang w:val="en-US"/>
        </w:rPr>
      </w:pPr>
      <w:r>
        <w:t xml:space="preserve">Note: </w:t>
      </w:r>
      <w:r>
        <w:rPr>
          <w:b/>
          <w:i/>
        </w:rPr>
        <w:t>significant biomechanical abnormality</w:t>
      </w:r>
      <w:r w:rsidRPr="00046E67">
        <w:t xml:space="preserve"> is defined in the </w:t>
      </w:r>
      <w:r>
        <w:t xml:space="preserve">Schedule 1 – </w:t>
      </w:r>
      <w:r w:rsidRPr="002717B2">
        <w:t>Dictionary</w:t>
      </w:r>
      <w:r>
        <w:t>.</w:t>
      </w:r>
    </w:p>
    <w:p w:rsidR="008D182B" w:rsidRDefault="008D182B" w:rsidP="008D182B">
      <w:pPr>
        <w:pStyle w:val="LV2"/>
      </w:pPr>
      <w:r>
        <w:t xml:space="preserve">undergoing a renal transplant within the ten years before the clinical onset of </w:t>
      </w:r>
      <w:r w:rsidR="00816F6C">
        <w:t>Achilles</w:t>
      </w:r>
      <w:r>
        <w:t xml:space="preserve"> tendinopathy or bursitis;</w:t>
      </w:r>
    </w:p>
    <w:p w:rsidR="008D182B" w:rsidRDefault="008D182B" w:rsidP="008D182B">
      <w:pPr>
        <w:pStyle w:val="LV2"/>
      </w:pPr>
      <w:r>
        <w:t xml:space="preserve">for </w:t>
      </w:r>
      <w:r w:rsidR="00816F6C">
        <w:t>Achilles</w:t>
      </w:r>
      <w:r>
        <w:t xml:space="preserve"> tendinopathy only, undergoing treatment with fluoroquinolone antibiotics within the 14 days before the clinical onset of </w:t>
      </w:r>
      <w:r w:rsidR="00816F6C">
        <w:t>Achilles</w:t>
      </w:r>
      <w:r>
        <w:t xml:space="preserve"> tendinopathy;</w:t>
      </w:r>
    </w:p>
    <w:p w:rsidR="00B34546" w:rsidRPr="00815C04" w:rsidRDefault="00B34546" w:rsidP="00B34546">
      <w:pPr>
        <w:pStyle w:val="LV2"/>
      </w:pPr>
      <w:r w:rsidRPr="00B34546">
        <w:t>being</w:t>
      </w:r>
      <w:r w:rsidRPr="00815C04">
        <w:rPr>
          <w:lang w:val="en-US"/>
        </w:rPr>
        <w:t xml:space="preserve"> treated with a glucocorticoid drug</w:t>
      </w:r>
      <w:r w:rsidR="00C21EE9">
        <w:rPr>
          <w:lang w:val="en-US"/>
        </w:rPr>
        <w:t xml:space="preserve"> as specified</w:t>
      </w:r>
      <w:r w:rsidRPr="00815C04">
        <w:rPr>
          <w:lang w:val="en-US"/>
        </w:rPr>
        <w:t xml:space="preserve"> before the clinical onset of </w:t>
      </w:r>
      <w:r w:rsidR="00816F6C">
        <w:t>Achilles</w:t>
      </w:r>
      <w:r>
        <w:t xml:space="preserve"> tendinopathy or bursitis;</w:t>
      </w:r>
    </w:p>
    <w:p w:rsidR="00B34546" w:rsidRDefault="00B34546" w:rsidP="00B34546">
      <w:pPr>
        <w:pStyle w:val="NOTE"/>
      </w:pPr>
      <w:r w:rsidRPr="00815C04">
        <w:t xml:space="preserve">Note: </w:t>
      </w:r>
      <w:r w:rsidR="00C21EE9">
        <w:rPr>
          <w:b/>
          <w:i/>
          <w:szCs w:val="24"/>
          <w:lang w:val="en-US"/>
        </w:rPr>
        <w:t>glucocorticoid drug as specified</w:t>
      </w:r>
      <w:r w:rsidRPr="00815C04">
        <w:t xml:space="preserve"> is defined in the Schedule 1 - Dictionary.</w:t>
      </w:r>
    </w:p>
    <w:p w:rsidR="00B34546" w:rsidRPr="00B34546" w:rsidRDefault="00B34546" w:rsidP="006647B7">
      <w:pPr>
        <w:pStyle w:val="LV2"/>
      </w:pPr>
      <w:r w:rsidRPr="009F52BE">
        <w:rPr>
          <w:lang w:val="en-US"/>
        </w:rPr>
        <w:t>being obese at the time of</w:t>
      </w:r>
      <w:r>
        <w:rPr>
          <w:lang w:val="en-US"/>
        </w:rPr>
        <w:t xml:space="preserve"> the clinical onset of </w:t>
      </w:r>
      <w:r w:rsidR="00816F6C">
        <w:rPr>
          <w:lang w:val="en-US"/>
        </w:rPr>
        <w:t>Achilles</w:t>
      </w:r>
      <w:r>
        <w:rPr>
          <w:lang w:val="en-US"/>
        </w:rPr>
        <w:t xml:space="preserve"> tendinopathy or bursitis;</w:t>
      </w:r>
    </w:p>
    <w:p w:rsidR="00B34546" w:rsidRDefault="00B34546" w:rsidP="00B34546">
      <w:pPr>
        <w:pStyle w:val="NOTE"/>
      </w:pPr>
      <w:r w:rsidRPr="00815C04">
        <w:t xml:space="preserve">Note: </w:t>
      </w:r>
      <w:r>
        <w:rPr>
          <w:b/>
          <w:i/>
          <w:szCs w:val="24"/>
          <w:lang w:val="en-US"/>
        </w:rPr>
        <w:t>being obese</w:t>
      </w:r>
      <w:r w:rsidRPr="00815C04">
        <w:t xml:space="preserve"> is defined in the Schedule 1 - Dictionary.</w:t>
      </w:r>
    </w:p>
    <w:p w:rsidR="00B34546" w:rsidRDefault="00321DD0" w:rsidP="006647B7">
      <w:pPr>
        <w:pStyle w:val="LV2"/>
      </w:pPr>
      <w:r w:rsidRPr="00B77160">
        <w:rPr>
          <w:lang w:val="en-US"/>
        </w:rPr>
        <w:t>having diabetes mellitus</w:t>
      </w:r>
      <w:r w:rsidRPr="00B77160">
        <w:rPr>
          <w:b/>
          <w:lang w:val="en-US"/>
        </w:rPr>
        <w:t xml:space="preserve"> </w:t>
      </w:r>
      <w:r w:rsidRPr="00142E9F">
        <w:rPr>
          <w:lang w:val="en-US"/>
        </w:rPr>
        <w:t>at the time of</w:t>
      </w:r>
      <w:r>
        <w:rPr>
          <w:b/>
          <w:lang w:val="en-US"/>
        </w:rPr>
        <w:t xml:space="preserve"> </w:t>
      </w:r>
      <w:r w:rsidRPr="00B77160">
        <w:rPr>
          <w:lang w:val="en-US"/>
        </w:rPr>
        <w:t xml:space="preserve">the clinical onset of </w:t>
      </w:r>
      <w:r w:rsidR="00816F6C">
        <w:rPr>
          <w:lang w:val="en-US"/>
        </w:rPr>
        <w:t>Achilles</w:t>
      </w:r>
      <w:r>
        <w:rPr>
          <w:lang w:val="en-US"/>
        </w:rPr>
        <w:t xml:space="preserve"> tendinopathy or bursitis</w:t>
      </w:r>
      <w:r w:rsidRPr="00B77160">
        <w:t>;</w:t>
      </w:r>
    </w:p>
    <w:p w:rsidR="00321DD0" w:rsidRDefault="00321DD0" w:rsidP="006647B7">
      <w:pPr>
        <w:pStyle w:val="LV2"/>
      </w:pPr>
      <w:r>
        <w:t xml:space="preserve">being treated for at least four weeks with </w:t>
      </w:r>
      <w:r w:rsidRPr="005F6FDB">
        <w:t>an aromatase inhibitor within</w:t>
      </w:r>
      <w:r>
        <w:t xml:space="preserve"> the </w:t>
      </w:r>
      <w:r w:rsidR="004F572B">
        <w:t>one year</w:t>
      </w:r>
      <w:r>
        <w:t xml:space="preserve"> before the clinical onset of </w:t>
      </w:r>
      <w:r w:rsidR="00816F6C">
        <w:t>Achilles</w:t>
      </w:r>
      <w:r>
        <w:t xml:space="preserve"> tendinopathy or bursitis;</w:t>
      </w:r>
    </w:p>
    <w:p w:rsidR="00321DD0" w:rsidRDefault="00321DD0" w:rsidP="00321DD0">
      <w:pPr>
        <w:pStyle w:val="LV2"/>
      </w:pPr>
      <w:bookmarkStart w:id="36" w:name="_Ref402530260"/>
      <w:bookmarkStart w:id="37" w:name="_Ref409598844"/>
      <w:r w:rsidRPr="00F62989">
        <w:t>running or jogging an average of at least 30</w:t>
      </w:r>
      <w:r>
        <w:t xml:space="preserve"> </w:t>
      </w:r>
      <w:r w:rsidRPr="00F62989">
        <w:t xml:space="preserve">kilometres per week for the </w:t>
      </w:r>
      <w:r>
        <w:t xml:space="preserve">four weeks </w:t>
      </w:r>
      <w:r w:rsidRPr="00F62989">
        <w:t xml:space="preserve">before the clinical </w:t>
      </w:r>
      <w:r>
        <w:t>worsening</w:t>
      </w:r>
      <w:r w:rsidRPr="00F62989">
        <w:t xml:space="preserve"> of </w:t>
      </w:r>
      <w:r w:rsidR="00816F6C">
        <w:t>Achilles</w:t>
      </w:r>
      <w:r w:rsidRPr="004A3858">
        <w:t xml:space="preserve"> tendinopathy or bursitis</w:t>
      </w:r>
      <w:r w:rsidRPr="00F62989">
        <w:t>;</w:t>
      </w:r>
    </w:p>
    <w:p w:rsidR="00321DD0" w:rsidRDefault="00321DD0" w:rsidP="00321DD0">
      <w:pPr>
        <w:pStyle w:val="LV2"/>
      </w:pPr>
      <w:r>
        <w:t xml:space="preserve">undertaking weight bearing exercise involving repeated activity of the ankle joint of the affected leg, at a minimum intensity of five METs, for at least four hours per week for the four weeks before the clinical worsening of </w:t>
      </w:r>
      <w:r w:rsidR="00816F6C">
        <w:t>Achilles</w:t>
      </w:r>
      <w:r w:rsidRPr="004A3858">
        <w:t xml:space="preserve"> tendinopathy or bursitis</w:t>
      </w:r>
      <w:r>
        <w:t>;</w:t>
      </w:r>
    </w:p>
    <w:p w:rsidR="00323BE3" w:rsidRDefault="00323BE3" w:rsidP="00323BE3">
      <w:pPr>
        <w:pStyle w:val="NOTE"/>
      </w:pPr>
      <w:r>
        <w:t xml:space="preserve">Note: </w:t>
      </w:r>
      <w:r>
        <w:rPr>
          <w:b/>
          <w:i/>
        </w:rPr>
        <w:t>MET</w:t>
      </w:r>
      <w:r w:rsidRPr="00046E67">
        <w:t xml:space="preserve"> is defined in the </w:t>
      </w:r>
      <w:r>
        <w:t xml:space="preserve">Schedule 1 - </w:t>
      </w:r>
      <w:r w:rsidRPr="002717B2">
        <w:t>Dictionary</w:t>
      </w:r>
      <w:r w:rsidRPr="00046E67">
        <w:t>.</w:t>
      </w:r>
    </w:p>
    <w:p w:rsidR="00321DD0" w:rsidRPr="00323BE3" w:rsidRDefault="00321DD0" w:rsidP="00321DD0">
      <w:pPr>
        <w:pStyle w:val="LV2"/>
      </w:pPr>
      <w:r w:rsidRPr="00893451">
        <w:rPr>
          <w:lang w:val="en-US"/>
        </w:rPr>
        <w:t>increasing the frequency, duration or intensity of weight bearing</w:t>
      </w:r>
      <w:r>
        <w:rPr>
          <w:lang w:val="en-US"/>
        </w:rPr>
        <w:t xml:space="preserve"> </w:t>
      </w:r>
      <w:r w:rsidRPr="00893451">
        <w:rPr>
          <w:lang w:val="en-US"/>
        </w:rPr>
        <w:t xml:space="preserve">activity involving the </w:t>
      </w:r>
      <w:r>
        <w:t>ankle joint of the affected leg</w:t>
      </w:r>
      <w:r w:rsidRPr="00893451">
        <w:rPr>
          <w:lang w:val="en-US"/>
        </w:rPr>
        <w:t xml:space="preserve"> by at least 100 percent,</w:t>
      </w:r>
      <w:r>
        <w:rPr>
          <w:lang w:val="en-US"/>
        </w:rPr>
        <w:t xml:space="preserve"> </w:t>
      </w:r>
      <w:r w:rsidRPr="00893451">
        <w:rPr>
          <w:lang w:val="en-US"/>
        </w:rPr>
        <w:t>to a minimum intensity of five METs for at least two</w:t>
      </w:r>
      <w:r>
        <w:rPr>
          <w:lang w:val="en-US"/>
        </w:rPr>
        <w:t xml:space="preserve"> </w:t>
      </w:r>
      <w:r w:rsidRPr="00893451">
        <w:rPr>
          <w:lang w:val="en-US"/>
        </w:rPr>
        <w:t>hours per day,</w:t>
      </w:r>
      <w:r>
        <w:rPr>
          <w:lang w:val="en-US"/>
        </w:rPr>
        <w:t xml:space="preserve"> </w:t>
      </w:r>
      <w:r w:rsidRPr="00893451">
        <w:rPr>
          <w:lang w:val="en-US"/>
        </w:rPr>
        <w:t xml:space="preserve">within the seven days before the clinical </w:t>
      </w:r>
      <w:r>
        <w:rPr>
          <w:lang w:val="en-US"/>
        </w:rPr>
        <w:t>worsening</w:t>
      </w:r>
      <w:r w:rsidRPr="00893451">
        <w:rPr>
          <w:lang w:val="en-US"/>
        </w:rPr>
        <w:t xml:space="preserve"> of </w:t>
      </w:r>
      <w:r w:rsidR="00816F6C">
        <w:t>Achilles</w:t>
      </w:r>
      <w:r w:rsidRPr="004A3858">
        <w:t xml:space="preserve"> tendinopathy or bursitis</w:t>
      </w:r>
      <w:r w:rsidRPr="00893451">
        <w:rPr>
          <w:lang w:val="en-US"/>
        </w:rPr>
        <w:t>;</w:t>
      </w:r>
    </w:p>
    <w:p w:rsidR="00323BE3" w:rsidRPr="00DD0175" w:rsidRDefault="00323BE3" w:rsidP="00323BE3">
      <w:pPr>
        <w:pStyle w:val="NOTE"/>
      </w:pPr>
      <w:r>
        <w:t xml:space="preserve">Note: </w:t>
      </w:r>
      <w:r>
        <w:rPr>
          <w:b/>
          <w:i/>
        </w:rPr>
        <w:t>MET</w:t>
      </w:r>
      <w:r w:rsidRPr="00046E67">
        <w:t xml:space="preserve"> is defined in the </w:t>
      </w:r>
      <w:r>
        <w:t xml:space="preserve">Schedule 1 - </w:t>
      </w:r>
      <w:r w:rsidRPr="002717B2">
        <w:t>Dictionary</w:t>
      </w:r>
      <w:r w:rsidRPr="00046E67">
        <w:t>.</w:t>
      </w:r>
    </w:p>
    <w:p w:rsidR="00321DD0" w:rsidRPr="008D1B8B" w:rsidRDefault="00321DD0" w:rsidP="00321DD0">
      <w:pPr>
        <w:pStyle w:val="LV2"/>
      </w:pPr>
      <w:r w:rsidRPr="00FD7B26">
        <w:rPr>
          <w:lang w:val="en-US"/>
        </w:rPr>
        <w:lastRenderedPageBreak/>
        <w:t xml:space="preserve">having a </w:t>
      </w:r>
      <w:r>
        <w:rPr>
          <w:lang w:val="en-US"/>
        </w:rPr>
        <w:t xml:space="preserve">disease from the specified list of </w:t>
      </w:r>
      <w:r w:rsidRPr="00FD7B26">
        <w:rPr>
          <w:lang w:val="en-US"/>
        </w:rPr>
        <w:t>systemic arthritic disease</w:t>
      </w:r>
      <w:r>
        <w:rPr>
          <w:lang w:val="en-US"/>
        </w:rPr>
        <w:t>s</w:t>
      </w:r>
      <w:r w:rsidRPr="00FD7B26">
        <w:rPr>
          <w:lang w:val="en-US"/>
        </w:rPr>
        <w:t xml:space="preserve"> at the time of the clinical </w:t>
      </w:r>
      <w:r>
        <w:rPr>
          <w:lang w:val="en-US"/>
        </w:rPr>
        <w:t xml:space="preserve">worsening </w:t>
      </w:r>
      <w:r w:rsidRPr="00FD7B26">
        <w:rPr>
          <w:lang w:val="en-US"/>
        </w:rPr>
        <w:t xml:space="preserve">of </w:t>
      </w:r>
      <w:r w:rsidR="00816F6C">
        <w:rPr>
          <w:lang w:val="en-US"/>
        </w:rPr>
        <w:t>Achilles</w:t>
      </w:r>
      <w:r w:rsidRPr="00FD7B26">
        <w:rPr>
          <w:lang w:val="en-US"/>
        </w:rPr>
        <w:t xml:space="preserve"> tendinopathy or bursitis;</w:t>
      </w:r>
    </w:p>
    <w:p w:rsidR="00321DD0" w:rsidRPr="00046E67" w:rsidRDefault="00321DD0" w:rsidP="00321DD0">
      <w:pPr>
        <w:pStyle w:val="NOTE"/>
      </w:pPr>
      <w:r>
        <w:t xml:space="preserve">Note: </w:t>
      </w:r>
      <w:r w:rsidRPr="00DD0175">
        <w:rPr>
          <w:b/>
          <w:i/>
        </w:rPr>
        <w:t>specified list of systemic arthritic diseases</w:t>
      </w:r>
      <w:r w:rsidRPr="00046E67">
        <w:t xml:space="preserve"> is defined in the </w:t>
      </w:r>
      <w:r>
        <w:t xml:space="preserve">Schedule 1 - </w:t>
      </w:r>
      <w:r w:rsidRPr="002717B2">
        <w:t>Dictionary</w:t>
      </w:r>
      <w:r w:rsidRPr="00046E67">
        <w:t>.</w:t>
      </w:r>
    </w:p>
    <w:p w:rsidR="00321DD0" w:rsidRDefault="00321DD0" w:rsidP="00321DD0">
      <w:pPr>
        <w:pStyle w:val="LV2"/>
        <w:rPr>
          <w:lang w:val="en-US"/>
        </w:rPr>
      </w:pPr>
      <w:r w:rsidRPr="000523E4">
        <w:rPr>
          <w:lang w:val="en-US"/>
        </w:rPr>
        <w:t xml:space="preserve">having a significant biomechanical abnormality involving the affected foot or affected ankle at the time of the clinical worsening of </w:t>
      </w:r>
      <w:r w:rsidR="00816F6C">
        <w:rPr>
          <w:lang w:val="en-US"/>
        </w:rPr>
        <w:t>Achilles</w:t>
      </w:r>
      <w:r w:rsidRPr="000523E4">
        <w:rPr>
          <w:lang w:val="en-US"/>
        </w:rPr>
        <w:t xml:space="preserve"> tendinopathy or bursitis;</w:t>
      </w:r>
    </w:p>
    <w:p w:rsidR="00321DD0" w:rsidRPr="000523E4" w:rsidRDefault="00321DD0" w:rsidP="00321DD0">
      <w:pPr>
        <w:pStyle w:val="NOTE"/>
        <w:rPr>
          <w:lang w:val="en-US"/>
        </w:rPr>
      </w:pPr>
      <w:r>
        <w:t xml:space="preserve">Note: </w:t>
      </w:r>
      <w:r>
        <w:rPr>
          <w:b/>
          <w:i/>
        </w:rPr>
        <w:t>significant biomechanical abnormality</w:t>
      </w:r>
      <w:r w:rsidRPr="00046E67">
        <w:t xml:space="preserve"> is defined in the </w:t>
      </w:r>
      <w:r>
        <w:t xml:space="preserve">Schedule 1 – </w:t>
      </w:r>
      <w:r w:rsidRPr="002717B2">
        <w:t>Dictionary</w:t>
      </w:r>
      <w:r>
        <w:t>.</w:t>
      </w:r>
    </w:p>
    <w:p w:rsidR="00321DD0" w:rsidRDefault="00321DD0" w:rsidP="00321DD0">
      <w:pPr>
        <w:pStyle w:val="LV2"/>
      </w:pPr>
      <w:r>
        <w:t xml:space="preserve">undergoing a renal transplant within the ten years before the clinical </w:t>
      </w:r>
      <w:r w:rsidR="00547ADA">
        <w:t>worsening</w:t>
      </w:r>
      <w:r>
        <w:t xml:space="preserve"> of </w:t>
      </w:r>
      <w:r w:rsidR="00816F6C">
        <w:t>Achilles</w:t>
      </w:r>
      <w:r>
        <w:t xml:space="preserve"> tendinopathy or bursitis;</w:t>
      </w:r>
    </w:p>
    <w:p w:rsidR="00321DD0" w:rsidRDefault="00321DD0" w:rsidP="00321DD0">
      <w:pPr>
        <w:pStyle w:val="LV2"/>
      </w:pPr>
      <w:r>
        <w:t xml:space="preserve">for </w:t>
      </w:r>
      <w:r w:rsidR="00816F6C">
        <w:t>Achilles</w:t>
      </w:r>
      <w:r>
        <w:t xml:space="preserve"> tendinopathy only, undergoing treatment with fluoroquinolone antibiotics within the 14 days before the clinical </w:t>
      </w:r>
      <w:r w:rsidR="00547ADA">
        <w:t>worsening</w:t>
      </w:r>
      <w:r>
        <w:t xml:space="preserve"> of </w:t>
      </w:r>
      <w:r w:rsidR="00816F6C">
        <w:t>Achilles</w:t>
      </w:r>
      <w:r>
        <w:t xml:space="preserve"> tendinopathy;</w:t>
      </w:r>
    </w:p>
    <w:p w:rsidR="00321DD0" w:rsidRPr="00815C04" w:rsidRDefault="00321DD0" w:rsidP="00321DD0">
      <w:pPr>
        <w:pStyle w:val="LV2"/>
      </w:pPr>
      <w:r w:rsidRPr="00B34546">
        <w:t>being</w:t>
      </w:r>
      <w:r w:rsidRPr="00815C04">
        <w:rPr>
          <w:lang w:val="en-US"/>
        </w:rPr>
        <w:t xml:space="preserve"> treated with a glucocorticoid drug</w:t>
      </w:r>
      <w:r w:rsidR="00C21EE9">
        <w:rPr>
          <w:lang w:val="en-US"/>
        </w:rPr>
        <w:t xml:space="preserve"> as specified</w:t>
      </w:r>
      <w:r w:rsidRPr="00815C04">
        <w:rPr>
          <w:lang w:val="en-US"/>
        </w:rPr>
        <w:t xml:space="preserve"> before the clinical </w:t>
      </w:r>
      <w:r w:rsidR="00547ADA">
        <w:rPr>
          <w:lang w:val="en-US"/>
        </w:rPr>
        <w:t>worsening</w:t>
      </w:r>
      <w:r w:rsidRPr="00815C04">
        <w:rPr>
          <w:lang w:val="en-US"/>
        </w:rPr>
        <w:t xml:space="preserve"> of </w:t>
      </w:r>
      <w:r w:rsidR="00816F6C">
        <w:t>Achilles</w:t>
      </w:r>
      <w:r>
        <w:t xml:space="preserve"> tendinopathy or bursitis;</w:t>
      </w:r>
    </w:p>
    <w:p w:rsidR="00321DD0" w:rsidRDefault="00C21EE9" w:rsidP="00321DD0">
      <w:pPr>
        <w:pStyle w:val="NOTE"/>
      </w:pPr>
      <w:r w:rsidRPr="00815C04">
        <w:t xml:space="preserve">Note: </w:t>
      </w:r>
      <w:r>
        <w:rPr>
          <w:b/>
          <w:i/>
          <w:szCs w:val="24"/>
          <w:lang w:val="en-US"/>
        </w:rPr>
        <w:t>glucocorticoid drug as specified</w:t>
      </w:r>
      <w:r w:rsidRPr="00815C04">
        <w:t xml:space="preserve"> is defined in the Schedule 1 - Dictionary.</w:t>
      </w:r>
    </w:p>
    <w:p w:rsidR="00321DD0" w:rsidRPr="00B34546" w:rsidRDefault="00321DD0" w:rsidP="00321DD0">
      <w:pPr>
        <w:pStyle w:val="LV2"/>
        <w:rPr>
          <w:lang w:val="en-US"/>
        </w:rPr>
      </w:pPr>
      <w:r w:rsidRPr="00B34546">
        <w:rPr>
          <w:lang w:val="en-US"/>
        </w:rPr>
        <w:t xml:space="preserve">having a glucocorticoid injection into the </w:t>
      </w:r>
      <w:r w:rsidR="00816F6C">
        <w:rPr>
          <w:lang w:val="en-US"/>
        </w:rPr>
        <w:t>Achilles</w:t>
      </w:r>
      <w:r w:rsidRPr="00B34546">
        <w:rPr>
          <w:lang w:val="en-US"/>
        </w:rPr>
        <w:t xml:space="preserve"> tendon or in the region of the </w:t>
      </w:r>
      <w:r w:rsidR="00816F6C">
        <w:rPr>
          <w:lang w:val="en-US"/>
        </w:rPr>
        <w:t>Achilles</w:t>
      </w:r>
      <w:r w:rsidRPr="00B34546">
        <w:rPr>
          <w:lang w:val="en-US"/>
        </w:rPr>
        <w:t xml:space="preserve"> tendon, before the clinical worsening of </w:t>
      </w:r>
      <w:r w:rsidR="00816F6C">
        <w:rPr>
          <w:lang w:val="en-US"/>
        </w:rPr>
        <w:t>Achilles</w:t>
      </w:r>
      <w:r w:rsidRPr="00B34546">
        <w:rPr>
          <w:lang w:val="en-US"/>
        </w:rPr>
        <w:t xml:space="preserve"> tendinopathy or bursitis;</w:t>
      </w:r>
    </w:p>
    <w:p w:rsidR="00321DD0" w:rsidRPr="00B34546" w:rsidRDefault="00321DD0" w:rsidP="00321DD0">
      <w:pPr>
        <w:pStyle w:val="LV2"/>
      </w:pPr>
      <w:r w:rsidRPr="009F52BE">
        <w:rPr>
          <w:lang w:val="en-US"/>
        </w:rPr>
        <w:t>being obese at the time of</w:t>
      </w:r>
      <w:r>
        <w:rPr>
          <w:lang w:val="en-US"/>
        </w:rPr>
        <w:t xml:space="preserve"> the clinical worsening of </w:t>
      </w:r>
      <w:r w:rsidR="00816F6C">
        <w:rPr>
          <w:lang w:val="en-US"/>
        </w:rPr>
        <w:t>Achilles</w:t>
      </w:r>
      <w:r>
        <w:rPr>
          <w:lang w:val="en-US"/>
        </w:rPr>
        <w:t xml:space="preserve"> tendinopathy or bursitis;</w:t>
      </w:r>
    </w:p>
    <w:p w:rsidR="00321DD0" w:rsidRDefault="00321DD0" w:rsidP="00321DD0">
      <w:pPr>
        <w:pStyle w:val="NOTE"/>
      </w:pPr>
      <w:r w:rsidRPr="00815C04">
        <w:t xml:space="preserve">Note: </w:t>
      </w:r>
      <w:r>
        <w:rPr>
          <w:b/>
          <w:i/>
          <w:szCs w:val="24"/>
          <w:lang w:val="en-US"/>
        </w:rPr>
        <w:t>being obese</w:t>
      </w:r>
      <w:r w:rsidRPr="00815C04">
        <w:t xml:space="preserve"> is defined in the Schedule 1 - Dictionary.</w:t>
      </w:r>
    </w:p>
    <w:p w:rsidR="00321DD0" w:rsidRDefault="00321DD0" w:rsidP="00321DD0">
      <w:pPr>
        <w:pStyle w:val="LV2"/>
      </w:pPr>
      <w:r w:rsidRPr="00B77160">
        <w:rPr>
          <w:lang w:val="en-US"/>
        </w:rPr>
        <w:t>having diabetes mellitus</w:t>
      </w:r>
      <w:r w:rsidRPr="00B77160">
        <w:rPr>
          <w:b/>
          <w:lang w:val="en-US"/>
        </w:rPr>
        <w:t xml:space="preserve"> </w:t>
      </w:r>
      <w:r w:rsidRPr="00142E9F">
        <w:rPr>
          <w:lang w:val="en-US"/>
        </w:rPr>
        <w:t>at the time of</w:t>
      </w:r>
      <w:r>
        <w:rPr>
          <w:b/>
          <w:lang w:val="en-US"/>
        </w:rPr>
        <w:t xml:space="preserve"> </w:t>
      </w:r>
      <w:r w:rsidRPr="00B77160">
        <w:rPr>
          <w:lang w:val="en-US"/>
        </w:rPr>
        <w:t xml:space="preserve">the clinical </w:t>
      </w:r>
      <w:r>
        <w:rPr>
          <w:lang w:val="en-US"/>
        </w:rPr>
        <w:t>worsening</w:t>
      </w:r>
      <w:r w:rsidRPr="00B77160">
        <w:rPr>
          <w:lang w:val="en-US"/>
        </w:rPr>
        <w:t xml:space="preserve"> of </w:t>
      </w:r>
      <w:r w:rsidR="00816F6C">
        <w:rPr>
          <w:lang w:val="en-US"/>
        </w:rPr>
        <w:t>Achilles</w:t>
      </w:r>
      <w:r>
        <w:rPr>
          <w:lang w:val="en-US"/>
        </w:rPr>
        <w:t xml:space="preserve"> tendinopathy or bursitis</w:t>
      </w:r>
      <w:r w:rsidRPr="00B77160">
        <w:t>;</w:t>
      </w:r>
    </w:p>
    <w:p w:rsidR="00321DD0" w:rsidRDefault="00321DD0" w:rsidP="00321DD0">
      <w:pPr>
        <w:pStyle w:val="LV2"/>
      </w:pPr>
      <w:r>
        <w:t xml:space="preserve">being treated for at least four weeks with </w:t>
      </w:r>
      <w:r w:rsidRPr="005F6FDB">
        <w:t>an aromatase inhibitor within</w:t>
      </w:r>
      <w:r>
        <w:t xml:space="preserve"> the </w:t>
      </w:r>
      <w:r w:rsidR="00DA7817">
        <w:t>one year</w:t>
      </w:r>
      <w:r>
        <w:t xml:space="preserve"> before the clinical worsening of </w:t>
      </w:r>
      <w:r w:rsidR="00816F6C">
        <w:t>Achilles</w:t>
      </w:r>
      <w:r>
        <w:t xml:space="preserve"> tendinopathy or bursitis;</w:t>
      </w:r>
    </w:p>
    <w:p w:rsidR="007C7DEE" w:rsidRPr="008D1B8B" w:rsidRDefault="007C7DEE" w:rsidP="003802D6">
      <w:pPr>
        <w:pStyle w:val="LV2"/>
      </w:pPr>
      <w:r w:rsidRPr="008D1B8B">
        <w:t>inability to obtain appropriate clinical management for</w:t>
      </w:r>
      <w:bookmarkEnd w:id="36"/>
      <w:r w:rsidR="008E4A16">
        <w:t xml:space="preserve"> </w:t>
      </w:r>
      <w:r w:rsidR="00816F6C">
        <w:t>Achilles</w:t>
      </w:r>
      <w:r w:rsidR="004C0C17" w:rsidRPr="004C0C17">
        <w:t xml:space="preserve"> tendinopathy </w:t>
      </w:r>
      <w:r w:rsidR="00323BE3">
        <w:t>or</w:t>
      </w:r>
      <w:r w:rsidR="004C0C17" w:rsidRPr="004C0C17">
        <w:t xml:space="preserve"> bursitis</w:t>
      </w:r>
      <w:r w:rsidR="00D5620B" w:rsidRPr="008D1B8B">
        <w:t>.</w:t>
      </w:r>
      <w:bookmarkEnd w:id="37"/>
    </w:p>
    <w:p w:rsidR="000C21A3" w:rsidRPr="00684C0E" w:rsidRDefault="00D32F71" w:rsidP="00C96667">
      <w:pPr>
        <w:pStyle w:val="LV1"/>
      </w:pPr>
      <w:bookmarkStart w:id="38" w:name="_Toc418945128"/>
      <w:bookmarkStart w:id="39" w:name="_Toc426030094"/>
      <w:bookmarkStart w:id="40" w:name="_Ref402530057"/>
      <w:r>
        <w:t>Relationship to s</w:t>
      </w:r>
      <w:r w:rsidR="000C21A3" w:rsidRPr="00684C0E">
        <w:t>ervice</w:t>
      </w:r>
      <w:bookmarkEnd w:id="38"/>
      <w:bookmarkEnd w:id="39"/>
    </w:p>
    <w:p w:rsidR="00F03C06" w:rsidRPr="00187DE1" w:rsidRDefault="00F03C06" w:rsidP="00F97A62">
      <w:pPr>
        <w:pStyle w:val="LV2"/>
      </w:pPr>
      <w:r w:rsidRPr="00187DE1">
        <w:t xml:space="preserve">The existence </w:t>
      </w:r>
      <w:r w:rsidR="00D32F71">
        <w:t xml:space="preserve">in a person </w:t>
      </w:r>
      <w:r w:rsidRPr="00187DE1">
        <w:t xml:space="preserve">of any factor referred to in </w:t>
      </w:r>
      <w:r w:rsidR="00CC0B12">
        <w:t>section</w:t>
      </w:r>
      <w:r w:rsidR="00D33542">
        <w:t xml:space="preserve"> 9</w:t>
      </w:r>
      <w:r w:rsidRPr="00187DE1">
        <w:t xml:space="preserve"> </w:t>
      </w:r>
      <w:r w:rsidR="00F977B4">
        <w:t>must be related to the relevant service rendered by the person.</w:t>
      </w:r>
    </w:p>
    <w:bookmarkEnd w:id="40"/>
    <w:p w:rsidR="00CF2367" w:rsidRPr="00187DE1" w:rsidRDefault="00F03C06" w:rsidP="003802D6">
      <w:pPr>
        <w:pStyle w:val="LV2"/>
      </w:pPr>
      <w:r w:rsidRPr="00187DE1">
        <w:t>The factor</w:t>
      </w:r>
      <w:r w:rsidR="00D33542">
        <w:t>s</w:t>
      </w:r>
      <w:r w:rsidRPr="00187DE1">
        <w:t xml:space="preserve"> set out in </w:t>
      </w:r>
      <w:r w:rsidR="002077D6">
        <w:t>subsection</w:t>
      </w:r>
      <w:r w:rsidR="00D33542">
        <w:t>s 9(</w:t>
      </w:r>
      <w:r w:rsidR="00547ADA">
        <w:t>12</w:t>
      </w:r>
      <w:r w:rsidR="00D33542">
        <w:t>)</w:t>
      </w:r>
      <w:r w:rsidR="00547ADA">
        <w:t xml:space="preserve"> to 9(24)</w:t>
      </w:r>
      <w:r w:rsidR="00D33542">
        <w:t xml:space="preserve"> </w:t>
      </w:r>
      <w:r w:rsidRPr="00187DE1">
        <w:t>appl</w:t>
      </w:r>
      <w:r w:rsidR="00D33542">
        <w:t>y</w:t>
      </w:r>
      <w:r w:rsidRPr="00187DE1">
        <w:t xml:space="preserve"> only to material contribution to, or aggravation of, </w:t>
      </w:r>
      <w:r w:rsidR="00816F6C">
        <w:t>Achilles</w:t>
      </w:r>
      <w:r w:rsidR="004C0C17" w:rsidRPr="004C0C17">
        <w:t xml:space="preserve"> tendinopathy </w:t>
      </w:r>
      <w:r w:rsidR="003166F5">
        <w:t>or</w:t>
      </w:r>
      <w:r w:rsidR="004C0C17" w:rsidRPr="004C0C17">
        <w:t xml:space="preserve"> bursitis</w:t>
      </w:r>
      <w:r w:rsidR="008E4A16">
        <w:t xml:space="preserve"> </w:t>
      </w:r>
      <w:r w:rsidRPr="00187DE1">
        <w:t xml:space="preserve">where the person’s </w:t>
      </w:r>
      <w:r w:rsidR="00816F6C">
        <w:t>Achilles</w:t>
      </w:r>
      <w:r w:rsidR="004C0C17" w:rsidRPr="004C0C17">
        <w:t xml:space="preserve"> tendinopathy </w:t>
      </w:r>
      <w:r w:rsidR="003166F5">
        <w:t>or</w:t>
      </w:r>
      <w:r w:rsidR="004C0C17" w:rsidRPr="004C0C17">
        <w:t xml:space="preserve"> bursitis</w:t>
      </w:r>
      <w:r w:rsidR="008E4A16">
        <w:t xml:space="preserve"> </w:t>
      </w:r>
      <w:r w:rsidRPr="00187DE1">
        <w:t xml:space="preserve">was suffered or contracted before or during (but did not arise out of) the person’s relevant service. </w:t>
      </w:r>
    </w:p>
    <w:p w:rsidR="00774897" w:rsidRPr="00301C54" w:rsidRDefault="00774897" w:rsidP="00C96667">
      <w:pPr>
        <w:pStyle w:val="LV1"/>
      </w:pPr>
      <w:bookmarkStart w:id="41" w:name="_Toc418945129"/>
      <w:bookmarkStart w:id="42" w:name="_Toc426030095"/>
      <w:r w:rsidRPr="00301C54">
        <w:lastRenderedPageBreak/>
        <w:t>Factors referring to an injury or disea</w:t>
      </w:r>
      <w:r w:rsidR="008B2204">
        <w:t>se covered by another Statement</w:t>
      </w:r>
      <w:r w:rsidRPr="00301C54">
        <w:t xml:space="preserve"> of Principles</w:t>
      </w:r>
      <w:bookmarkEnd w:id="41"/>
      <w:bookmarkEnd w:id="42"/>
    </w:p>
    <w:p w:rsidR="00F03C06" w:rsidRPr="00E64EE4" w:rsidRDefault="00F03C06" w:rsidP="00F97A62">
      <w:pPr>
        <w:pStyle w:val="PlainIndent"/>
      </w:pPr>
      <w:r w:rsidRPr="00E64EE4">
        <w:t>In this Statement of Principles:</w:t>
      </w:r>
    </w:p>
    <w:p w:rsidR="00F03C06" w:rsidRPr="00E64EE4" w:rsidRDefault="00F03C06" w:rsidP="00F97A62">
      <w:pPr>
        <w:pStyle w:val="LV2"/>
      </w:pPr>
      <w:r w:rsidRPr="00E64EE4">
        <w:t>if a f</w:t>
      </w:r>
      <w:r w:rsidR="00CC0B12">
        <w:t>actor referred to in section</w:t>
      </w:r>
      <w:r w:rsidR="00D33542">
        <w:t xml:space="preserve"> 9</w:t>
      </w:r>
      <w:r w:rsidRPr="00E64EE4">
        <w:t xml:space="preserve"> applies in relation to a person; and </w:t>
      </w:r>
    </w:p>
    <w:p w:rsidR="00733269" w:rsidRPr="00E64EE4" w:rsidRDefault="00F03C06" w:rsidP="00F97A62">
      <w:pPr>
        <w:pStyle w:val="LV2"/>
      </w:pPr>
      <w:r w:rsidRPr="00E64EE4">
        <w:t xml:space="preserve">that factor </w:t>
      </w:r>
      <w:r w:rsidR="001648F7">
        <w:t xml:space="preserve">refers to an injury or disease </w:t>
      </w:r>
      <w:r w:rsidRPr="00E64EE4">
        <w:t>in respect of which a Statement of Principles has been de</w:t>
      </w:r>
      <w:r w:rsidR="00D33883">
        <w:t>termined under subsection 196B(2</w:t>
      </w:r>
      <w:r w:rsidRPr="00E64EE4">
        <w:t>) of the VEA</w:t>
      </w:r>
      <w:r w:rsidR="00B24368" w:rsidRPr="00E64EE4">
        <w:t>;</w:t>
      </w:r>
    </w:p>
    <w:p w:rsidR="00782F4E" w:rsidRPr="00E64EE4" w:rsidRDefault="00733269" w:rsidP="00D33883">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081B7C" w:rsidRPr="00FA33FB" w:rsidRDefault="00081B7C" w:rsidP="00F97A62">
      <w:pPr>
        <w:pStyle w:val="PlainIndent"/>
        <w:sectPr w:rsidR="00081B7C" w:rsidRPr="00FA33FB" w:rsidSect="007F2378">
          <w:footerReference w:type="even" r:id="rId9"/>
          <w:footerReference w:type="defaul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53697E">
      <w:pPr>
        <w:pStyle w:val="PlainIndent"/>
        <w:jc w:val="both"/>
      </w:pPr>
    </w:p>
    <w:p w:rsidR="00CF2367" w:rsidRPr="00FA33FB" w:rsidRDefault="00CF2367" w:rsidP="002A3436">
      <w:pPr>
        <w:pStyle w:val="SHHeader"/>
      </w:pPr>
      <w:bookmarkStart w:id="43" w:name="opcAmSched"/>
      <w:bookmarkStart w:id="44" w:name="opcCurrentFind"/>
      <w:bookmarkStart w:id="45" w:name="_Toc418945130"/>
      <w:bookmarkStart w:id="46" w:name="_Toc426030096"/>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43"/>
      <w:bookmarkEnd w:id="44"/>
      <w:bookmarkEnd w:id="45"/>
      <w:bookmarkEnd w:id="46"/>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00CC0B12">
        <w:t xml:space="preserve"> </w:t>
      </w:r>
      <w:r w:rsidRPr="003F39C0">
        <w:tab/>
        <w:t>See</w:t>
      </w:r>
      <w:r w:rsidR="00101F89" w:rsidRPr="003F39C0">
        <w:t xml:space="preserve"> Section</w:t>
      </w:r>
      <w:r w:rsidRPr="003F39C0">
        <w:t xml:space="preserve"> </w:t>
      </w:r>
      <w:r w:rsidR="00CE6BD3">
        <w:t>6</w:t>
      </w:r>
    </w:p>
    <w:p w:rsidR="00BD3334" w:rsidRDefault="00702C42" w:rsidP="00516768">
      <w:pPr>
        <w:pStyle w:val="SH1"/>
      </w:pPr>
      <w:bookmarkStart w:id="47" w:name="_Toc405472918"/>
      <w:bookmarkStart w:id="48" w:name="_Toc418945131"/>
      <w:bookmarkStart w:id="49" w:name="_Toc426030097"/>
      <w:r w:rsidRPr="00D97BB3">
        <w:t>Definitions</w:t>
      </w:r>
      <w:bookmarkEnd w:id="47"/>
      <w:bookmarkEnd w:id="48"/>
      <w:bookmarkEnd w:id="49"/>
    </w:p>
    <w:p w:rsidR="00AB7D8E" w:rsidRPr="00516768" w:rsidRDefault="00AB7D8E" w:rsidP="00AB7D8E">
      <w:pPr>
        <w:pStyle w:val="SH2"/>
      </w:pPr>
      <w:r w:rsidRPr="00516768">
        <w:t>In this instrument:</w:t>
      </w:r>
    </w:p>
    <w:p w:rsidR="00DD0175" w:rsidRPr="00513D05" w:rsidRDefault="00816F6C" w:rsidP="00DA0AD3">
      <w:pPr>
        <w:pStyle w:val="SH3"/>
      </w:pPr>
      <w:bookmarkStart w:id="50" w:name="_Ref402530810"/>
      <w:r w:rsidRPr="00DA0AD3">
        <w:rPr>
          <w:b/>
          <w:i/>
        </w:rPr>
        <w:t>Achilles</w:t>
      </w:r>
      <w:r w:rsidR="004C0C17" w:rsidRPr="00DA0AD3">
        <w:rPr>
          <w:b/>
          <w:i/>
        </w:rPr>
        <w:t xml:space="preserve"> tendinopathy and bursitis</w:t>
      </w:r>
      <w:r w:rsidR="00DD0175" w:rsidRPr="00513D05">
        <w:t>—see subsection</w:t>
      </w:r>
      <w:r w:rsidR="00DD0175">
        <w:t xml:space="preserve"> 7(2).</w:t>
      </w:r>
    </w:p>
    <w:p w:rsidR="00B60706" w:rsidRDefault="00B60706" w:rsidP="00DA0AD3">
      <w:pPr>
        <w:pStyle w:val="SH3"/>
      </w:pPr>
      <w:r w:rsidRPr="00A212F8">
        <w:rPr>
          <w:b/>
          <w:i/>
        </w:rPr>
        <w:t>being obese</w:t>
      </w:r>
      <w:r>
        <w:t xml:space="preserve"> means having a Body Mass Index (BMI) of 30 or greater.</w:t>
      </w:r>
    </w:p>
    <w:p w:rsidR="00B60706" w:rsidRDefault="00B60706" w:rsidP="00DA0AD3">
      <w:pPr>
        <w:pStyle w:val="SH3nospace"/>
      </w:pPr>
      <w:r>
        <w:t>BMI = W/H</w:t>
      </w:r>
      <w:r w:rsidRPr="00F65C69">
        <w:rPr>
          <w:vertAlign w:val="superscript"/>
        </w:rPr>
        <w:t>2</w:t>
      </w:r>
      <w:r>
        <w:t xml:space="preserve"> and where:</w:t>
      </w:r>
    </w:p>
    <w:p w:rsidR="00B60706" w:rsidRDefault="00B60706" w:rsidP="00DA0AD3">
      <w:pPr>
        <w:pStyle w:val="SH3nospace"/>
      </w:pPr>
      <w:r>
        <w:t xml:space="preserve">W is the person's weight in kilograms; and </w:t>
      </w:r>
    </w:p>
    <w:p w:rsidR="00B60706" w:rsidRPr="00A212F8" w:rsidRDefault="00B60706" w:rsidP="00DA0AD3">
      <w:pPr>
        <w:pStyle w:val="SH3nospace"/>
      </w:pPr>
      <w:r>
        <w:t>H is the person's height in metres.</w:t>
      </w:r>
    </w:p>
    <w:p w:rsidR="00832DFF" w:rsidRPr="003166F5" w:rsidRDefault="00FC624D" w:rsidP="00832DFF">
      <w:pPr>
        <w:pStyle w:val="SH3"/>
      </w:pPr>
      <w:r w:rsidRPr="002C2A28">
        <w:rPr>
          <w:b/>
          <w:i/>
        </w:rPr>
        <w:tab/>
      </w:r>
      <w:r w:rsidR="00832DFF" w:rsidRPr="00FC624D">
        <w:rPr>
          <w:b/>
          <w:i/>
        </w:rPr>
        <w:t>crystal-induced arthropathy</w:t>
      </w:r>
      <w:r w:rsidR="00832DFF">
        <w:t xml:space="preserve"> </w:t>
      </w:r>
      <w:r w:rsidR="00832DFF" w:rsidRPr="004F41C5">
        <w:t xml:space="preserve">means </w:t>
      </w:r>
      <w:r w:rsidR="00832DFF" w:rsidRPr="003166F5">
        <w:t>arthropathy resulting from the deposition of monosodium urate, calcium pyrophosphate dihydrate, calcium hydroxyapatite or calcium oxalate.</w:t>
      </w:r>
    </w:p>
    <w:p w:rsidR="00C21EE9" w:rsidRPr="00C90130" w:rsidRDefault="00C21EE9" w:rsidP="00C21EE9">
      <w:pPr>
        <w:pStyle w:val="SH3"/>
      </w:pPr>
      <w:r w:rsidRPr="002C2A28">
        <w:rPr>
          <w:b/>
          <w:i/>
        </w:rPr>
        <w:t>glucocorticoid drug</w:t>
      </w:r>
      <w:r>
        <w:rPr>
          <w:b/>
          <w:i/>
        </w:rPr>
        <w:t xml:space="preserve"> as specified</w:t>
      </w:r>
      <w:r w:rsidRPr="00C90130">
        <w:t xml:space="preserve"> means any of the corticosteroid drugs listed in the following table, in the specified combinations of administration, dose </w:t>
      </w:r>
      <w:r>
        <w:t>level and duration of treatment:</w:t>
      </w:r>
    </w:p>
    <w:tbl>
      <w:tblPr>
        <w:tblW w:w="60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68"/>
        <w:gridCol w:w="851"/>
        <w:gridCol w:w="992"/>
        <w:gridCol w:w="1276"/>
        <w:gridCol w:w="1108"/>
      </w:tblGrid>
      <w:tr w:rsidR="00C21EE9" w:rsidTr="009C39D4">
        <w:trPr>
          <w:cantSplit/>
          <w:tblHeader/>
          <w:jc w:val="center"/>
        </w:trPr>
        <w:tc>
          <w:tcPr>
            <w:tcW w:w="1868" w:type="dxa"/>
            <w:shd w:val="pct5" w:color="auto" w:fill="auto"/>
          </w:tcPr>
          <w:p w:rsidR="00C21EE9" w:rsidRDefault="00C21EE9" w:rsidP="009C39D4">
            <w:pPr>
              <w:ind w:left="34" w:firstLine="11"/>
              <w:jc w:val="center"/>
              <w:rPr>
                <w:b/>
                <w:color w:val="000000"/>
                <w:sz w:val="20"/>
              </w:rPr>
            </w:pPr>
            <w:r>
              <w:rPr>
                <w:b/>
                <w:color w:val="000000"/>
                <w:sz w:val="20"/>
              </w:rPr>
              <w:t>Drug or Class of Drugs</w:t>
            </w:r>
          </w:p>
        </w:tc>
        <w:tc>
          <w:tcPr>
            <w:tcW w:w="851" w:type="dxa"/>
            <w:shd w:val="pct5" w:color="auto" w:fill="auto"/>
          </w:tcPr>
          <w:p w:rsidR="00C21EE9" w:rsidRDefault="00C21EE9" w:rsidP="009C39D4">
            <w:pPr>
              <w:ind w:left="34"/>
              <w:jc w:val="center"/>
              <w:rPr>
                <w:b/>
                <w:color w:val="000000"/>
                <w:sz w:val="20"/>
              </w:rPr>
            </w:pPr>
            <w:r>
              <w:rPr>
                <w:b/>
                <w:color w:val="000000"/>
                <w:sz w:val="20"/>
              </w:rPr>
              <w:t>Mode*</w:t>
            </w:r>
          </w:p>
        </w:tc>
        <w:tc>
          <w:tcPr>
            <w:tcW w:w="992" w:type="dxa"/>
            <w:shd w:val="pct5" w:color="auto" w:fill="auto"/>
          </w:tcPr>
          <w:p w:rsidR="00C21EE9" w:rsidRDefault="00C21EE9" w:rsidP="009C39D4">
            <w:pPr>
              <w:ind w:left="34"/>
              <w:jc w:val="center"/>
              <w:rPr>
                <w:b/>
                <w:color w:val="000000"/>
                <w:sz w:val="20"/>
              </w:rPr>
            </w:pPr>
            <w:r>
              <w:rPr>
                <w:b/>
                <w:color w:val="000000"/>
                <w:sz w:val="20"/>
              </w:rPr>
              <w:t>Dose</w:t>
            </w:r>
          </w:p>
        </w:tc>
        <w:tc>
          <w:tcPr>
            <w:tcW w:w="1276" w:type="dxa"/>
            <w:shd w:val="clear" w:color="auto" w:fill="F2F2F2"/>
          </w:tcPr>
          <w:p w:rsidR="00C21EE9" w:rsidRDefault="00C21EE9" w:rsidP="009C39D4">
            <w:pPr>
              <w:ind w:left="34"/>
              <w:jc w:val="center"/>
              <w:rPr>
                <w:b/>
                <w:color w:val="000000"/>
                <w:sz w:val="20"/>
              </w:rPr>
            </w:pPr>
            <w:r>
              <w:rPr>
                <w:b/>
                <w:color w:val="000000"/>
                <w:sz w:val="20"/>
              </w:rPr>
              <w:t>Minimum Duration of Treatment</w:t>
            </w:r>
          </w:p>
        </w:tc>
        <w:tc>
          <w:tcPr>
            <w:tcW w:w="1108" w:type="dxa"/>
            <w:shd w:val="clear" w:color="auto" w:fill="F2F2F2"/>
          </w:tcPr>
          <w:p w:rsidR="00C21EE9" w:rsidRPr="002755C5" w:rsidRDefault="00C21EE9" w:rsidP="009C39D4">
            <w:pPr>
              <w:ind w:left="34"/>
              <w:rPr>
                <w:b/>
                <w:color w:val="000000"/>
                <w:sz w:val="20"/>
              </w:rPr>
            </w:pPr>
            <w:r w:rsidRPr="002755C5">
              <w:rPr>
                <w:b/>
                <w:color w:val="000000"/>
                <w:sz w:val="20"/>
              </w:rPr>
              <w:t>Duration</w:t>
            </w:r>
          </w:p>
        </w:tc>
      </w:tr>
      <w:tr w:rsidR="00C21EE9" w:rsidTr="009C39D4">
        <w:trPr>
          <w:cantSplit/>
          <w:jc w:val="center"/>
        </w:trPr>
        <w:tc>
          <w:tcPr>
            <w:tcW w:w="1868" w:type="dxa"/>
            <w:vMerge w:val="restart"/>
          </w:tcPr>
          <w:p w:rsidR="00C21EE9" w:rsidRDefault="00C21EE9" w:rsidP="009C39D4">
            <w:pPr>
              <w:ind w:left="11" w:hanging="11"/>
              <w:rPr>
                <w:szCs w:val="22"/>
              </w:rPr>
            </w:pPr>
            <w:r>
              <w:rPr>
                <w:szCs w:val="22"/>
              </w:rPr>
              <w:t>prednisolone or</w:t>
            </w:r>
          </w:p>
          <w:p w:rsidR="00C21EE9" w:rsidRDefault="00C21EE9" w:rsidP="009C39D4">
            <w:pPr>
              <w:ind w:left="11" w:hanging="11"/>
              <w:rPr>
                <w:szCs w:val="22"/>
              </w:rPr>
            </w:pPr>
            <w:r>
              <w:rPr>
                <w:szCs w:val="22"/>
              </w:rPr>
              <w:t>pharmacologically equivalent glucocorticoid</w:t>
            </w:r>
          </w:p>
        </w:tc>
        <w:tc>
          <w:tcPr>
            <w:tcW w:w="851" w:type="dxa"/>
            <w:vMerge w:val="restart"/>
            <w:vAlign w:val="center"/>
          </w:tcPr>
          <w:p w:rsidR="00C21EE9" w:rsidRDefault="00C21EE9" w:rsidP="009C39D4">
            <w:pPr>
              <w:pStyle w:val="FootnoteText"/>
              <w:ind w:left="66" w:hanging="141"/>
              <w:jc w:val="center"/>
              <w:rPr>
                <w:sz w:val="22"/>
                <w:szCs w:val="22"/>
              </w:rPr>
            </w:pPr>
            <w:r>
              <w:rPr>
                <w:sz w:val="22"/>
                <w:szCs w:val="22"/>
              </w:rPr>
              <w:t>IV, IM, O</w:t>
            </w:r>
          </w:p>
          <w:p w:rsidR="00C21EE9" w:rsidRDefault="00C21EE9" w:rsidP="009C39D4">
            <w:pPr>
              <w:pStyle w:val="FootnoteText"/>
              <w:ind w:left="66" w:hanging="141"/>
              <w:jc w:val="center"/>
              <w:rPr>
                <w:sz w:val="22"/>
                <w:szCs w:val="22"/>
              </w:rPr>
            </w:pPr>
          </w:p>
          <w:p w:rsidR="00C21EE9" w:rsidRDefault="00C21EE9" w:rsidP="009C39D4">
            <w:pPr>
              <w:pStyle w:val="FootnoteText"/>
              <w:ind w:left="66" w:hanging="141"/>
              <w:jc w:val="center"/>
              <w:rPr>
                <w:sz w:val="22"/>
                <w:szCs w:val="22"/>
              </w:rPr>
            </w:pPr>
          </w:p>
        </w:tc>
        <w:tc>
          <w:tcPr>
            <w:tcW w:w="992" w:type="dxa"/>
          </w:tcPr>
          <w:p w:rsidR="00C21EE9" w:rsidRDefault="00C21EE9" w:rsidP="009C39D4">
            <w:pPr>
              <w:pStyle w:val="FootnoteText"/>
              <w:ind w:left="34"/>
              <w:jc w:val="center"/>
              <w:rPr>
                <w:sz w:val="22"/>
                <w:szCs w:val="22"/>
              </w:rPr>
            </w:pPr>
            <w:r>
              <w:rPr>
                <w:sz w:val="22"/>
                <w:szCs w:val="22"/>
              </w:rPr>
              <w:sym w:font="Symbol" w:char="F0B3"/>
            </w:r>
            <w:r>
              <w:rPr>
                <w:sz w:val="22"/>
                <w:szCs w:val="22"/>
              </w:rPr>
              <w:t xml:space="preserve"> 0.5 grams over 6 months</w:t>
            </w:r>
          </w:p>
        </w:tc>
        <w:tc>
          <w:tcPr>
            <w:tcW w:w="1276" w:type="dxa"/>
            <w:vAlign w:val="center"/>
          </w:tcPr>
          <w:p w:rsidR="00C21EE9" w:rsidRDefault="00C21EE9" w:rsidP="009C39D4">
            <w:pPr>
              <w:ind w:left="34"/>
              <w:jc w:val="center"/>
              <w:rPr>
                <w:szCs w:val="22"/>
              </w:rPr>
            </w:pPr>
            <w:r>
              <w:rPr>
                <w:szCs w:val="22"/>
              </w:rPr>
              <w:t>6 months</w:t>
            </w:r>
          </w:p>
          <w:p w:rsidR="00C21EE9" w:rsidRDefault="00C21EE9" w:rsidP="009C39D4">
            <w:pPr>
              <w:ind w:left="34"/>
              <w:jc w:val="center"/>
              <w:rPr>
                <w:szCs w:val="22"/>
              </w:rPr>
            </w:pPr>
          </w:p>
        </w:tc>
        <w:tc>
          <w:tcPr>
            <w:tcW w:w="1108" w:type="dxa"/>
          </w:tcPr>
          <w:p w:rsidR="00C21EE9" w:rsidRDefault="00C21EE9" w:rsidP="009C39D4">
            <w:pPr>
              <w:ind w:left="34"/>
              <w:jc w:val="center"/>
              <w:rPr>
                <w:color w:val="000000"/>
                <w:sz w:val="20"/>
              </w:rPr>
            </w:pPr>
            <w:r>
              <w:rPr>
                <w:color w:val="000000"/>
                <w:sz w:val="20"/>
              </w:rPr>
              <w:t>within the 3 years</w:t>
            </w:r>
          </w:p>
        </w:tc>
      </w:tr>
      <w:tr w:rsidR="00C21EE9" w:rsidTr="009C39D4">
        <w:trPr>
          <w:cantSplit/>
          <w:trHeight w:val="735"/>
          <w:jc w:val="center"/>
        </w:trPr>
        <w:tc>
          <w:tcPr>
            <w:tcW w:w="1868" w:type="dxa"/>
            <w:vMerge/>
          </w:tcPr>
          <w:p w:rsidR="00C21EE9" w:rsidRDefault="00C21EE9" w:rsidP="009C39D4">
            <w:pPr>
              <w:ind w:left="11" w:hanging="11"/>
              <w:rPr>
                <w:szCs w:val="22"/>
              </w:rPr>
            </w:pPr>
          </w:p>
        </w:tc>
        <w:tc>
          <w:tcPr>
            <w:tcW w:w="851" w:type="dxa"/>
            <w:vMerge/>
          </w:tcPr>
          <w:p w:rsidR="00C21EE9" w:rsidRDefault="00C21EE9" w:rsidP="009C39D4">
            <w:pPr>
              <w:ind w:left="-75"/>
              <w:jc w:val="center"/>
              <w:rPr>
                <w:szCs w:val="22"/>
              </w:rPr>
            </w:pPr>
          </w:p>
        </w:tc>
        <w:tc>
          <w:tcPr>
            <w:tcW w:w="992" w:type="dxa"/>
            <w:vAlign w:val="center"/>
          </w:tcPr>
          <w:p w:rsidR="00C21EE9" w:rsidRDefault="00C21EE9" w:rsidP="009C39D4">
            <w:pPr>
              <w:pStyle w:val="BodyText2"/>
              <w:ind w:left="175"/>
              <w:jc w:val="center"/>
              <w:rPr>
                <w:sz w:val="22"/>
                <w:szCs w:val="22"/>
              </w:rPr>
            </w:pPr>
            <w:r>
              <w:rPr>
                <w:sz w:val="22"/>
                <w:szCs w:val="22"/>
              </w:rPr>
              <w:sym w:font="Symbol" w:char="F0B3"/>
            </w:r>
            <w:r>
              <w:rPr>
                <w:sz w:val="22"/>
                <w:szCs w:val="22"/>
              </w:rPr>
              <w:t xml:space="preserve"> 3 grams</w:t>
            </w:r>
          </w:p>
        </w:tc>
        <w:tc>
          <w:tcPr>
            <w:tcW w:w="1276" w:type="dxa"/>
            <w:vAlign w:val="center"/>
          </w:tcPr>
          <w:p w:rsidR="00C21EE9" w:rsidRDefault="00C21EE9" w:rsidP="009C39D4">
            <w:pPr>
              <w:ind w:left="34"/>
              <w:jc w:val="center"/>
              <w:rPr>
                <w:szCs w:val="22"/>
              </w:rPr>
            </w:pPr>
            <w:r>
              <w:rPr>
                <w:szCs w:val="22"/>
              </w:rPr>
              <w:t>NS</w:t>
            </w:r>
          </w:p>
        </w:tc>
        <w:tc>
          <w:tcPr>
            <w:tcW w:w="1108" w:type="dxa"/>
          </w:tcPr>
          <w:p w:rsidR="00C21EE9" w:rsidRDefault="00C21EE9" w:rsidP="009C39D4">
            <w:pPr>
              <w:ind w:left="34"/>
              <w:jc w:val="center"/>
              <w:rPr>
                <w:color w:val="000000"/>
                <w:sz w:val="20"/>
              </w:rPr>
            </w:pPr>
            <w:r>
              <w:rPr>
                <w:color w:val="000000"/>
                <w:sz w:val="20"/>
              </w:rPr>
              <w:t>within the 5 years</w:t>
            </w:r>
          </w:p>
        </w:tc>
      </w:tr>
      <w:tr w:rsidR="00C21EE9" w:rsidTr="009C39D4">
        <w:trPr>
          <w:cantSplit/>
          <w:trHeight w:val="735"/>
          <w:jc w:val="center"/>
        </w:trPr>
        <w:tc>
          <w:tcPr>
            <w:tcW w:w="1868" w:type="dxa"/>
            <w:vMerge/>
          </w:tcPr>
          <w:p w:rsidR="00C21EE9" w:rsidRDefault="00C21EE9" w:rsidP="009C39D4">
            <w:pPr>
              <w:ind w:left="11" w:hanging="11"/>
              <w:rPr>
                <w:szCs w:val="22"/>
              </w:rPr>
            </w:pPr>
          </w:p>
        </w:tc>
        <w:tc>
          <w:tcPr>
            <w:tcW w:w="851" w:type="dxa"/>
            <w:vMerge/>
          </w:tcPr>
          <w:p w:rsidR="00C21EE9" w:rsidRDefault="00C21EE9" w:rsidP="009C39D4">
            <w:pPr>
              <w:ind w:left="-75"/>
              <w:jc w:val="center"/>
              <w:rPr>
                <w:szCs w:val="22"/>
              </w:rPr>
            </w:pPr>
          </w:p>
        </w:tc>
        <w:tc>
          <w:tcPr>
            <w:tcW w:w="992" w:type="dxa"/>
            <w:vAlign w:val="center"/>
          </w:tcPr>
          <w:p w:rsidR="00C21EE9" w:rsidRPr="00587C49" w:rsidRDefault="00C21EE9" w:rsidP="009C39D4">
            <w:pPr>
              <w:pStyle w:val="BodyText2"/>
              <w:ind w:left="175"/>
              <w:jc w:val="center"/>
              <w:rPr>
                <w:color w:val="000000"/>
                <w:sz w:val="22"/>
                <w:szCs w:val="22"/>
              </w:rPr>
            </w:pPr>
            <w:r w:rsidRPr="00587C49">
              <w:rPr>
                <w:color w:val="000000"/>
                <w:sz w:val="22"/>
                <w:szCs w:val="22"/>
              </w:rPr>
              <w:sym w:font="Symbol" w:char="F0B3"/>
            </w:r>
            <w:r w:rsidRPr="00587C49">
              <w:rPr>
                <w:color w:val="000000"/>
                <w:sz w:val="22"/>
                <w:szCs w:val="22"/>
              </w:rPr>
              <w:t xml:space="preserve"> 10 grams</w:t>
            </w:r>
          </w:p>
          <w:p w:rsidR="00C21EE9" w:rsidRDefault="00C21EE9" w:rsidP="009C39D4">
            <w:pPr>
              <w:pStyle w:val="BodyText2"/>
              <w:ind w:left="175"/>
              <w:jc w:val="center"/>
              <w:rPr>
                <w:color w:val="000000"/>
              </w:rPr>
            </w:pPr>
          </w:p>
        </w:tc>
        <w:tc>
          <w:tcPr>
            <w:tcW w:w="1276" w:type="dxa"/>
            <w:vAlign w:val="center"/>
          </w:tcPr>
          <w:p w:rsidR="00C21EE9" w:rsidRDefault="00C21EE9" w:rsidP="009C39D4">
            <w:pPr>
              <w:ind w:left="34"/>
              <w:jc w:val="center"/>
              <w:rPr>
                <w:color w:val="000000"/>
                <w:sz w:val="20"/>
              </w:rPr>
            </w:pPr>
            <w:r>
              <w:rPr>
                <w:color w:val="000000"/>
                <w:sz w:val="20"/>
              </w:rPr>
              <w:t>NS</w:t>
            </w:r>
          </w:p>
          <w:p w:rsidR="00C21EE9" w:rsidRDefault="00C21EE9" w:rsidP="009C39D4">
            <w:pPr>
              <w:ind w:left="34"/>
              <w:jc w:val="center"/>
              <w:rPr>
                <w:color w:val="000000"/>
                <w:sz w:val="20"/>
              </w:rPr>
            </w:pPr>
          </w:p>
          <w:p w:rsidR="00C21EE9" w:rsidRDefault="00C21EE9" w:rsidP="009C39D4">
            <w:pPr>
              <w:ind w:left="34"/>
              <w:jc w:val="center"/>
              <w:rPr>
                <w:color w:val="0000FF"/>
                <w:sz w:val="20"/>
              </w:rPr>
            </w:pPr>
          </w:p>
        </w:tc>
        <w:tc>
          <w:tcPr>
            <w:tcW w:w="1108" w:type="dxa"/>
          </w:tcPr>
          <w:p w:rsidR="00C21EE9" w:rsidRDefault="00C21EE9" w:rsidP="009C39D4">
            <w:pPr>
              <w:ind w:left="34"/>
              <w:jc w:val="center"/>
              <w:rPr>
                <w:color w:val="000000"/>
                <w:sz w:val="20"/>
              </w:rPr>
            </w:pPr>
            <w:r>
              <w:rPr>
                <w:color w:val="000000"/>
                <w:sz w:val="20"/>
              </w:rPr>
              <w:t>NS</w:t>
            </w:r>
          </w:p>
        </w:tc>
      </w:tr>
    </w:tbl>
    <w:p w:rsidR="00C21EE9" w:rsidRPr="00751C06" w:rsidRDefault="00C21EE9" w:rsidP="00C21EE9">
      <w:pPr>
        <w:pStyle w:val="NOTEScheduleonly"/>
        <w:ind w:left="1134"/>
      </w:pPr>
      <w:r w:rsidRPr="00751C06">
        <w:t>Abbreviations: IV = intravenous; IM = intramuscular;</w:t>
      </w:r>
      <w:r>
        <w:t xml:space="preserve"> O = oral; NS = not specified.</w:t>
      </w:r>
    </w:p>
    <w:p w:rsidR="00F60417" w:rsidRDefault="00F60417" w:rsidP="00DA0AD3">
      <w:pPr>
        <w:pStyle w:val="SH3"/>
      </w:pPr>
      <w:r w:rsidRPr="005E6261">
        <w:rPr>
          <w:b/>
          <w:bCs/>
          <w:i/>
        </w:rPr>
        <w:t>MET</w:t>
      </w:r>
      <w:r w:rsidRPr="004737B8">
        <w:rPr>
          <w:b/>
          <w:bCs/>
        </w:rPr>
        <w:t xml:space="preserve"> </w:t>
      </w:r>
      <w:r w:rsidRPr="004737B8">
        <w:t xml:space="preserve">means a unit of measurement of the level of physical exertion. </w:t>
      </w:r>
      <w:r w:rsidR="00B11D73">
        <w:t xml:space="preserve"> </w:t>
      </w:r>
      <w:r w:rsidRPr="004737B8">
        <w:t>1</w:t>
      </w:r>
      <w:r>
        <w:t> </w:t>
      </w:r>
      <w:r w:rsidRPr="004737B8">
        <w:t>MET = 3.5 ml of oxygen/kg of body weight per minute</w:t>
      </w:r>
      <w:r>
        <w:t>,</w:t>
      </w:r>
      <w:r w:rsidRPr="004737B8">
        <w:t xml:space="preserve"> or 1.0 kcal/kg of body weight per </w:t>
      </w:r>
      <w:r>
        <w:t>hour, or resting metabolic rate.</w:t>
      </w:r>
    </w:p>
    <w:p w:rsidR="00AB7D8E" w:rsidRDefault="00AB7D8E" w:rsidP="00DA0AD3">
      <w:pPr>
        <w:pStyle w:val="SH3"/>
      </w:pPr>
      <w:r w:rsidRPr="002C2A28">
        <w:rPr>
          <w:b/>
        </w:rPr>
        <w:t xml:space="preserve">MRCA </w:t>
      </w:r>
      <w:r w:rsidRPr="00973808">
        <w:t>me</w:t>
      </w:r>
      <w:r w:rsidRPr="00024911">
        <w:rPr>
          <w:rStyle w:val="SH3nospaceChar"/>
        </w:rPr>
        <w:t>a</w:t>
      </w:r>
      <w:r w:rsidRPr="00973808">
        <w:t>ns</w:t>
      </w:r>
      <w:r w:rsidRPr="009C404D">
        <w:t xml:space="preserve"> the </w:t>
      </w:r>
      <w:r w:rsidRPr="007822C0">
        <w:rPr>
          <w:i/>
        </w:rPr>
        <w:t>Military Rehabilitation and Compensation Act 2004</w:t>
      </w:r>
      <w:r w:rsidRPr="009C404D">
        <w:t>.</w:t>
      </w:r>
    </w:p>
    <w:p w:rsidR="00AB7D8E" w:rsidRPr="009C404D" w:rsidRDefault="00AB7D8E" w:rsidP="00DA0AD3">
      <w:pPr>
        <w:pStyle w:val="SH3"/>
      </w:pPr>
      <w:r w:rsidRPr="00DA0AD3">
        <w:rPr>
          <w:b/>
          <w:i/>
        </w:rPr>
        <w:t>relevant service</w:t>
      </w:r>
      <w:r w:rsidRPr="00BC3C26">
        <w:t xml:space="preserve"> means:</w:t>
      </w:r>
    </w:p>
    <w:p w:rsidR="00AB7D8E" w:rsidRPr="00BC3C26" w:rsidRDefault="00AB7D8E" w:rsidP="00AB7D8E">
      <w:pPr>
        <w:numPr>
          <w:ilvl w:val="0"/>
          <w:numId w:val="20"/>
        </w:numPr>
        <w:spacing w:line="240" w:lineRule="auto"/>
        <w:ind w:left="1418" w:hanging="567"/>
        <w:jc w:val="both"/>
        <w:rPr>
          <w:sz w:val="24"/>
          <w:szCs w:val="24"/>
        </w:rPr>
      </w:pPr>
      <w:bookmarkStart w:id="51" w:name="_Ref402529607"/>
      <w:bookmarkEnd w:id="50"/>
      <w:r w:rsidRPr="00BC3C26">
        <w:rPr>
          <w:sz w:val="24"/>
          <w:szCs w:val="24"/>
        </w:rPr>
        <w:t xml:space="preserve">operational service under the VEA; </w:t>
      </w:r>
    </w:p>
    <w:p w:rsidR="00AB7D8E" w:rsidRPr="00BC3C26" w:rsidRDefault="00AB7D8E" w:rsidP="00AB7D8E">
      <w:pPr>
        <w:numPr>
          <w:ilvl w:val="0"/>
          <w:numId w:val="20"/>
        </w:numPr>
        <w:spacing w:line="240" w:lineRule="auto"/>
        <w:ind w:left="1418" w:hanging="567"/>
        <w:jc w:val="both"/>
        <w:rPr>
          <w:sz w:val="24"/>
          <w:szCs w:val="24"/>
        </w:rPr>
      </w:pPr>
      <w:r w:rsidRPr="00BC3C26">
        <w:rPr>
          <w:sz w:val="24"/>
          <w:szCs w:val="24"/>
        </w:rPr>
        <w:t xml:space="preserve">peacekeeping service under the VEA; </w:t>
      </w:r>
    </w:p>
    <w:p w:rsidR="00AB7D8E" w:rsidRPr="00BC3C26" w:rsidRDefault="00AB7D8E" w:rsidP="00AB7D8E">
      <w:pPr>
        <w:numPr>
          <w:ilvl w:val="0"/>
          <w:numId w:val="20"/>
        </w:numPr>
        <w:spacing w:line="240" w:lineRule="auto"/>
        <w:ind w:left="1418" w:hanging="567"/>
        <w:jc w:val="both"/>
        <w:rPr>
          <w:sz w:val="24"/>
          <w:szCs w:val="24"/>
        </w:rPr>
      </w:pPr>
      <w:r w:rsidRPr="00BC3C26">
        <w:rPr>
          <w:sz w:val="24"/>
          <w:szCs w:val="24"/>
        </w:rPr>
        <w:t xml:space="preserve">hazardous service under the VEA; </w:t>
      </w:r>
    </w:p>
    <w:p w:rsidR="00AB7D8E" w:rsidRPr="00BC3C26" w:rsidRDefault="00AB7D8E" w:rsidP="00AB7D8E">
      <w:pPr>
        <w:numPr>
          <w:ilvl w:val="0"/>
          <w:numId w:val="20"/>
        </w:numPr>
        <w:spacing w:line="240" w:lineRule="auto"/>
        <w:ind w:left="1418" w:hanging="567"/>
        <w:jc w:val="both"/>
        <w:rPr>
          <w:sz w:val="24"/>
          <w:szCs w:val="24"/>
        </w:rPr>
      </w:pPr>
      <w:r w:rsidRPr="00BC3C26">
        <w:rPr>
          <w:sz w:val="24"/>
          <w:szCs w:val="24"/>
        </w:rPr>
        <w:t>British nuclear test defence service under the VEA;</w:t>
      </w:r>
    </w:p>
    <w:p w:rsidR="00AB7D8E" w:rsidRPr="005C212F" w:rsidRDefault="00AB7D8E" w:rsidP="00AB7D8E">
      <w:pPr>
        <w:numPr>
          <w:ilvl w:val="0"/>
          <w:numId w:val="20"/>
        </w:numPr>
        <w:spacing w:line="240" w:lineRule="auto"/>
        <w:ind w:left="1418" w:hanging="567"/>
        <w:jc w:val="both"/>
        <w:rPr>
          <w:sz w:val="24"/>
          <w:szCs w:val="24"/>
        </w:rPr>
      </w:pPr>
      <w:r w:rsidRPr="00BC3C26">
        <w:rPr>
          <w:sz w:val="24"/>
          <w:szCs w:val="24"/>
        </w:rPr>
        <w:t>warlike service under the MRCA; or</w:t>
      </w:r>
    </w:p>
    <w:p w:rsidR="00AB7D8E" w:rsidRPr="005C212F" w:rsidRDefault="00AB7D8E" w:rsidP="00AB7D8E">
      <w:pPr>
        <w:numPr>
          <w:ilvl w:val="0"/>
          <w:numId w:val="20"/>
        </w:numPr>
        <w:spacing w:line="240" w:lineRule="auto"/>
        <w:ind w:left="1418" w:hanging="567"/>
        <w:jc w:val="both"/>
        <w:rPr>
          <w:sz w:val="24"/>
          <w:szCs w:val="24"/>
        </w:rPr>
      </w:pPr>
      <w:r w:rsidRPr="005C212F">
        <w:rPr>
          <w:sz w:val="24"/>
          <w:szCs w:val="24"/>
        </w:rPr>
        <w:t xml:space="preserve">non-warlike service under the MRCA. </w:t>
      </w:r>
    </w:p>
    <w:p w:rsidR="00F60417" w:rsidRPr="00A02C11" w:rsidRDefault="00F60417" w:rsidP="00DA0AD3">
      <w:pPr>
        <w:pStyle w:val="SH3"/>
      </w:pPr>
      <w:r w:rsidRPr="00A02C11">
        <w:rPr>
          <w:b/>
          <w:i/>
        </w:rPr>
        <w:lastRenderedPageBreak/>
        <w:t>significant biomechanical abnormality</w:t>
      </w:r>
      <w:r w:rsidRPr="00A02C11">
        <w:t xml:space="preserve"> means an abnormality that causes significant alteration of biomechanical forces through the ankle, such as would occur with pes planus or underpronation, decreased ankle or forefoot flexibility, forefoot varus, pes cavus or lateral ankle joint instability.</w:t>
      </w:r>
    </w:p>
    <w:p w:rsidR="00DD0175" w:rsidRDefault="00DD0175" w:rsidP="00DA0AD3">
      <w:pPr>
        <w:pStyle w:val="SH3"/>
      </w:pPr>
      <w:r w:rsidRPr="00DA0AD3">
        <w:rPr>
          <w:b/>
          <w:i/>
        </w:rPr>
        <w:t>specified list of systemic arthritic diseases</w:t>
      </w:r>
      <w:r>
        <w:t xml:space="preserve"> means:</w:t>
      </w:r>
    </w:p>
    <w:p w:rsidR="00DD0175" w:rsidRDefault="00DD0175" w:rsidP="005C212F">
      <w:pPr>
        <w:pStyle w:val="SH4"/>
        <w:ind w:left="1418"/>
      </w:pPr>
      <w:r>
        <w:t xml:space="preserve">ankylosing spondylitis; </w:t>
      </w:r>
    </w:p>
    <w:p w:rsidR="00DD0175" w:rsidRDefault="00DD0175" w:rsidP="005C212F">
      <w:pPr>
        <w:pStyle w:val="SH4"/>
        <w:ind w:left="1418"/>
      </w:pPr>
      <w:r>
        <w:t xml:space="preserve">Behcet syndrome;   </w:t>
      </w:r>
    </w:p>
    <w:p w:rsidR="00DD0175" w:rsidRDefault="00DD0175" w:rsidP="005C212F">
      <w:pPr>
        <w:pStyle w:val="SH4"/>
        <w:ind w:left="1418"/>
      </w:pPr>
      <w:r>
        <w:t xml:space="preserve">gout, or another crystal-induced arthropathy; </w:t>
      </w:r>
    </w:p>
    <w:p w:rsidR="00DD0175" w:rsidRDefault="00DD0175" w:rsidP="005C212F">
      <w:pPr>
        <w:pStyle w:val="SH4"/>
        <w:ind w:left="1418"/>
      </w:pPr>
      <w:r>
        <w:t xml:space="preserve">enteropathic spondyloarthropathy;   </w:t>
      </w:r>
    </w:p>
    <w:p w:rsidR="00DD0175" w:rsidRDefault="00DD0175" w:rsidP="005C212F">
      <w:pPr>
        <w:pStyle w:val="SH4"/>
        <w:ind w:left="1418"/>
      </w:pPr>
      <w:r>
        <w:t xml:space="preserve">psoriatic arthropathy;  </w:t>
      </w:r>
    </w:p>
    <w:p w:rsidR="00DD0175" w:rsidRDefault="00DD0175" w:rsidP="005C212F">
      <w:pPr>
        <w:pStyle w:val="SH4"/>
        <w:ind w:left="1418"/>
      </w:pPr>
      <w:r>
        <w:t xml:space="preserve">reactive arthritis; </w:t>
      </w:r>
    </w:p>
    <w:p w:rsidR="00DD0175" w:rsidRDefault="00DD0175" w:rsidP="005C212F">
      <w:pPr>
        <w:pStyle w:val="SH4"/>
        <w:ind w:left="1418"/>
      </w:pPr>
      <w:r>
        <w:t>rheumatoid arthritis; or</w:t>
      </w:r>
    </w:p>
    <w:p w:rsidR="00DD0175" w:rsidRDefault="00DD0175" w:rsidP="005C212F">
      <w:pPr>
        <w:pStyle w:val="SH4"/>
        <w:ind w:left="1418"/>
      </w:pPr>
      <w:r>
        <w:t>undifferentiated spondyloarthropathy.</w:t>
      </w:r>
    </w:p>
    <w:p w:rsidR="005C212F" w:rsidRPr="00DD0175" w:rsidRDefault="005C212F" w:rsidP="005C212F">
      <w:pPr>
        <w:pStyle w:val="NOTE"/>
      </w:pPr>
      <w:r>
        <w:t xml:space="preserve">Note: </w:t>
      </w:r>
      <w:r>
        <w:rPr>
          <w:b/>
          <w:i/>
        </w:rPr>
        <w:t>crystal-induced arthropathy</w:t>
      </w:r>
      <w:r w:rsidRPr="00046E67">
        <w:t xml:space="preserve"> </w:t>
      </w:r>
      <w:r>
        <w:t>is</w:t>
      </w:r>
      <w:r w:rsidRPr="00046E67">
        <w:t xml:space="preserve"> </w:t>
      </w:r>
      <w:r>
        <w:t xml:space="preserve">also </w:t>
      </w:r>
      <w:r w:rsidRPr="00046E67">
        <w:t xml:space="preserve">defined in the </w:t>
      </w:r>
      <w:r>
        <w:t xml:space="preserve">Schedule 1 - </w:t>
      </w:r>
      <w:r w:rsidRPr="00046E67">
        <w:t>Dictionary.</w:t>
      </w:r>
    </w:p>
    <w:p w:rsidR="00AB7D8E" w:rsidRPr="009C404D" w:rsidRDefault="00AB7D8E" w:rsidP="00DA0AD3">
      <w:pPr>
        <w:pStyle w:val="SH3"/>
      </w:pPr>
      <w:r>
        <w:rPr>
          <w:b/>
          <w:i/>
        </w:rPr>
        <w:t>t</w:t>
      </w:r>
      <w:r w:rsidRPr="00973808">
        <w:rPr>
          <w:b/>
          <w:i/>
        </w:rPr>
        <w:t>erminal event</w:t>
      </w:r>
      <w:r w:rsidRPr="009C404D">
        <w:t xml:space="preserve"> means the proximate or ultimate cause of death and includes</w:t>
      </w:r>
      <w:bookmarkEnd w:id="51"/>
      <w:r w:rsidRPr="009C404D">
        <w:t xml:space="preserve"> the following:</w:t>
      </w:r>
    </w:p>
    <w:p w:rsidR="00AB7D8E" w:rsidRPr="00513D05" w:rsidRDefault="00AB7D8E" w:rsidP="00AB7D8E">
      <w:pPr>
        <w:pStyle w:val="SH4"/>
        <w:ind w:left="1418"/>
      </w:pPr>
      <w:r>
        <w:tab/>
      </w:r>
      <w:r w:rsidRPr="00513D05">
        <w:t>pneumonia;</w:t>
      </w:r>
    </w:p>
    <w:p w:rsidR="00AB7D8E" w:rsidRPr="00513D05" w:rsidRDefault="00AB7D8E" w:rsidP="00AB7D8E">
      <w:pPr>
        <w:pStyle w:val="SH4"/>
        <w:ind w:left="1418"/>
      </w:pPr>
      <w:r w:rsidRPr="00513D05">
        <w:tab/>
        <w:t>respiratory failure;</w:t>
      </w:r>
    </w:p>
    <w:p w:rsidR="00AB7D8E" w:rsidRPr="00513D05" w:rsidRDefault="00AB7D8E" w:rsidP="00AB7D8E">
      <w:pPr>
        <w:pStyle w:val="SH4"/>
        <w:ind w:left="1418"/>
      </w:pPr>
      <w:r w:rsidRPr="00513D05">
        <w:tab/>
        <w:t>cardiac arrest;</w:t>
      </w:r>
    </w:p>
    <w:p w:rsidR="00AB7D8E" w:rsidRPr="00513D05" w:rsidRDefault="00AB7D8E" w:rsidP="00AB7D8E">
      <w:pPr>
        <w:pStyle w:val="SH4"/>
        <w:ind w:left="1418"/>
      </w:pPr>
      <w:r w:rsidRPr="00513D05">
        <w:tab/>
        <w:t>circulatory failure;</w:t>
      </w:r>
      <w:r w:rsidR="007B706C">
        <w:t xml:space="preserve"> or</w:t>
      </w:r>
    </w:p>
    <w:p w:rsidR="00AB7D8E" w:rsidRPr="00BD3334" w:rsidRDefault="00AB7D8E" w:rsidP="00AB7D8E">
      <w:pPr>
        <w:pStyle w:val="SH4"/>
        <w:ind w:left="1418"/>
      </w:pPr>
      <w:r w:rsidRPr="00513D05">
        <w:tab/>
        <w:t>cessation of brain function.</w:t>
      </w:r>
    </w:p>
    <w:p w:rsidR="00D16A6B" w:rsidRPr="0019084F" w:rsidRDefault="00AB7D8E" w:rsidP="00DA0AD3">
      <w:pPr>
        <w:pStyle w:val="SH3"/>
      </w:pPr>
      <w:r w:rsidRPr="00DA0AD3">
        <w:rPr>
          <w:b/>
          <w:i/>
        </w:rPr>
        <w:t>VEA</w:t>
      </w:r>
      <w:r w:rsidRPr="0019084F">
        <w:t xml:space="preserve"> means the </w:t>
      </w:r>
      <w:r w:rsidRPr="00DA0AD3">
        <w:rPr>
          <w:i/>
        </w:rPr>
        <w:t>Veterans</w:t>
      </w:r>
      <w:r w:rsidR="00D40672" w:rsidRPr="00DA0AD3">
        <w:rPr>
          <w:i/>
        </w:rPr>
        <w:t>'</w:t>
      </w:r>
      <w:r w:rsidRPr="00DA0AD3">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footerReference w:type="even" r:id="rId14"/>
          <w:footerReference w:type="default" r:id="rId15"/>
          <w:headerReference w:type="first" r:id="rId16"/>
          <w:footerReference w:type="first" r:id="rId17"/>
          <w:pgSz w:w="11907" w:h="16839" w:code="9"/>
          <w:pgMar w:top="1440" w:right="1797" w:bottom="1440" w:left="1797" w:header="720" w:footer="709" w:gutter="0"/>
          <w:cols w:space="720"/>
          <w:docGrid w:linePitch="299"/>
        </w:sectPr>
      </w:pPr>
    </w:p>
    <w:p w:rsidR="00F02383" w:rsidRDefault="00F02383" w:rsidP="003F4535">
      <w:pPr>
        <w:rPr>
          <w:b/>
          <w:i/>
        </w:rPr>
      </w:pPr>
    </w:p>
    <w:p w:rsidR="00DE599C" w:rsidRPr="00F02383" w:rsidRDefault="00DE599C" w:rsidP="00F02383"/>
    <w:sectPr w:rsidR="00DE599C" w:rsidRPr="00F02383" w:rsidSect="00FA33FB">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DD0" w:rsidRDefault="00321DD0" w:rsidP="00715914">
      <w:pPr>
        <w:spacing w:line="240" w:lineRule="auto"/>
      </w:pPr>
      <w:r>
        <w:separator/>
      </w:r>
    </w:p>
  </w:endnote>
  <w:endnote w:type="continuationSeparator" w:id="0">
    <w:p w:rsidR="00321DD0" w:rsidRDefault="00321DD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DD0" w:rsidRPr="00E33C1C" w:rsidRDefault="00321DD0"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321DD0" w:rsidRPr="00C01863" w:rsidTr="003F4535">
      <w:tc>
        <w:tcPr>
          <w:tcW w:w="709" w:type="dxa"/>
          <w:tcBorders>
            <w:top w:val="nil"/>
            <w:left w:val="nil"/>
            <w:bottom w:val="nil"/>
            <w:right w:val="nil"/>
          </w:tcBorders>
          <w:shd w:val="clear" w:color="auto" w:fill="auto"/>
        </w:tcPr>
        <w:p w:rsidR="00321DD0" w:rsidRPr="00C01863" w:rsidRDefault="00321DD0" w:rsidP="00C01863">
          <w:pPr>
            <w:spacing w:line="0" w:lineRule="atLeast"/>
            <w:rPr>
              <w:sz w:val="18"/>
            </w:rPr>
          </w:pPr>
        </w:p>
      </w:tc>
      <w:tc>
        <w:tcPr>
          <w:tcW w:w="6379" w:type="dxa"/>
          <w:tcBorders>
            <w:top w:val="nil"/>
            <w:left w:val="nil"/>
            <w:bottom w:val="nil"/>
            <w:right w:val="nil"/>
          </w:tcBorders>
          <w:shd w:val="clear" w:color="auto" w:fill="auto"/>
        </w:tcPr>
        <w:p w:rsidR="005C5C01" w:rsidRDefault="00321DD0" w:rsidP="00A02752">
          <w:pPr>
            <w:spacing w:line="0" w:lineRule="atLeast"/>
            <w:jc w:val="center"/>
            <w:rPr>
              <w:i/>
              <w:sz w:val="18"/>
            </w:rPr>
          </w:pPr>
          <w:r w:rsidRPr="00E55F66">
            <w:rPr>
              <w:i/>
              <w:sz w:val="18"/>
            </w:rPr>
            <w:t>Statement of Principles concer</w:t>
          </w:r>
          <w:r>
            <w:rPr>
              <w:i/>
              <w:sz w:val="18"/>
            </w:rPr>
            <w:t>ning</w:t>
          </w:r>
        </w:p>
        <w:p w:rsidR="00321DD0" w:rsidRPr="00C01863" w:rsidRDefault="004B0DAC" w:rsidP="004B0DAC">
          <w:pPr>
            <w:spacing w:line="0" w:lineRule="atLeast"/>
            <w:jc w:val="center"/>
            <w:rPr>
              <w:sz w:val="18"/>
            </w:rPr>
          </w:pPr>
          <w:r w:rsidRPr="004B0DAC">
            <w:rPr>
              <w:i/>
              <w:sz w:val="18"/>
              <w:szCs w:val="18"/>
            </w:rPr>
            <w:t>Achilles</w:t>
          </w:r>
          <w:r>
            <w:rPr>
              <w:i/>
              <w:sz w:val="18"/>
              <w:szCs w:val="18"/>
            </w:rPr>
            <w:t xml:space="preserve"> T</w:t>
          </w:r>
          <w:r w:rsidRPr="004B0DAC">
            <w:rPr>
              <w:i/>
              <w:sz w:val="18"/>
              <w:szCs w:val="18"/>
            </w:rPr>
            <w:t xml:space="preserve">endinopathy and </w:t>
          </w:r>
          <w:r>
            <w:rPr>
              <w:i/>
              <w:sz w:val="18"/>
              <w:szCs w:val="18"/>
            </w:rPr>
            <w:t>B</w:t>
          </w:r>
          <w:r w:rsidRPr="004B0DAC">
            <w:rPr>
              <w:i/>
              <w:sz w:val="18"/>
              <w:szCs w:val="18"/>
            </w:rPr>
            <w:t>ursitis</w:t>
          </w:r>
          <w:r w:rsidR="00321DD0" w:rsidRPr="003A2FFE">
            <w:rPr>
              <w:i/>
              <w:sz w:val="18"/>
            </w:rPr>
            <w:t xml:space="preserve"> </w:t>
          </w:r>
          <w:r>
            <w:rPr>
              <w:i/>
              <w:sz w:val="18"/>
            </w:rPr>
            <w:t>(Reasonable Hypothesis)</w:t>
          </w:r>
          <w:r w:rsidRPr="003A2FFE">
            <w:rPr>
              <w:i/>
              <w:sz w:val="18"/>
            </w:rPr>
            <w:t xml:space="preserve"> </w:t>
          </w:r>
          <w:r w:rsidR="00321DD0" w:rsidRPr="003A2FFE">
            <w:rPr>
              <w:i/>
              <w:sz w:val="18"/>
            </w:rPr>
            <w:t xml:space="preserve">(No. </w:t>
          </w:r>
          <w:r w:rsidR="00321DD0" w:rsidRPr="007C5CE0">
            <w:rPr>
              <w:i/>
              <w:sz w:val="18"/>
              <w:szCs w:val="18"/>
            </w:rPr>
            <w:fldChar w:fldCharType="begin"/>
          </w:r>
          <w:r w:rsidR="00321DD0" w:rsidRPr="007C5CE0">
            <w:rPr>
              <w:i/>
              <w:sz w:val="18"/>
              <w:szCs w:val="18"/>
            </w:rPr>
            <w:instrText xml:space="preserve"> REF BP \* Charformat  \* MERGEFORMAT </w:instrText>
          </w:r>
          <w:r w:rsidR="00321DD0" w:rsidRPr="007C5CE0">
            <w:rPr>
              <w:i/>
              <w:sz w:val="18"/>
              <w:szCs w:val="18"/>
            </w:rPr>
            <w:fldChar w:fldCharType="separate"/>
          </w:r>
          <w:r w:rsidR="00B6771B" w:rsidRPr="00B6771B">
            <w:rPr>
              <w:i/>
              <w:sz w:val="18"/>
              <w:szCs w:val="18"/>
            </w:rPr>
            <w:t>96</w:t>
          </w:r>
          <w:r w:rsidR="00321DD0" w:rsidRPr="007C5CE0">
            <w:rPr>
              <w:i/>
              <w:sz w:val="18"/>
              <w:szCs w:val="18"/>
            </w:rPr>
            <w:fldChar w:fldCharType="end"/>
          </w:r>
          <w:r w:rsidR="00321DD0" w:rsidRPr="007C5CE0">
            <w:rPr>
              <w:i/>
              <w:sz w:val="18"/>
              <w:szCs w:val="18"/>
            </w:rPr>
            <w:t xml:space="preserve"> of </w:t>
          </w:r>
          <w:r w:rsidR="00321DD0" w:rsidRPr="007C5CE0">
            <w:rPr>
              <w:i/>
              <w:sz w:val="18"/>
              <w:szCs w:val="18"/>
            </w:rPr>
            <w:fldChar w:fldCharType="begin"/>
          </w:r>
          <w:r w:rsidR="00321DD0" w:rsidRPr="007C5CE0">
            <w:rPr>
              <w:i/>
              <w:sz w:val="18"/>
              <w:szCs w:val="18"/>
            </w:rPr>
            <w:instrText xml:space="preserve"> REF year \* Charformat \* MERGEFORMAT </w:instrText>
          </w:r>
          <w:r w:rsidR="00321DD0" w:rsidRPr="007C5CE0">
            <w:rPr>
              <w:i/>
              <w:sz w:val="18"/>
              <w:szCs w:val="18"/>
            </w:rPr>
            <w:fldChar w:fldCharType="separate"/>
          </w:r>
          <w:r w:rsidR="00B6771B" w:rsidRPr="00B6771B">
            <w:rPr>
              <w:i/>
              <w:sz w:val="18"/>
              <w:szCs w:val="18"/>
            </w:rPr>
            <w:t>2015</w:t>
          </w:r>
          <w:r w:rsidR="00321DD0" w:rsidRPr="007C5CE0">
            <w:rPr>
              <w:i/>
              <w:sz w:val="18"/>
              <w:szCs w:val="18"/>
            </w:rPr>
            <w:fldChar w:fldCharType="end"/>
          </w:r>
          <w:r w:rsidR="00321DD0" w:rsidRPr="003A2FFE">
            <w:rPr>
              <w:i/>
              <w:sz w:val="18"/>
              <w:szCs w:val="18"/>
            </w:rPr>
            <w:t>)</w:t>
          </w:r>
        </w:p>
      </w:tc>
      <w:tc>
        <w:tcPr>
          <w:tcW w:w="1384" w:type="dxa"/>
          <w:tcBorders>
            <w:top w:val="nil"/>
            <w:left w:val="nil"/>
            <w:bottom w:val="nil"/>
            <w:right w:val="nil"/>
          </w:tcBorders>
          <w:shd w:val="clear" w:color="auto" w:fill="auto"/>
        </w:tcPr>
        <w:p w:rsidR="00321DD0" w:rsidRPr="00C01863" w:rsidRDefault="00321DD0"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6771B">
            <w:rPr>
              <w:i/>
              <w:noProof/>
              <w:sz w:val="18"/>
            </w:rPr>
            <w:t>2</w:t>
          </w:r>
          <w:r w:rsidRPr="00C01863">
            <w:rPr>
              <w:i/>
              <w:sz w:val="18"/>
            </w:rPr>
            <w:fldChar w:fldCharType="end"/>
          </w:r>
        </w:p>
      </w:tc>
    </w:tr>
    <w:tr w:rsidR="00321DD0" w:rsidRPr="003F4535" w:rsidTr="009612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321DD0" w:rsidRPr="003F4535" w:rsidRDefault="00321DD0" w:rsidP="007F2378">
          <w:pPr>
            <w:jc w:val="center"/>
            <w:rPr>
              <w:b/>
              <w:sz w:val="24"/>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321DD0" w:rsidRPr="00ED79B6" w:rsidRDefault="00321DD0" w:rsidP="00CF236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DD0" w:rsidRPr="00E33C1C" w:rsidRDefault="00321DD0"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321DD0" w:rsidRPr="00C01863" w:rsidTr="00C01863">
      <w:tc>
        <w:tcPr>
          <w:tcW w:w="1384" w:type="dxa"/>
          <w:tcBorders>
            <w:top w:val="nil"/>
            <w:left w:val="nil"/>
            <w:bottom w:val="nil"/>
            <w:right w:val="nil"/>
          </w:tcBorders>
          <w:shd w:val="clear" w:color="auto" w:fill="auto"/>
        </w:tcPr>
        <w:p w:rsidR="00321DD0" w:rsidRPr="00C01863" w:rsidRDefault="00321DD0" w:rsidP="00C01863">
          <w:pPr>
            <w:spacing w:line="0" w:lineRule="atLeast"/>
            <w:rPr>
              <w:sz w:val="18"/>
            </w:rPr>
          </w:pPr>
        </w:p>
      </w:tc>
      <w:tc>
        <w:tcPr>
          <w:tcW w:w="6379" w:type="dxa"/>
          <w:tcBorders>
            <w:top w:val="nil"/>
            <w:left w:val="nil"/>
            <w:bottom w:val="nil"/>
            <w:right w:val="nil"/>
          </w:tcBorders>
          <w:shd w:val="clear" w:color="auto" w:fill="auto"/>
        </w:tcPr>
        <w:p w:rsidR="004B0DAC" w:rsidRDefault="00321DD0" w:rsidP="00A02752">
          <w:pPr>
            <w:spacing w:line="0" w:lineRule="atLeast"/>
            <w:jc w:val="center"/>
            <w:rPr>
              <w:i/>
              <w:sz w:val="18"/>
            </w:rPr>
          </w:pPr>
          <w:r w:rsidRPr="00E55F66">
            <w:rPr>
              <w:i/>
              <w:sz w:val="18"/>
            </w:rPr>
            <w:t>Statement of Principles concer</w:t>
          </w:r>
          <w:r>
            <w:rPr>
              <w:i/>
              <w:sz w:val="18"/>
            </w:rPr>
            <w:t>ning</w:t>
          </w:r>
        </w:p>
        <w:p w:rsidR="00321DD0" w:rsidRPr="00C01863" w:rsidRDefault="004B0DAC" w:rsidP="004B0DAC">
          <w:pPr>
            <w:spacing w:line="0" w:lineRule="atLeast"/>
            <w:jc w:val="center"/>
            <w:rPr>
              <w:sz w:val="18"/>
            </w:rPr>
          </w:pPr>
          <w:r w:rsidRPr="004B0DAC">
            <w:rPr>
              <w:i/>
              <w:sz w:val="18"/>
              <w:szCs w:val="18"/>
            </w:rPr>
            <w:t>Achilles</w:t>
          </w:r>
          <w:r>
            <w:rPr>
              <w:i/>
              <w:sz w:val="18"/>
              <w:szCs w:val="18"/>
            </w:rPr>
            <w:t xml:space="preserve"> T</w:t>
          </w:r>
          <w:r w:rsidRPr="004B0DAC">
            <w:rPr>
              <w:i/>
              <w:sz w:val="18"/>
              <w:szCs w:val="18"/>
            </w:rPr>
            <w:t xml:space="preserve">endinopathy and </w:t>
          </w:r>
          <w:r>
            <w:rPr>
              <w:i/>
              <w:sz w:val="18"/>
              <w:szCs w:val="18"/>
            </w:rPr>
            <w:t>B</w:t>
          </w:r>
          <w:r w:rsidRPr="004B0DAC">
            <w:rPr>
              <w:i/>
              <w:sz w:val="18"/>
              <w:szCs w:val="18"/>
            </w:rPr>
            <w:t>ursitis</w:t>
          </w:r>
          <w:r w:rsidR="00321DD0" w:rsidRPr="007F2378">
            <w:rPr>
              <w:i/>
              <w:sz w:val="18"/>
            </w:rPr>
            <w:t xml:space="preserve"> </w:t>
          </w:r>
          <w:r>
            <w:rPr>
              <w:i/>
              <w:sz w:val="18"/>
            </w:rPr>
            <w:t>(Reasonable Hypothesis)</w:t>
          </w:r>
          <w:r w:rsidRPr="007F2378">
            <w:rPr>
              <w:i/>
              <w:sz w:val="18"/>
            </w:rPr>
            <w:t xml:space="preserve"> </w:t>
          </w:r>
          <w:r w:rsidR="00321DD0" w:rsidRPr="007F2378">
            <w:rPr>
              <w:i/>
              <w:sz w:val="18"/>
            </w:rPr>
            <w:t xml:space="preserve">(No. </w:t>
          </w:r>
          <w:r w:rsidR="00321DD0" w:rsidRPr="007C5CE0">
            <w:rPr>
              <w:i/>
              <w:sz w:val="18"/>
              <w:szCs w:val="18"/>
            </w:rPr>
            <w:fldChar w:fldCharType="begin"/>
          </w:r>
          <w:r w:rsidR="00321DD0" w:rsidRPr="007C5CE0">
            <w:rPr>
              <w:i/>
              <w:sz w:val="18"/>
              <w:szCs w:val="18"/>
            </w:rPr>
            <w:instrText xml:space="preserve"> REF BP \* Charformat  \* MERGEFORMAT </w:instrText>
          </w:r>
          <w:r w:rsidR="00321DD0" w:rsidRPr="007C5CE0">
            <w:rPr>
              <w:i/>
              <w:sz w:val="18"/>
              <w:szCs w:val="18"/>
            </w:rPr>
            <w:fldChar w:fldCharType="separate"/>
          </w:r>
          <w:r w:rsidR="00B6771B" w:rsidRPr="00B6771B">
            <w:rPr>
              <w:i/>
              <w:sz w:val="18"/>
              <w:szCs w:val="18"/>
            </w:rPr>
            <w:t>96</w:t>
          </w:r>
          <w:r w:rsidR="00321DD0" w:rsidRPr="007C5CE0">
            <w:rPr>
              <w:i/>
              <w:sz w:val="18"/>
              <w:szCs w:val="18"/>
            </w:rPr>
            <w:fldChar w:fldCharType="end"/>
          </w:r>
          <w:r w:rsidR="00321DD0" w:rsidRPr="007C5CE0">
            <w:rPr>
              <w:i/>
              <w:sz w:val="18"/>
              <w:szCs w:val="18"/>
            </w:rPr>
            <w:t xml:space="preserve"> of </w:t>
          </w:r>
          <w:r w:rsidR="00321DD0" w:rsidRPr="007C5CE0">
            <w:rPr>
              <w:i/>
              <w:sz w:val="18"/>
              <w:szCs w:val="18"/>
            </w:rPr>
            <w:fldChar w:fldCharType="begin"/>
          </w:r>
          <w:r w:rsidR="00321DD0" w:rsidRPr="007C5CE0">
            <w:rPr>
              <w:i/>
              <w:sz w:val="18"/>
              <w:szCs w:val="18"/>
            </w:rPr>
            <w:instrText xml:space="preserve"> REF year \* Charformat \* MERGEFORMAT </w:instrText>
          </w:r>
          <w:r w:rsidR="00321DD0" w:rsidRPr="007C5CE0">
            <w:rPr>
              <w:i/>
              <w:sz w:val="18"/>
              <w:szCs w:val="18"/>
            </w:rPr>
            <w:fldChar w:fldCharType="separate"/>
          </w:r>
          <w:r w:rsidR="00B6771B" w:rsidRPr="00B6771B">
            <w:rPr>
              <w:i/>
              <w:sz w:val="18"/>
              <w:szCs w:val="18"/>
            </w:rPr>
            <w:t>2015</w:t>
          </w:r>
          <w:r w:rsidR="00321DD0" w:rsidRPr="007C5CE0">
            <w:rPr>
              <w:i/>
              <w:sz w:val="18"/>
              <w:szCs w:val="18"/>
            </w:rPr>
            <w:fldChar w:fldCharType="end"/>
          </w:r>
          <w:r w:rsidR="00321DD0" w:rsidRPr="007F2378">
            <w:rPr>
              <w:i/>
              <w:sz w:val="18"/>
              <w:szCs w:val="18"/>
            </w:rPr>
            <w:t>)</w:t>
          </w:r>
        </w:p>
      </w:tc>
      <w:tc>
        <w:tcPr>
          <w:tcW w:w="709" w:type="dxa"/>
          <w:tcBorders>
            <w:top w:val="nil"/>
            <w:left w:val="nil"/>
            <w:bottom w:val="nil"/>
            <w:right w:val="nil"/>
          </w:tcBorders>
          <w:shd w:val="clear" w:color="auto" w:fill="auto"/>
        </w:tcPr>
        <w:p w:rsidR="00321DD0" w:rsidRPr="00C01863" w:rsidRDefault="00321DD0"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6771B">
            <w:rPr>
              <w:i/>
              <w:noProof/>
              <w:sz w:val="18"/>
            </w:rPr>
            <w:t>5</w:t>
          </w:r>
          <w:r w:rsidRPr="00C01863">
            <w:rPr>
              <w:i/>
              <w:sz w:val="18"/>
            </w:rPr>
            <w:fldChar w:fldCharType="end"/>
          </w:r>
        </w:p>
      </w:tc>
    </w:tr>
    <w:tr w:rsidR="00321DD0" w:rsidRPr="003F4535"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321DD0" w:rsidRPr="005E7FC2" w:rsidRDefault="00321DD0" w:rsidP="005E7FC2">
          <w:pPr>
            <w:jc w:val="center"/>
            <w:rPr>
              <w:sz w:val="18"/>
              <w:szCs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321DD0" w:rsidRDefault="00321DD0" w:rsidP="00CF2367">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DD0" w:rsidRPr="00E33C1C" w:rsidRDefault="00321DD0" w:rsidP="007F2378">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321DD0" w:rsidRPr="00C01863" w:rsidTr="0001587D">
      <w:tc>
        <w:tcPr>
          <w:tcW w:w="709" w:type="dxa"/>
          <w:tcBorders>
            <w:top w:val="nil"/>
            <w:left w:val="nil"/>
            <w:bottom w:val="nil"/>
            <w:right w:val="nil"/>
          </w:tcBorders>
          <w:shd w:val="clear" w:color="auto" w:fill="auto"/>
        </w:tcPr>
        <w:p w:rsidR="00321DD0" w:rsidRPr="00C01863" w:rsidRDefault="00321DD0" w:rsidP="007F2378">
          <w:pPr>
            <w:spacing w:line="0" w:lineRule="atLeast"/>
            <w:rPr>
              <w:sz w:val="18"/>
            </w:rPr>
          </w:pPr>
        </w:p>
      </w:tc>
      <w:tc>
        <w:tcPr>
          <w:tcW w:w="6379" w:type="dxa"/>
          <w:tcBorders>
            <w:top w:val="nil"/>
            <w:left w:val="nil"/>
            <w:bottom w:val="nil"/>
            <w:right w:val="nil"/>
          </w:tcBorders>
          <w:shd w:val="clear" w:color="auto" w:fill="auto"/>
        </w:tcPr>
        <w:p w:rsidR="005C5C01" w:rsidRDefault="00321DD0" w:rsidP="00A02752">
          <w:pPr>
            <w:spacing w:line="0" w:lineRule="atLeast"/>
            <w:jc w:val="center"/>
            <w:rPr>
              <w:i/>
              <w:sz w:val="18"/>
            </w:rPr>
          </w:pPr>
          <w:r w:rsidRPr="007C5CE0">
            <w:rPr>
              <w:i/>
              <w:sz w:val="18"/>
            </w:rPr>
            <w:t>Statement of Principles concerning</w:t>
          </w:r>
        </w:p>
        <w:p w:rsidR="00321DD0" w:rsidRPr="007C5CE0" w:rsidRDefault="004B0DAC" w:rsidP="004B0DAC">
          <w:pPr>
            <w:spacing w:line="0" w:lineRule="atLeast"/>
            <w:jc w:val="center"/>
            <w:rPr>
              <w:sz w:val="18"/>
            </w:rPr>
          </w:pPr>
          <w:r w:rsidRPr="004B0DAC">
            <w:rPr>
              <w:i/>
              <w:sz w:val="18"/>
              <w:szCs w:val="18"/>
            </w:rPr>
            <w:t xml:space="preserve">Achilles </w:t>
          </w:r>
          <w:r>
            <w:rPr>
              <w:i/>
              <w:sz w:val="18"/>
              <w:szCs w:val="18"/>
            </w:rPr>
            <w:t>T</w:t>
          </w:r>
          <w:r w:rsidRPr="004B0DAC">
            <w:rPr>
              <w:i/>
              <w:sz w:val="18"/>
              <w:szCs w:val="18"/>
            </w:rPr>
            <w:t xml:space="preserve">endinopathy and </w:t>
          </w:r>
          <w:r>
            <w:rPr>
              <w:i/>
              <w:sz w:val="18"/>
              <w:szCs w:val="18"/>
            </w:rPr>
            <w:t>B</w:t>
          </w:r>
          <w:r w:rsidRPr="004B0DAC">
            <w:rPr>
              <w:i/>
              <w:sz w:val="18"/>
              <w:szCs w:val="18"/>
            </w:rPr>
            <w:t>ursitis</w:t>
          </w:r>
          <w:r w:rsidR="00321DD0" w:rsidRPr="007C5CE0">
            <w:rPr>
              <w:i/>
              <w:sz w:val="18"/>
            </w:rPr>
            <w:t xml:space="preserve"> </w:t>
          </w:r>
          <w:r w:rsidR="005C5C01">
            <w:rPr>
              <w:i/>
              <w:sz w:val="18"/>
            </w:rPr>
            <w:t>(Reasonable Hypothesis)</w:t>
          </w:r>
          <w:r w:rsidR="005C5C01" w:rsidRPr="007C5CE0">
            <w:rPr>
              <w:i/>
              <w:sz w:val="18"/>
            </w:rPr>
            <w:t xml:space="preserve"> </w:t>
          </w:r>
          <w:r w:rsidR="00321DD0" w:rsidRPr="007C5CE0">
            <w:rPr>
              <w:i/>
              <w:sz w:val="18"/>
            </w:rPr>
            <w:t xml:space="preserve">(No. </w:t>
          </w:r>
          <w:r w:rsidR="00321DD0" w:rsidRPr="007C5CE0">
            <w:rPr>
              <w:i/>
              <w:sz w:val="18"/>
              <w:szCs w:val="18"/>
            </w:rPr>
            <w:fldChar w:fldCharType="begin"/>
          </w:r>
          <w:r w:rsidR="00321DD0" w:rsidRPr="007C5CE0">
            <w:rPr>
              <w:i/>
              <w:sz w:val="18"/>
              <w:szCs w:val="18"/>
            </w:rPr>
            <w:instrText xml:space="preserve"> REF BP \* Charformat  \* MERGEFORMAT </w:instrText>
          </w:r>
          <w:r w:rsidR="00321DD0" w:rsidRPr="007C5CE0">
            <w:rPr>
              <w:i/>
              <w:sz w:val="18"/>
              <w:szCs w:val="18"/>
            </w:rPr>
            <w:fldChar w:fldCharType="separate"/>
          </w:r>
          <w:r w:rsidR="00B6771B" w:rsidRPr="00B6771B">
            <w:rPr>
              <w:i/>
              <w:sz w:val="18"/>
              <w:szCs w:val="18"/>
            </w:rPr>
            <w:t>96</w:t>
          </w:r>
          <w:r w:rsidR="00321DD0" w:rsidRPr="007C5CE0">
            <w:rPr>
              <w:i/>
              <w:sz w:val="18"/>
              <w:szCs w:val="18"/>
            </w:rPr>
            <w:fldChar w:fldCharType="end"/>
          </w:r>
          <w:r w:rsidR="00321DD0" w:rsidRPr="007C5CE0">
            <w:rPr>
              <w:i/>
              <w:sz w:val="18"/>
              <w:szCs w:val="18"/>
            </w:rPr>
            <w:t xml:space="preserve"> of </w:t>
          </w:r>
          <w:r w:rsidR="00321DD0" w:rsidRPr="007C5CE0">
            <w:rPr>
              <w:i/>
              <w:sz w:val="18"/>
              <w:szCs w:val="18"/>
            </w:rPr>
            <w:fldChar w:fldCharType="begin"/>
          </w:r>
          <w:r w:rsidR="00321DD0" w:rsidRPr="007C5CE0">
            <w:rPr>
              <w:i/>
              <w:sz w:val="18"/>
              <w:szCs w:val="18"/>
            </w:rPr>
            <w:instrText xml:space="preserve"> REF year \* Charformat \* MERGEFORMAT </w:instrText>
          </w:r>
          <w:r w:rsidR="00321DD0" w:rsidRPr="007C5CE0">
            <w:rPr>
              <w:i/>
              <w:sz w:val="18"/>
              <w:szCs w:val="18"/>
            </w:rPr>
            <w:fldChar w:fldCharType="separate"/>
          </w:r>
          <w:r w:rsidR="00B6771B" w:rsidRPr="00B6771B">
            <w:rPr>
              <w:i/>
              <w:sz w:val="18"/>
              <w:szCs w:val="18"/>
            </w:rPr>
            <w:t>2015</w:t>
          </w:r>
          <w:r w:rsidR="00321DD0" w:rsidRPr="007C5CE0">
            <w:rPr>
              <w:i/>
              <w:sz w:val="18"/>
              <w:szCs w:val="18"/>
            </w:rPr>
            <w:fldChar w:fldCharType="end"/>
          </w:r>
          <w:r w:rsidR="00321DD0" w:rsidRPr="007C5CE0">
            <w:rPr>
              <w:i/>
              <w:sz w:val="18"/>
              <w:szCs w:val="18"/>
            </w:rPr>
            <w:t>)</w:t>
          </w:r>
        </w:p>
      </w:tc>
      <w:tc>
        <w:tcPr>
          <w:tcW w:w="1384" w:type="dxa"/>
          <w:tcBorders>
            <w:top w:val="nil"/>
            <w:left w:val="nil"/>
            <w:bottom w:val="nil"/>
            <w:right w:val="nil"/>
          </w:tcBorders>
          <w:shd w:val="clear" w:color="auto" w:fill="auto"/>
        </w:tcPr>
        <w:p w:rsidR="00321DD0" w:rsidRPr="00C01863" w:rsidRDefault="00321DD0" w:rsidP="007F2378">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6771B">
            <w:rPr>
              <w:i/>
              <w:noProof/>
              <w:sz w:val="18"/>
            </w:rPr>
            <w:t>1</w:t>
          </w:r>
          <w:r w:rsidRPr="00C01863">
            <w:rPr>
              <w:i/>
              <w:sz w:val="18"/>
            </w:rPr>
            <w:fldChar w:fldCharType="end"/>
          </w:r>
        </w:p>
      </w:tc>
    </w:tr>
    <w:tr w:rsidR="00321DD0" w:rsidRPr="003F4535" w:rsidTr="00015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321DD0" w:rsidRPr="003F4535" w:rsidRDefault="00321DD0" w:rsidP="007F2378">
          <w:pPr>
            <w:jc w:val="center"/>
            <w:rPr>
              <w:b/>
              <w:sz w:val="24"/>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321DD0" w:rsidRDefault="00321DD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DD0" w:rsidRPr="00EF5531" w:rsidRDefault="00321DD0"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321DD0" w:rsidRPr="00C01863" w:rsidTr="0001587D">
      <w:tc>
        <w:tcPr>
          <w:tcW w:w="1384" w:type="dxa"/>
          <w:tcBorders>
            <w:top w:val="nil"/>
            <w:left w:val="nil"/>
            <w:bottom w:val="nil"/>
            <w:right w:val="nil"/>
          </w:tcBorders>
          <w:shd w:val="clear" w:color="auto" w:fill="auto"/>
        </w:tcPr>
        <w:p w:rsidR="00321DD0" w:rsidRPr="00C01863" w:rsidRDefault="00321DD0" w:rsidP="0008674F">
          <w:pPr>
            <w:spacing w:line="0" w:lineRule="atLeast"/>
            <w:rPr>
              <w:sz w:val="18"/>
            </w:rPr>
          </w:pPr>
        </w:p>
      </w:tc>
      <w:tc>
        <w:tcPr>
          <w:tcW w:w="6379" w:type="dxa"/>
          <w:tcBorders>
            <w:top w:val="nil"/>
            <w:left w:val="nil"/>
            <w:bottom w:val="nil"/>
            <w:right w:val="nil"/>
          </w:tcBorders>
          <w:shd w:val="clear" w:color="auto" w:fill="auto"/>
        </w:tcPr>
        <w:p w:rsidR="004B0DAC" w:rsidRDefault="00321DD0" w:rsidP="0008674F">
          <w:pPr>
            <w:spacing w:line="0" w:lineRule="atLeast"/>
            <w:jc w:val="center"/>
            <w:rPr>
              <w:i/>
              <w:sz w:val="18"/>
            </w:rPr>
          </w:pPr>
          <w:r w:rsidRPr="00E55F66">
            <w:rPr>
              <w:i/>
              <w:sz w:val="18"/>
            </w:rPr>
            <w:t>Statement of Principles concer</w:t>
          </w:r>
          <w:r>
            <w:rPr>
              <w:i/>
              <w:sz w:val="18"/>
            </w:rPr>
            <w:t>ning</w:t>
          </w:r>
        </w:p>
        <w:p w:rsidR="00321DD0" w:rsidRPr="00C01863" w:rsidRDefault="004B0DAC" w:rsidP="008B4E82">
          <w:pPr>
            <w:spacing w:line="0" w:lineRule="atLeast"/>
            <w:jc w:val="center"/>
            <w:rPr>
              <w:sz w:val="18"/>
            </w:rPr>
          </w:pPr>
          <w:r w:rsidRPr="004B0DAC">
            <w:rPr>
              <w:i/>
              <w:sz w:val="18"/>
              <w:szCs w:val="18"/>
            </w:rPr>
            <w:t xml:space="preserve">Achilles </w:t>
          </w:r>
          <w:r w:rsidR="008B4E82">
            <w:rPr>
              <w:i/>
              <w:sz w:val="18"/>
              <w:szCs w:val="18"/>
            </w:rPr>
            <w:t>T</w:t>
          </w:r>
          <w:r w:rsidRPr="004B0DAC">
            <w:rPr>
              <w:i/>
              <w:sz w:val="18"/>
              <w:szCs w:val="18"/>
            </w:rPr>
            <w:t xml:space="preserve">endinopathy and </w:t>
          </w:r>
          <w:r w:rsidR="008B4E82">
            <w:rPr>
              <w:i/>
              <w:sz w:val="18"/>
              <w:szCs w:val="18"/>
            </w:rPr>
            <w:t>B</w:t>
          </w:r>
          <w:r w:rsidRPr="004B0DAC">
            <w:rPr>
              <w:i/>
              <w:sz w:val="18"/>
              <w:szCs w:val="18"/>
            </w:rPr>
            <w:t>ursitis</w:t>
          </w:r>
          <w:r w:rsidR="00321DD0" w:rsidRPr="007F2378">
            <w:rPr>
              <w:i/>
              <w:sz w:val="18"/>
            </w:rPr>
            <w:t xml:space="preserve"> </w:t>
          </w:r>
          <w:r>
            <w:rPr>
              <w:i/>
              <w:sz w:val="18"/>
            </w:rPr>
            <w:t>(Reasonable Hypothesis)</w:t>
          </w:r>
          <w:r w:rsidRPr="007F2378">
            <w:rPr>
              <w:i/>
              <w:sz w:val="18"/>
            </w:rPr>
            <w:t xml:space="preserve"> </w:t>
          </w:r>
          <w:r w:rsidR="00321DD0" w:rsidRPr="007F2378">
            <w:rPr>
              <w:i/>
              <w:sz w:val="18"/>
            </w:rPr>
            <w:t xml:space="preserve">(No. </w:t>
          </w:r>
          <w:r w:rsidR="00321DD0" w:rsidRPr="007F2378">
            <w:rPr>
              <w:i/>
              <w:sz w:val="18"/>
              <w:szCs w:val="18"/>
            </w:rPr>
            <w:fldChar w:fldCharType="begin"/>
          </w:r>
          <w:r w:rsidR="00321DD0" w:rsidRPr="007F2378">
            <w:rPr>
              <w:i/>
              <w:sz w:val="18"/>
              <w:szCs w:val="18"/>
            </w:rPr>
            <w:instrText xml:space="preserve"> REF BP \* Charformat  \* MERGEFORMAT </w:instrText>
          </w:r>
          <w:r w:rsidR="00321DD0" w:rsidRPr="007F2378">
            <w:rPr>
              <w:i/>
              <w:sz w:val="18"/>
              <w:szCs w:val="18"/>
            </w:rPr>
            <w:fldChar w:fldCharType="separate"/>
          </w:r>
          <w:r w:rsidR="00B6771B" w:rsidRPr="00B6771B">
            <w:rPr>
              <w:i/>
              <w:sz w:val="18"/>
              <w:szCs w:val="18"/>
            </w:rPr>
            <w:t>96</w:t>
          </w:r>
          <w:r w:rsidR="00321DD0" w:rsidRPr="007F2378">
            <w:rPr>
              <w:i/>
              <w:sz w:val="18"/>
              <w:szCs w:val="18"/>
            </w:rPr>
            <w:fldChar w:fldCharType="end"/>
          </w:r>
          <w:r w:rsidR="00321DD0" w:rsidRPr="007F2378">
            <w:rPr>
              <w:i/>
              <w:sz w:val="18"/>
              <w:szCs w:val="18"/>
            </w:rPr>
            <w:t xml:space="preserve"> of </w:t>
          </w:r>
          <w:r w:rsidR="00321DD0" w:rsidRPr="007F2378">
            <w:rPr>
              <w:i/>
              <w:sz w:val="18"/>
              <w:szCs w:val="18"/>
            </w:rPr>
            <w:fldChar w:fldCharType="begin"/>
          </w:r>
          <w:r w:rsidR="00321DD0" w:rsidRPr="007F2378">
            <w:rPr>
              <w:i/>
              <w:sz w:val="18"/>
              <w:szCs w:val="18"/>
            </w:rPr>
            <w:instrText xml:space="preserve"> REF year \* Charformat \* MERGEFORMAT </w:instrText>
          </w:r>
          <w:r w:rsidR="00321DD0" w:rsidRPr="007F2378">
            <w:rPr>
              <w:i/>
              <w:sz w:val="18"/>
              <w:szCs w:val="18"/>
            </w:rPr>
            <w:fldChar w:fldCharType="separate"/>
          </w:r>
          <w:r w:rsidR="00B6771B" w:rsidRPr="00B6771B">
            <w:rPr>
              <w:i/>
              <w:sz w:val="18"/>
              <w:szCs w:val="18"/>
            </w:rPr>
            <w:t>2015</w:t>
          </w:r>
          <w:r w:rsidR="00321DD0" w:rsidRPr="007F2378">
            <w:rPr>
              <w:i/>
              <w:sz w:val="18"/>
              <w:szCs w:val="18"/>
            </w:rPr>
            <w:fldChar w:fldCharType="end"/>
          </w:r>
          <w:r w:rsidR="00321DD0" w:rsidRPr="007F2378">
            <w:rPr>
              <w:i/>
              <w:sz w:val="18"/>
              <w:szCs w:val="18"/>
            </w:rPr>
            <w:t>)</w:t>
          </w:r>
        </w:p>
      </w:tc>
      <w:tc>
        <w:tcPr>
          <w:tcW w:w="709" w:type="dxa"/>
          <w:tcBorders>
            <w:top w:val="nil"/>
            <w:left w:val="nil"/>
            <w:bottom w:val="nil"/>
            <w:right w:val="nil"/>
          </w:tcBorders>
          <w:shd w:val="clear" w:color="auto" w:fill="auto"/>
        </w:tcPr>
        <w:p w:rsidR="00321DD0" w:rsidRPr="00C01863" w:rsidRDefault="00321DD0" w:rsidP="0008674F">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6771B">
            <w:rPr>
              <w:i/>
              <w:noProof/>
              <w:sz w:val="18"/>
            </w:rPr>
            <w:t>8</w:t>
          </w:r>
          <w:r w:rsidRPr="00C01863">
            <w:rPr>
              <w:i/>
              <w:sz w:val="18"/>
            </w:rPr>
            <w:fldChar w:fldCharType="end"/>
          </w:r>
        </w:p>
      </w:tc>
    </w:tr>
    <w:tr w:rsidR="00321DD0" w:rsidRPr="003F4535" w:rsidTr="00015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321DD0" w:rsidRPr="005E7FC2" w:rsidRDefault="00321DD0" w:rsidP="0008674F">
          <w:pPr>
            <w:jc w:val="center"/>
            <w:rPr>
              <w:sz w:val="18"/>
              <w:szCs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321DD0" w:rsidRPr="00EF5531" w:rsidRDefault="00321DD0" w:rsidP="0008674F">
    <w:pPr>
      <w:rPr>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DD0" w:rsidRPr="00A41F52" w:rsidRDefault="00321DD0" w:rsidP="00CF2367">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321DD0" w:rsidRPr="00C01863" w:rsidTr="00C01863">
      <w:tc>
        <w:tcPr>
          <w:tcW w:w="1384" w:type="dxa"/>
          <w:tcBorders>
            <w:top w:val="nil"/>
            <w:left w:val="nil"/>
            <w:bottom w:val="nil"/>
            <w:right w:val="nil"/>
          </w:tcBorders>
          <w:shd w:val="clear" w:color="auto" w:fill="auto"/>
        </w:tcPr>
        <w:p w:rsidR="00321DD0" w:rsidRPr="00C01863" w:rsidRDefault="00321DD0" w:rsidP="00C01863">
          <w:pPr>
            <w:spacing w:line="0" w:lineRule="atLeast"/>
            <w:rPr>
              <w:sz w:val="18"/>
            </w:rPr>
          </w:pPr>
        </w:p>
      </w:tc>
      <w:tc>
        <w:tcPr>
          <w:tcW w:w="6379" w:type="dxa"/>
          <w:tcBorders>
            <w:top w:val="nil"/>
            <w:left w:val="nil"/>
            <w:bottom w:val="nil"/>
            <w:right w:val="nil"/>
          </w:tcBorders>
          <w:shd w:val="clear" w:color="auto" w:fill="auto"/>
        </w:tcPr>
        <w:p w:rsidR="004B0DAC" w:rsidRDefault="00321DD0" w:rsidP="00A02752">
          <w:pPr>
            <w:spacing w:line="0" w:lineRule="atLeast"/>
            <w:jc w:val="center"/>
            <w:rPr>
              <w:i/>
              <w:sz w:val="18"/>
            </w:rPr>
          </w:pPr>
          <w:r w:rsidRPr="00E55F66">
            <w:rPr>
              <w:i/>
              <w:sz w:val="18"/>
            </w:rPr>
            <w:t>Statement of Principles concer</w:t>
          </w:r>
          <w:r>
            <w:rPr>
              <w:i/>
              <w:sz w:val="18"/>
            </w:rPr>
            <w:t>ning</w:t>
          </w:r>
        </w:p>
        <w:p w:rsidR="00321DD0" w:rsidRPr="005E7FC2" w:rsidRDefault="004B0DAC" w:rsidP="008B4E82">
          <w:pPr>
            <w:spacing w:line="0" w:lineRule="atLeast"/>
            <w:jc w:val="center"/>
            <w:rPr>
              <w:i/>
              <w:sz w:val="18"/>
            </w:rPr>
          </w:pPr>
          <w:r w:rsidRPr="004B0DAC">
            <w:rPr>
              <w:i/>
              <w:sz w:val="18"/>
              <w:szCs w:val="18"/>
            </w:rPr>
            <w:t xml:space="preserve">Achilles </w:t>
          </w:r>
          <w:r w:rsidR="008B4E82">
            <w:rPr>
              <w:i/>
              <w:sz w:val="18"/>
              <w:szCs w:val="18"/>
            </w:rPr>
            <w:t>T</w:t>
          </w:r>
          <w:r w:rsidRPr="004B0DAC">
            <w:rPr>
              <w:i/>
              <w:sz w:val="18"/>
              <w:szCs w:val="18"/>
            </w:rPr>
            <w:t xml:space="preserve">endinopathy and </w:t>
          </w:r>
          <w:r w:rsidR="008B4E82">
            <w:rPr>
              <w:i/>
              <w:sz w:val="18"/>
              <w:szCs w:val="18"/>
            </w:rPr>
            <w:t>B</w:t>
          </w:r>
          <w:r w:rsidRPr="004B0DAC">
            <w:rPr>
              <w:i/>
              <w:sz w:val="18"/>
              <w:szCs w:val="18"/>
            </w:rPr>
            <w:t>ursitis</w:t>
          </w:r>
          <w:r w:rsidR="00321DD0">
            <w:rPr>
              <w:i/>
              <w:sz w:val="18"/>
              <w:szCs w:val="18"/>
            </w:rPr>
            <w:t xml:space="preserve"> </w:t>
          </w:r>
          <w:r>
            <w:rPr>
              <w:i/>
              <w:sz w:val="18"/>
            </w:rPr>
            <w:t xml:space="preserve">(Reasonable Hypothesis) </w:t>
          </w:r>
          <w:r w:rsidR="00321DD0">
            <w:rPr>
              <w:i/>
              <w:sz w:val="18"/>
            </w:rPr>
            <w:t xml:space="preserve">(No. </w:t>
          </w:r>
          <w:r w:rsidR="00321DD0" w:rsidRPr="007C5CE0">
            <w:rPr>
              <w:i/>
              <w:sz w:val="18"/>
              <w:szCs w:val="18"/>
            </w:rPr>
            <w:fldChar w:fldCharType="begin"/>
          </w:r>
          <w:r w:rsidR="00321DD0" w:rsidRPr="007C5CE0">
            <w:rPr>
              <w:i/>
              <w:sz w:val="18"/>
              <w:szCs w:val="18"/>
            </w:rPr>
            <w:instrText xml:space="preserve"> REF BP \* Charformat  \* MERGEFORMAT </w:instrText>
          </w:r>
          <w:r w:rsidR="00321DD0" w:rsidRPr="007C5CE0">
            <w:rPr>
              <w:i/>
              <w:sz w:val="18"/>
              <w:szCs w:val="18"/>
            </w:rPr>
            <w:fldChar w:fldCharType="separate"/>
          </w:r>
          <w:r w:rsidR="00B6771B" w:rsidRPr="00B6771B">
            <w:rPr>
              <w:i/>
              <w:sz w:val="18"/>
              <w:szCs w:val="18"/>
            </w:rPr>
            <w:t>96</w:t>
          </w:r>
          <w:r w:rsidR="00321DD0" w:rsidRPr="007C5CE0">
            <w:rPr>
              <w:i/>
              <w:sz w:val="18"/>
              <w:szCs w:val="18"/>
            </w:rPr>
            <w:fldChar w:fldCharType="end"/>
          </w:r>
          <w:r w:rsidR="00321DD0" w:rsidRPr="007C5CE0">
            <w:rPr>
              <w:i/>
              <w:sz w:val="18"/>
              <w:szCs w:val="18"/>
            </w:rPr>
            <w:t xml:space="preserve"> of </w:t>
          </w:r>
          <w:r w:rsidR="00321DD0" w:rsidRPr="007C5CE0">
            <w:rPr>
              <w:i/>
              <w:sz w:val="18"/>
              <w:szCs w:val="18"/>
            </w:rPr>
            <w:fldChar w:fldCharType="begin"/>
          </w:r>
          <w:r w:rsidR="00321DD0" w:rsidRPr="007C5CE0">
            <w:rPr>
              <w:i/>
              <w:sz w:val="18"/>
              <w:szCs w:val="18"/>
            </w:rPr>
            <w:instrText xml:space="preserve"> REF year \* Charformat \* MERGEFORMAT </w:instrText>
          </w:r>
          <w:r w:rsidR="00321DD0" w:rsidRPr="007C5CE0">
            <w:rPr>
              <w:i/>
              <w:sz w:val="18"/>
              <w:szCs w:val="18"/>
            </w:rPr>
            <w:fldChar w:fldCharType="separate"/>
          </w:r>
          <w:r w:rsidR="00B6771B" w:rsidRPr="00B6771B">
            <w:rPr>
              <w:i/>
              <w:sz w:val="18"/>
              <w:szCs w:val="18"/>
            </w:rPr>
            <w:t>2015</w:t>
          </w:r>
          <w:r w:rsidR="00321DD0" w:rsidRPr="007C5CE0">
            <w:rPr>
              <w:i/>
              <w:sz w:val="18"/>
              <w:szCs w:val="18"/>
            </w:rPr>
            <w:fldChar w:fldCharType="end"/>
          </w:r>
          <w:r w:rsidR="00321DD0" w:rsidRPr="00E55F66">
            <w:rPr>
              <w:i/>
              <w:sz w:val="18"/>
            </w:rPr>
            <w:t>)</w:t>
          </w:r>
          <w:r w:rsidR="00321DD0">
            <w:rPr>
              <w:i/>
              <w:sz w:val="18"/>
            </w:rPr>
            <w:t xml:space="preserve"> </w:t>
          </w:r>
        </w:p>
      </w:tc>
      <w:tc>
        <w:tcPr>
          <w:tcW w:w="709" w:type="dxa"/>
          <w:tcBorders>
            <w:top w:val="nil"/>
            <w:left w:val="nil"/>
            <w:bottom w:val="nil"/>
            <w:right w:val="nil"/>
          </w:tcBorders>
          <w:shd w:val="clear" w:color="auto" w:fill="auto"/>
        </w:tcPr>
        <w:p w:rsidR="00321DD0" w:rsidRPr="00C01863" w:rsidRDefault="00321DD0"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6771B">
            <w:rPr>
              <w:i/>
              <w:noProof/>
              <w:sz w:val="18"/>
            </w:rPr>
            <w:t>9</w:t>
          </w:r>
          <w:r w:rsidRPr="00C01863">
            <w:rPr>
              <w:i/>
              <w:sz w:val="18"/>
            </w:rPr>
            <w:fldChar w:fldCharType="end"/>
          </w:r>
        </w:p>
      </w:tc>
    </w:tr>
    <w:tr w:rsidR="00321DD0"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321DD0" w:rsidRPr="00C01863" w:rsidRDefault="00321DD0" w:rsidP="00DF6D11">
          <w:pPr>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D33542">
            <w:rPr>
              <w:i/>
              <w:sz w:val="18"/>
              <w:szCs w:val="18"/>
            </w:rPr>
            <w:t>1986</w:t>
          </w:r>
        </w:p>
      </w:tc>
    </w:tr>
  </w:tbl>
  <w:p w:rsidR="00321DD0" w:rsidRDefault="00321DD0" w:rsidP="00CF2367">
    <w:pPr>
      <w:rPr>
        <w:i/>
        <w:sz w:val="18"/>
      </w:rPr>
    </w:pPr>
  </w:p>
  <w:p w:rsidR="00321DD0" w:rsidRDefault="00321DD0" w:rsidP="00CF2367">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DD0" w:rsidRPr="00E33C1C" w:rsidRDefault="00321DD0" w:rsidP="00CF2367">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321DD0" w:rsidRPr="00C01863" w:rsidTr="00C01863">
      <w:tc>
        <w:tcPr>
          <w:tcW w:w="1384" w:type="dxa"/>
          <w:tcBorders>
            <w:top w:val="nil"/>
            <w:left w:val="nil"/>
            <w:bottom w:val="nil"/>
            <w:right w:val="nil"/>
          </w:tcBorders>
          <w:shd w:val="clear" w:color="auto" w:fill="auto"/>
        </w:tcPr>
        <w:p w:rsidR="00321DD0" w:rsidRPr="00C01863" w:rsidRDefault="00321DD0" w:rsidP="00C01863">
          <w:pPr>
            <w:spacing w:line="0" w:lineRule="atLeast"/>
            <w:rPr>
              <w:sz w:val="18"/>
            </w:rPr>
          </w:pPr>
        </w:p>
      </w:tc>
      <w:tc>
        <w:tcPr>
          <w:tcW w:w="6379" w:type="dxa"/>
          <w:tcBorders>
            <w:top w:val="nil"/>
            <w:left w:val="nil"/>
            <w:bottom w:val="nil"/>
            <w:right w:val="nil"/>
          </w:tcBorders>
          <w:shd w:val="clear" w:color="auto" w:fill="auto"/>
        </w:tcPr>
        <w:p w:rsidR="00321DD0" w:rsidRPr="00C01863" w:rsidRDefault="00321DD0"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B6771B">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321DD0" w:rsidRPr="00C01863" w:rsidRDefault="00321DD0"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Pr>
              <w:i/>
              <w:noProof/>
              <w:sz w:val="18"/>
            </w:rPr>
            <w:t>5</w:t>
          </w:r>
          <w:r w:rsidRPr="00C01863">
            <w:rPr>
              <w:i/>
              <w:sz w:val="18"/>
            </w:rPr>
            <w:fldChar w:fldCharType="end"/>
          </w:r>
        </w:p>
      </w:tc>
    </w:tr>
    <w:tr w:rsidR="00321DD0"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321DD0" w:rsidRPr="00C01863" w:rsidRDefault="00321DD0" w:rsidP="00CF2367">
          <w:pPr>
            <w:rPr>
              <w:sz w:val="18"/>
            </w:rPr>
          </w:pPr>
          <w:r w:rsidRPr="00C01863">
            <w:rPr>
              <w:i/>
              <w:noProof/>
              <w:sz w:val="18"/>
            </w:rPr>
            <w:t>I14KM212.v02.docx</w:t>
          </w:r>
          <w:r w:rsidRPr="00C01863">
            <w:rPr>
              <w:i/>
              <w:sz w:val="18"/>
            </w:rPr>
            <w:t xml:space="preserve"> </w:t>
          </w:r>
          <w:r w:rsidRPr="00C01863">
            <w:rPr>
              <w:i/>
              <w:noProof/>
              <w:sz w:val="18"/>
            </w:rPr>
            <w:t>4/12/2014 4:13 PM</w:t>
          </w:r>
        </w:p>
      </w:tc>
    </w:tr>
  </w:tbl>
  <w:p w:rsidR="00321DD0" w:rsidRPr="00ED79B6" w:rsidRDefault="00321DD0" w:rsidP="00CF2367">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DD0" w:rsidRPr="00ED79B6" w:rsidRDefault="00321DD0" w:rsidP="007500C8">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DD0" w:rsidRPr="00E33C1C" w:rsidRDefault="00321DD0" w:rsidP="00CF2367">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58240" behindDoc="1" locked="0" layoutInCell="1" allowOverlap="1" wp14:anchorId="59E5DA8F" wp14:editId="61FE9908">
              <wp:simplePos x="0" y="0"/>
              <wp:positionH relativeFrom="column">
                <wp:align>center</wp:align>
              </wp:positionH>
              <wp:positionV relativeFrom="page">
                <wp:posOffset>10079990</wp:posOffset>
              </wp:positionV>
              <wp:extent cx="4410075" cy="400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321DD0" w:rsidRPr="00284719" w:rsidRDefault="00321DD0"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B6771B">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E5DA8F" id="_x0000_t202" coordsize="21600,21600" o:spt="202" path="m,l,21600r21600,l21600,xe">
              <v:stroke joinstyle="miter"/>
              <v:path gradientshapeok="t" o:connecttype="rect"/>
            </v:shapetype>
            <v:shape id="Text Box 24" o:spid="_x0000_s1027" type="#_x0000_t202" style="position:absolute;margin-left:0;margin-top:793.7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35BwMAAMo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DCnRLEWOboVnSfnuiNQgZ+NcRPAbgyAvoMeeY6xOrPQ/N4BkjzD9Bcc0IGPrrJt+CJSgotI&#10;weOe9uCGQ5nnWZoejSjhOMvTNB3FvCRPt411/rPQLQlCQS3SGl/AHhbOB/9ssoMEZ07Lppw3UsaN&#10;XS0vpCUPDCUwj78QFa68gElFNgUdj4bhHQyVWEnmIbYG3Di1ooTJFUqcextdKx0cwFDvesZc3buI&#10;Vvu6snqtygipBSs/qZL4RwOCFVqBBnetKCmRAmaDFJGeNfI9SLxfquBdxCrvecCu8xCjHuzGCvwx&#10;zoZ5ej4cD+aHx0eDfJ6PBuOj9HiQZuPz8WGaj/PZ/GcIKssndVOWQi0aJXbdkOXvq7ZtX/Z1HPvh&#10;zwh9kY2QzX3SlpLx+7dyFlD/gfgXNMVKAuu7b2Q/9kPfAqEzfLfsYo9lIYqgWeryEe1kNaoZPeEM&#10;nzcIZsGcv2YWEwhKTFV/haWSGqWitxIltbbf39IHPFKFU9QWJhrK9tuaWVSa/KIwMsZZnocRGDf5&#10;6GiIjX1+snx+otbthUbHZPF1UQx4L3diZXV7h+E7DV5xxBSH74KiaXrxwvdzFsObi+k0gjD0DPML&#10;dWP4boqEJN52d8yabXd7sHmpd7OPTV41eY8NFa70dO111cQJ8MQqMhE2GJgxJ9vhHiby831EPf0F&#10;nf4C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Lv/3fkHAwAAygYAAA4AAAAAAAAAAAAAAAAALgIAAGRycy9lMm9Eb2Mu&#10;eG1sUEsBAi0AFAAGAAgAAAAhADwCUpLfAAAACgEAAA8AAAAAAAAAAAAAAAAAYQUAAGRycy9kb3du&#10;cmV2LnhtbFBLBQYAAAAABAAEAPMAAABtBgAAAAA=&#10;" stroked="f">
              <v:stroke joinstyle="round"/>
              <v:path arrowok="t"/>
              <v:textbox>
                <w:txbxContent>
                  <w:p w:rsidR="00321DD0" w:rsidRPr="00284719" w:rsidRDefault="00321DD0"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B6771B">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321DD0" w:rsidRPr="00C01863" w:rsidTr="00C01863">
      <w:tc>
        <w:tcPr>
          <w:tcW w:w="1384" w:type="dxa"/>
          <w:tcBorders>
            <w:top w:val="nil"/>
            <w:left w:val="nil"/>
            <w:bottom w:val="nil"/>
            <w:right w:val="nil"/>
          </w:tcBorders>
          <w:shd w:val="clear" w:color="auto" w:fill="auto"/>
        </w:tcPr>
        <w:p w:rsidR="00321DD0" w:rsidRPr="00C01863" w:rsidRDefault="00321DD0" w:rsidP="00C01863">
          <w:pPr>
            <w:spacing w:line="0" w:lineRule="atLeast"/>
            <w:rPr>
              <w:sz w:val="18"/>
            </w:rPr>
          </w:pPr>
        </w:p>
      </w:tc>
      <w:tc>
        <w:tcPr>
          <w:tcW w:w="6379" w:type="dxa"/>
          <w:tcBorders>
            <w:top w:val="nil"/>
            <w:left w:val="nil"/>
            <w:bottom w:val="nil"/>
            <w:right w:val="nil"/>
          </w:tcBorders>
          <w:shd w:val="clear" w:color="auto" w:fill="auto"/>
        </w:tcPr>
        <w:p w:rsidR="00321DD0" w:rsidRPr="00C01863" w:rsidRDefault="00321DD0"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B6771B">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321DD0" w:rsidRPr="00C01863" w:rsidRDefault="00321DD0"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Pr>
              <w:i/>
              <w:noProof/>
              <w:sz w:val="18"/>
            </w:rPr>
            <w:t>1</w:t>
          </w:r>
          <w:r w:rsidRPr="00C01863">
            <w:rPr>
              <w:i/>
              <w:sz w:val="18"/>
            </w:rPr>
            <w:fldChar w:fldCharType="end"/>
          </w:r>
        </w:p>
      </w:tc>
    </w:tr>
    <w:tr w:rsidR="00321DD0"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321DD0" w:rsidRPr="00C01863" w:rsidRDefault="00321DD0" w:rsidP="00CF2367">
          <w:pPr>
            <w:rPr>
              <w:sz w:val="18"/>
            </w:rPr>
          </w:pPr>
          <w:r w:rsidRPr="00C01863">
            <w:rPr>
              <w:i/>
              <w:noProof/>
              <w:sz w:val="18"/>
            </w:rPr>
            <w:t>I14KM212.v02.docx</w:t>
          </w:r>
          <w:r w:rsidRPr="00C01863">
            <w:rPr>
              <w:i/>
              <w:sz w:val="18"/>
            </w:rPr>
            <w:t xml:space="preserve"> </w:t>
          </w:r>
          <w:r w:rsidRPr="00C01863">
            <w:rPr>
              <w:i/>
              <w:noProof/>
              <w:sz w:val="18"/>
            </w:rPr>
            <w:t>4/12/2014 4:13 PM</w:t>
          </w:r>
        </w:p>
      </w:tc>
    </w:tr>
  </w:tbl>
  <w:p w:rsidR="00321DD0" w:rsidRPr="00ED79B6" w:rsidRDefault="00321DD0" w:rsidP="00472DBE">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DD0" w:rsidRPr="00E33C1C" w:rsidRDefault="00321DD0"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321DD0" w:rsidRPr="00C01863" w:rsidTr="00C01863">
      <w:tc>
        <w:tcPr>
          <w:tcW w:w="1384" w:type="dxa"/>
          <w:tcBorders>
            <w:top w:val="nil"/>
            <w:left w:val="nil"/>
            <w:bottom w:val="nil"/>
            <w:right w:val="nil"/>
          </w:tcBorders>
          <w:shd w:val="clear" w:color="auto" w:fill="auto"/>
        </w:tcPr>
        <w:p w:rsidR="00321DD0" w:rsidRPr="00C01863" w:rsidRDefault="00321DD0" w:rsidP="00C01863">
          <w:pPr>
            <w:spacing w:line="0" w:lineRule="atLeast"/>
            <w:rPr>
              <w:sz w:val="18"/>
            </w:rPr>
          </w:pPr>
        </w:p>
      </w:tc>
      <w:tc>
        <w:tcPr>
          <w:tcW w:w="6379" w:type="dxa"/>
          <w:tcBorders>
            <w:top w:val="nil"/>
            <w:left w:val="nil"/>
            <w:bottom w:val="nil"/>
            <w:right w:val="nil"/>
          </w:tcBorders>
          <w:shd w:val="clear" w:color="auto" w:fill="auto"/>
        </w:tcPr>
        <w:p w:rsidR="00321DD0" w:rsidRPr="00C01863" w:rsidRDefault="00321DD0"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B6771B">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321DD0" w:rsidRPr="00C01863" w:rsidRDefault="00321DD0"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Pr>
              <w:i/>
              <w:noProof/>
              <w:sz w:val="18"/>
            </w:rPr>
            <w:t>5</w:t>
          </w:r>
          <w:r w:rsidRPr="00C01863">
            <w:rPr>
              <w:i/>
              <w:sz w:val="18"/>
            </w:rPr>
            <w:fldChar w:fldCharType="end"/>
          </w:r>
        </w:p>
      </w:tc>
    </w:tr>
    <w:tr w:rsidR="00321DD0"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321DD0" w:rsidRPr="00C01863" w:rsidRDefault="00321DD0" w:rsidP="00CF2367">
          <w:pPr>
            <w:rPr>
              <w:sz w:val="18"/>
            </w:rPr>
          </w:pPr>
          <w:r w:rsidRPr="00C01863">
            <w:rPr>
              <w:i/>
              <w:noProof/>
              <w:sz w:val="18"/>
            </w:rPr>
            <w:t>I14KM212.v02.docx</w:t>
          </w:r>
          <w:r w:rsidRPr="00C01863">
            <w:rPr>
              <w:i/>
              <w:sz w:val="18"/>
            </w:rPr>
            <w:t xml:space="preserve"> </w:t>
          </w:r>
          <w:r w:rsidRPr="00C01863">
            <w:rPr>
              <w:i/>
              <w:noProof/>
              <w:sz w:val="18"/>
            </w:rPr>
            <w:t>4/12/2014 4:13 PM</w:t>
          </w:r>
        </w:p>
      </w:tc>
    </w:tr>
  </w:tbl>
  <w:p w:rsidR="00321DD0" w:rsidRPr="00ED79B6" w:rsidRDefault="00321DD0"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DD0" w:rsidRDefault="00321DD0" w:rsidP="00715914">
      <w:pPr>
        <w:spacing w:line="240" w:lineRule="auto"/>
      </w:pPr>
      <w:r>
        <w:separator/>
      </w:r>
    </w:p>
  </w:footnote>
  <w:footnote w:type="continuationSeparator" w:id="0">
    <w:p w:rsidR="00321DD0" w:rsidRDefault="00321DD0"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DD0" w:rsidRDefault="00321DD0">
    <w:pPr>
      <w:rPr>
        <w:sz w:val="20"/>
      </w:rPr>
    </w:pPr>
    <w:r>
      <w:rPr>
        <w:b/>
        <w:sz w:val="20"/>
      </w:rPr>
      <w:fldChar w:fldCharType="begin"/>
    </w:r>
    <w:r>
      <w:rPr>
        <w:b/>
        <w:sz w:val="20"/>
      </w:rPr>
      <w:instrText xml:space="preserve"> STYLEREF CharAmSchNo </w:instrText>
    </w:r>
    <w:r>
      <w:rPr>
        <w:b/>
        <w:sz w:val="20"/>
      </w:rPr>
      <w:fldChar w:fldCharType="separate"/>
    </w:r>
    <w:r w:rsidR="00B6771B">
      <w:rPr>
        <w:b/>
        <w:noProof/>
        <w:sz w:val="20"/>
      </w:rPr>
      <w:t>Schedule 1</w:t>
    </w:r>
    <w:r>
      <w:rPr>
        <w:b/>
        <w:sz w:val="20"/>
      </w:rPr>
      <w:fldChar w:fldCharType="end"/>
    </w:r>
    <w:r>
      <w:rPr>
        <w:sz w:val="20"/>
      </w:rPr>
      <w:t xml:space="preserve"> - </w:t>
    </w:r>
    <w:r>
      <w:rPr>
        <w:sz w:val="20"/>
      </w:rPr>
      <w:fldChar w:fldCharType="begin"/>
    </w:r>
    <w:r>
      <w:rPr>
        <w:sz w:val="20"/>
      </w:rPr>
      <w:instrText xml:space="preserve"> STYLEREF CharAmSchText </w:instrText>
    </w:r>
    <w:r>
      <w:rPr>
        <w:sz w:val="20"/>
      </w:rPr>
      <w:fldChar w:fldCharType="separate"/>
    </w:r>
    <w:r w:rsidR="00B6771B">
      <w:rPr>
        <w:noProof/>
        <w:sz w:val="20"/>
      </w:rPr>
      <w:t>Dictionary</w:t>
    </w:r>
    <w:r>
      <w:rPr>
        <w:sz w:val="20"/>
      </w:rPr>
      <w:fldChar w:fldCharType="end"/>
    </w:r>
  </w:p>
  <w:p w:rsidR="00321DD0" w:rsidRDefault="00321DD0">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rsidR="00321DD0" w:rsidRDefault="00321DD0" w:rsidP="00CF2367">
    <w:pPr>
      <w:pBdr>
        <w:bottom w:val="single" w:sz="6" w:space="1" w:color="auto"/>
      </w:pBdr>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DD0" w:rsidRDefault="00321DD0" w:rsidP="0053697E">
    <w:pPr>
      <w:rPr>
        <w:sz w:val="20"/>
      </w:rPr>
    </w:pPr>
    <w:r>
      <w:rPr>
        <w:b/>
        <w:sz w:val="20"/>
      </w:rPr>
      <w:fldChar w:fldCharType="begin"/>
    </w:r>
    <w:r>
      <w:rPr>
        <w:b/>
        <w:sz w:val="20"/>
      </w:rPr>
      <w:instrText xml:space="preserve"> STYLEREF CharAmSchNo </w:instrText>
    </w:r>
    <w:r>
      <w:rPr>
        <w:b/>
        <w:sz w:val="20"/>
      </w:rPr>
      <w:fldChar w:fldCharType="separate"/>
    </w:r>
    <w:r w:rsidR="00B6771B">
      <w:rPr>
        <w:b/>
        <w:noProof/>
        <w:sz w:val="20"/>
      </w:rPr>
      <w:t>Schedule 1</w:t>
    </w:r>
    <w:r>
      <w:rPr>
        <w:b/>
        <w:sz w:val="20"/>
      </w:rPr>
      <w:fldChar w:fldCharType="end"/>
    </w:r>
    <w:r>
      <w:rPr>
        <w:sz w:val="20"/>
      </w:rPr>
      <w:t xml:space="preserve"> - </w:t>
    </w:r>
    <w:r>
      <w:rPr>
        <w:sz w:val="20"/>
      </w:rPr>
      <w:fldChar w:fldCharType="begin"/>
    </w:r>
    <w:r>
      <w:rPr>
        <w:sz w:val="20"/>
      </w:rPr>
      <w:instrText xml:space="preserve"> STYLEREF CharAmSchText </w:instrText>
    </w:r>
    <w:r>
      <w:rPr>
        <w:sz w:val="20"/>
      </w:rPr>
      <w:fldChar w:fldCharType="separate"/>
    </w:r>
    <w:r w:rsidR="00B6771B">
      <w:rPr>
        <w:noProof/>
        <w:sz w:val="20"/>
      </w:rPr>
      <w:t>Dictionary</w:t>
    </w:r>
    <w:r>
      <w:rPr>
        <w:sz w:val="20"/>
      </w:rPr>
      <w:fldChar w:fldCharType="end"/>
    </w:r>
  </w:p>
  <w:p w:rsidR="00321DD0" w:rsidRDefault="00321DD0" w:rsidP="0053697E">
    <w:pPr>
      <w:rPr>
        <w:b/>
        <w:sz w:val="20"/>
      </w:rPr>
    </w:pPr>
    <w:r>
      <w:rPr>
        <w:sz w:val="20"/>
      </w:rPr>
      <w:fldChar w:fldCharType="begin"/>
    </w:r>
    <w:r>
      <w:rPr>
        <w:sz w:val="20"/>
      </w:rPr>
      <w:instrText xml:space="preserve"> STYLEREF CharAmPartText </w:instrText>
    </w:r>
    <w:r>
      <w:rPr>
        <w:sz w:val="20"/>
      </w:rPr>
      <w:fldChar w:fldCharType="end"/>
    </w:r>
    <w:r>
      <w:rPr>
        <w:b/>
        <w:sz w:val="20"/>
      </w:rPr>
      <w:fldChar w:fldCharType="begin"/>
    </w:r>
    <w:r>
      <w:rPr>
        <w:b/>
        <w:sz w:val="20"/>
      </w:rPr>
      <w:instrText xml:space="preserve"> STYLEREF CharAmPartNo </w:instrText>
    </w:r>
    <w:r>
      <w:rPr>
        <w:b/>
        <w:sz w:val="20"/>
      </w:rPr>
      <w:fldChar w:fldCharType="end"/>
    </w:r>
  </w:p>
  <w:p w:rsidR="00321DD0" w:rsidRDefault="00321DD0" w:rsidP="0053697E">
    <w:pP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DD0" w:rsidRDefault="00321DD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DD0" w:rsidRPr="007A1328" w:rsidRDefault="00321DD0" w:rsidP="00CF2367">
    <w:pPr>
      <w:pBdr>
        <w:bottom w:val="single" w:sz="6" w:space="1" w:color="auto"/>
      </w:pBdr>
      <w:spacing w:after="120"/>
      <w:rPr>
        <w:sz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DD0" w:rsidRPr="007A1328" w:rsidRDefault="00321DD0" w:rsidP="00715914">
    <w:pPr>
      <w:jc w:val="right"/>
      <w:rPr>
        <w:sz w:val="20"/>
      </w:rPr>
    </w:pPr>
    <w:r>
      <w:rPr>
        <w:noProof/>
        <w:lang w:eastAsia="en-AU"/>
      </w:rPr>
      <mc:AlternateContent>
        <mc:Choice Requires="wps">
          <w:drawing>
            <wp:anchor distT="0" distB="0" distL="114300" distR="114300" simplePos="0" relativeHeight="251656192" behindDoc="1" locked="0" layoutInCell="1" allowOverlap="1" wp14:anchorId="12DFF128" wp14:editId="34334467">
              <wp:simplePos x="0" y="0"/>
              <wp:positionH relativeFrom="column">
                <wp:align>center</wp:align>
              </wp:positionH>
              <wp:positionV relativeFrom="page">
                <wp:posOffset>143510</wp:posOffset>
              </wp:positionV>
              <wp:extent cx="4410075" cy="40005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321DD0" w:rsidRPr="00284719" w:rsidRDefault="00321DD0"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B6771B">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DFF128" id="_x0000_t202" coordsize="21600,21600" o:spt="202" path="m,l,21600r21600,l21600,xe">
              <v:stroke joinstyle="miter"/>
              <v:path gradientshapeok="t" o:connecttype="rect"/>
            </v:shapetype>
            <v:shape id="Text Box 18" o:spid="_x0000_s1026" type="#_x0000_t202" style="position:absolute;left:0;text-align:left;margin-left:0;margin-top:11.3pt;width:347.25pt;height:3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YaAwMAAMMGAAAOAAAAZHJzL2Uyb0RvYy54bWzEVclu2zAQvRfoPxC8O5IMOY6MOEGWuihg&#10;JAGSImeaoiwhFMmStK206L/3kbKdpTmkRYH6QM2QjzOcN4uPT7tWkrWwrtFqSrODlBKhuC4btZzS&#10;r3ezwRElzjNVMqmVmNJH4ejpyccPxxszEUNda1kKS2BEucnGTGntvZkkieO1aJk70EYoHFbatsxD&#10;tcuktGwD661Mhml6mGy0LY3VXDiH3cv+kJ5E+1UluL+uKic8kVOKt/m42rguwpqcHLPJ0jJTN3z7&#10;DPYXr2hZo+B0b+qSeUZWtvnNVNtwq52u/AHXbaKrquEixoBosvRVNLc1MyLGAnKc2dPk/p1ZfrW+&#10;saQpkTtkSrEWOboTnSfnuiPYAj8b4yaA3RoAfYd9YGOszsw1f3CAJM8w/QUHdOCjq2wbvoiU4CJS&#10;8LinPbjh2MzzLE3HI0o4zvI0TUcxL8nTbWOd/yx0S4IwpRZpjS9g67nzwT+b7CDBmdOyKWeNlFGx&#10;y8WFtGTNUAKz+AtR4coLmFRkM6XFaBjewVCJlWQeYmvAjVNLSphcosS5t9G10sEBDPWuL5mrexfR&#10;al9XVq9UGSG1YOUnVRL/aECwQivQ4K4VJSVSwGyQItKzRr4HifdLFbyLWOU9D9A6DzHug91YgT+K&#10;bJin58NiMDs8Gg/yWT4aFOP0aJBmxXlxmOZFfjn7GYLK8kndlKVQ80aJXTdk+fuqbduXfR3Hfvgz&#10;Ql9kI2Rzn7SFZPzhrZwF1H8g/gVNsZLA+u4b2Y/90LdA6AzfLTokN4gLXT6ij6xGGaMZnOGzBlHM&#10;mfM3zGL0YBPj1F9jqaRGjeitREmt7fe39gMeOcIpigqjDPX6bcUsSkx+UZgVRZbnYfZFJR+Nh1Ds&#10;85PF8xO1ai80WiWLr4tiwHu5Eyur23tM3bPgFUdMcfieUnRLL174fsBianNxdhZBmHaG+bm6NXw3&#10;PkL27rp7Zs22rT1ovNK7occmr7q7x4bSVvps5XXVxNZ/YhUpCAomZUzGdqqHUfxcj6in/56TX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MRpWGgMDAADDBgAADgAAAAAAAAAAAAAAAAAuAgAAZHJzL2Uyb0RvYy54bWxQSwEC&#10;LQAUAAYACAAAACEA5grfutwAAAAGAQAADwAAAAAAAAAAAAAAAABdBQAAZHJzL2Rvd25yZXYueG1s&#10;UEsFBgAAAAAEAAQA8wAAAGYGAAAAAA==&#10;" stroked="f">
              <v:stroke joinstyle="round"/>
              <v:path arrowok="t"/>
              <v:textbox>
                <w:txbxContent>
                  <w:p w:rsidR="00321DD0" w:rsidRPr="00284719" w:rsidRDefault="00321DD0"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B6771B">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Pr="007A1328">
      <w:rPr>
        <w:sz w:val="20"/>
      </w:rPr>
      <w:fldChar w:fldCharType="begin"/>
    </w:r>
    <w:r w:rsidRPr="007A1328">
      <w:rPr>
        <w:sz w:val="20"/>
      </w:rPr>
      <w:instrText xml:space="preserve"> STYLEREF CharChapText </w:instrText>
    </w:r>
    <w:r w:rsidRPr="007A1328">
      <w:rPr>
        <w:sz w:val="20"/>
      </w:rPr>
      <w:fldChar w:fldCharType="separate"/>
    </w:r>
    <w:r w:rsidR="00B6771B">
      <w:rPr>
        <w:noProof/>
        <w:sz w:val="20"/>
      </w:rPr>
      <w:cr/>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321DD0" w:rsidRPr="007A1328" w:rsidRDefault="00321DD0"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B6771B">
      <w:rPr>
        <w:b/>
        <w:bCs/>
        <w:noProof/>
        <w:sz w:val="20"/>
        <w:lang w:val="en-US"/>
      </w:rPr>
      <w:t>Error! Use the Home tab to apply CharPartText to the text that you want to appear here.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B6771B">
      <w:rPr>
        <w:bCs/>
        <w:noProof/>
        <w:sz w:val="20"/>
        <w:lang w:val="en-US"/>
      </w:rPr>
      <w:t>Error! Use the Home tab to apply CharPartNo to the text that you want to appear here.</w:t>
    </w:r>
    <w:r>
      <w:rPr>
        <w:b/>
        <w:sz w:val="20"/>
      </w:rPr>
      <w:fldChar w:fldCharType="end"/>
    </w:r>
  </w:p>
  <w:p w:rsidR="00321DD0" w:rsidRPr="007A1328" w:rsidRDefault="00321DD0"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B6771B">
      <w:rPr>
        <w:b/>
        <w:bCs/>
        <w:noProof/>
        <w:sz w:val="20"/>
        <w:lang w:val="en-US"/>
      </w:rPr>
      <w:t>Error! Use the Home tab to apply CharDivText to the text that you want to appear here.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B6771B">
      <w:rPr>
        <w:bCs/>
        <w:noProof/>
        <w:sz w:val="20"/>
        <w:lang w:val="en-US"/>
      </w:rPr>
      <w:t>Error! Use the Home tab to apply CharDivNo to the text that you want to appear here.</w:t>
    </w:r>
    <w:r>
      <w:rPr>
        <w:b/>
        <w:sz w:val="20"/>
      </w:rPr>
      <w:fldChar w:fldCharType="end"/>
    </w:r>
  </w:p>
  <w:p w:rsidR="00321DD0" w:rsidRPr="007A1328" w:rsidRDefault="00321DD0" w:rsidP="00715914">
    <w:pPr>
      <w:jc w:val="right"/>
      <w:rPr>
        <w:b/>
        <w:sz w:val="24"/>
      </w:rPr>
    </w:pPr>
  </w:p>
  <w:p w:rsidR="00321DD0" w:rsidRPr="007A1328" w:rsidRDefault="00321DD0" w:rsidP="00CF236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B6771B">
      <w:rPr>
        <w:b/>
        <w:bCs/>
        <w:sz w:val="24"/>
        <w:lang w:val="en-US"/>
      </w:rPr>
      <w:t>Error! Unknown document property name.</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6771B">
      <w:rPr>
        <w:b/>
        <w:bCs/>
        <w:noProof/>
        <w:sz w:val="24"/>
        <w:lang w:val="en-US"/>
      </w:rPr>
      <w:t>Error! Use the Home tab to apply CharSectno to the text that you want to appear here.</w:t>
    </w:r>
    <w:r w:rsidRPr="007A1328">
      <w:rPr>
        <w:sz w:val="24"/>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DD0" w:rsidRPr="007A1328" w:rsidRDefault="00321DD0"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D032AEF6"/>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0F7208E6"/>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490E6070"/>
    <w:multiLevelType w:val="singleLevel"/>
    <w:tmpl w:val="544A35C6"/>
    <w:lvl w:ilvl="0">
      <w:start w:val="1"/>
      <w:numFmt w:val="lowerLetter"/>
      <w:lvlText w:val="(%1)"/>
      <w:lvlJc w:val="left"/>
      <w:pPr>
        <w:tabs>
          <w:tab w:val="num" w:pos="1440"/>
        </w:tabs>
        <w:ind w:left="1440" w:hanging="720"/>
      </w:pPr>
      <w:rPr>
        <w:rFont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5"/>
  </w:num>
  <w:num w:numId="21">
    <w:abstractNumId w:val="13"/>
  </w:num>
  <w:num w:numId="22">
    <w:abstractNumId w:val="10"/>
  </w:num>
  <w:num w:numId="23">
    <w:abstractNumId w:val="10"/>
  </w:num>
  <w:num w:numId="2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evenAndOddHeaders/>
  <w:drawingGridHorizontalSpacing w:val="110"/>
  <w:displayHorizontalDrawingGridEvery w:val="2"/>
  <w:characterSpacingControl w:val="doNotCompress"/>
  <w:hdrShapeDefaults>
    <o:shapedefaults v:ext="edit" spidmax="164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3D7"/>
    <w:rsid w:val="000007B8"/>
    <w:rsid w:val="00004470"/>
    <w:rsid w:val="000136AF"/>
    <w:rsid w:val="0001587D"/>
    <w:rsid w:val="00024911"/>
    <w:rsid w:val="00032E05"/>
    <w:rsid w:val="000437C1"/>
    <w:rsid w:val="00046E67"/>
    <w:rsid w:val="00047651"/>
    <w:rsid w:val="00051B75"/>
    <w:rsid w:val="000523E4"/>
    <w:rsid w:val="0005365D"/>
    <w:rsid w:val="00054930"/>
    <w:rsid w:val="000614BF"/>
    <w:rsid w:val="00061E3E"/>
    <w:rsid w:val="00063892"/>
    <w:rsid w:val="00065632"/>
    <w:rsid w:val="00081B7C"/>
    <w:rsid w:val="00085567"/>
    <w:rsid w:val="0008674F"/>
    <w:rsid w:val="0009687C"/>
    <w:rsid w:val="00097FDF"/>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32CEB"/>
    <w:rsid w:val="00142B62"/>
    <w:rsid w:val="0015201F"/>
    <w:rsid w:val="00154DCA"/>
    <w:rsid w:val="00157B8B"/>
    <w:rsid w:val="00161A8E"/>
    <w:rsid w:val="001648F7"/>
    <w:rsid w:val="00166C2F"/>
    <w:rsid w:val="001809D7"/>
    <w:rsid w:val="001833C8"/>
    <w:rsid w:val="00187DE1"/>
    <w:rsid w:val="0019084F"/>
    <w:rsid w:val="001939E1"/>
    <w:rsid w:val="00194C3E"/>
    <w:rsid w:val="00195382"/>
    <w:rsid w:val="001B0F26"/>
    <w:rsid w:val="001C2AD2"/>
    <w:rsid w:val="001C61C5"/>
    <w:rsid w:val="001C69C4"/>
    <w:rsid w:val="001C77EE"/>
    <w:rsid w:val="001D37EF"/>
    <w:rsid w:val="001D407A"/>
    <w:rsid w:val="001D67F6"/>
    <w:rsid w:val="001E3590"/>
    <w:rsid w:val="001E7407"/>
    <w:rsid w:val="001E7ACA"/>
    <w:rsid w:val="001F4BD4"/>
    <w:rsid w:val="001F5D5E"/>
    <w:rsid w:val="001F6219"/>
    <w:rsid w:val="001F6CD4"/>
    <w:rsid w:val="00206C4D"/>
    <w:rsid w:val="002077D6"/>
    <w:rsid w:val="0021053C"/>
    <w:rsid w:val="00214488"/>
    <w:rsid w:val="00215860"/>
    <w:rsid w:val="00215AF1"/>
    <w:rsid w:val="00223E2C"/>
    <w:rsid w:val="00225CBD"/>
    <w:rsid w:val="00226ECC"/>
    <w:rsid w:val="002321E8"/>
    <w:rsid w:val="00236EEC"/>
    <w:rsid w:val="00237471"/>
    <w:rsid w:val="00237BAF"/>
    <w:rsid w:val="0024010F"/>
    <w:rsid w:val="00240749"/>
    <w:rsid w:val="00243018"/>
    <w:rsid w:val="002564A4"/>
    <w:rsid w:val="00262848"/>
    <w:rsid w:val="002650E6"/>
    <w:rsid w:val="0026736C"/>
    <w:rsid w:val="002716E4"/>
    <w:rsid w:val="002717B2"/>
    <w:rsid w:val="002773D7"/>
    <w:rsid w:val="00281308"/>
    <w:rsid w:val="00284719"/>
    <w:rsid w:val="00294043"/>
    <w:rsid w:val="00297ECB"/>
    <w:rsid w:val="002A1ECC"/>
    <w:rsid w:val="002A3436"/>
    <w:rsid w:val="002A7BCF"/>
    <w:rsid w:val="002B1A73"/>
    <w:rsid w:val="002B45FA"/>
    <w:rsid w:val="002B5188"/>
    <w:rsid w:val="002B5A43"/>
    <w:rsid w:val="002C2A28"/>
    <w:rsid w:val="002C7539"/>
    <w:rsid w:val="002D043A"/>
    <w:rsid w:val="002D2AA2"/>
    <w:rsid w:val="002D6224"/>
    <w:rsid w:val="002E3F4B"/>
    <w:rsid w:val="002F5948"/>
    <w:rsid w:val="003004CD"/>
    <w:rsid w:val="00301C54"/>
    <w:rsid w:val="00304F8B"/>
    <w:rsid w:val="003166F5"/>
    <w:rsid w:val="00321DD0"/>
    <w:rsid w:val="00323BE3"/>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B403B"/>
    <w:rsid w:val="003C445A"/>
    <w:rsid w:val="003C4C02"/>
    <w:rsid w:val="003C6231"/>
    <w:rsid w:val="003D0BFE"/>
    <w:rsid w:val="003D55EC"/>
    <w:rsid w:val="003D5700"/>
    <w:rsid w:val="003E341B"/>
    <w:rsid w:val="003F39C0"/>
    <w:rsid w:val="003F4535"/>
    <w:rsid w:val="0040729E"/>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13F5"/>
    <w:rsid w:val="004834A1"/>
    <w:rsid w:val="004840A6"/>
    <w:rsid w:val="004916B9"/>
    <w:rsid w:val="00496F97"/>
    <w:rsid w:val="004A4764"/>
    <w:rsid w:val="004A5E4B"/>
    <w:rsid w:val="004B0DAC"/>
    <w:rsid w:val="004C0C17"/>
    <w:rsid w:val="004C6AE8"/>
    <w:rsid w:val="004C6D55"/>
    <w:rsid w:val="004D10CF"/>
    <w:rsid w:val="004D4BCA"/>
    <w:rsid w:val="004E063A"/>
    <w:rsid w:val="004E7BEC"/>
    <w:rsid w:val="004F23E0"/>
    <w:rsid w:val="004F572B"/>
    <w:rsid w:val="00505D3D"/>
    <w:rsid w:val="00506AF6"/>
    <w:rsid w:val="00513D05"/>
    <w:rsid w:val="00516768"/>
    <w:rsid w:val="00516B8D"/>
    <w:rsid w:val="0052305B"/>
    <w:rsid w:val="005268CF"/>
    <w:rsid w:val="0053697E"/>
    <w:rsid w:val="00537FBC"/>
    <w:rsid w:val="00545116"/>
    <w:rsid w:val="00547ADA"/>
    <w:rsid w:val="005574D1"/>
    <w:rsid w:val="00575A90"/>
    <w:rsid w:val="00584811"/>
    <w:rsid w:val="0058491F"/>
    <w:rsid w:val="00585784"/>
    <w:rsid w:val="00593AA6"/>
    <w:rsid w:val="00594161"/>
    <w:rsid w:val="00594749"/>
    <w:rsid w:val="005B05D3"/>
    <w:rsid w:val="005B2AF4"/>
    <w:rsid w:val="005B4067"/>
    <w:rsid w:val="005C212F"/>
    <w:rsid w:val="005C3F41"/>
    <w:rsid w:val="005C5C01"/>
    <w:rsid w:val="005D2D09"/>
    <w:rsid w:val="005E7FC2"/>
    <w:rsid w:val="005F6FDB"/>
    <w:rsid w:val="00600219"/>
    <w:rsid w:val="006013B7"/>
    <w:rsid w:val="00603D01"/>
    <w:rsid w:val="00603DC4"/>
    <w:rsid w:val="00611D12"/>
    <w:rsid w:val="00615B89"/>
    <w:rsid w:val="00616FF5"/>
    <w:rsid w:val="00617C4E"/>
    <w:rsid w:val="00620076"/>
    <w:rsid w:val="006332C6"/>
    <w:rsid w:val="006420AB"/>
    <w:rsid w:val="0066266D"/>
    <w:rsid w:val="006647B7"/>
    <w:rsid w:val="00667A4E"/>
    <w:rsid w:val="00670EA1"/>
    <w:rsid w:val="00677CC2"/>
    <w:rsid w:val="006840B0"/>
    <w:rsid w:val="00684C0E"/>
    <w:rsid w:val="006905DE"/>
    <w:rsid w:val="0069207B"/>
    <w:rsid w:val="00695023"/>
    <w:rsid w:val="006B5789"/>
    <w:rsid w:val="006B7D78"/>
    <w:rsid w:val="006C30C5"/>
    <w:rsid w:val="006C4E18"/>
    <w:rsid w:val="006C7F8C"/>
    <w:rsid w:val="006D6CB3"/>
    <w:rsid w:val="006E212F"/>
    <w:rsid w:val="006E6246"/>
    <w:rsid w:val="006F318F"/>
    <w:rsid w:val="006F4226"/>
    <w:rsid w:val="006F513D"/>
    <w:rsid w:val="0070017E"/>
    <w:rsid w:val="00700B2C"/>
    <w:rsid w:val="00702C42"/>
    <w:rsid w:val="00704703"/>
    <w:rsid w:val="007050A2"/>
    <w:rsid w:val="00713084"/>
    <w:rsid w:val="007142FB"/>
    <w:rsid w:val="00714F20"/>
    <w:rsid w:val="0071590F"/>
    <w:rsid w:val="00715914"/>
    <w:rsid w:val="00731E00"/>
    <w:rsid w:val="00733269"/>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76551"/>
    <w:rsid w:val="00781B24"/>
    <w:rsid w:val="007822C0"/>
    <w:rsid w:val="00782F4E"/>
    <w:rsid w:val="00783E89"/>
    <w:rsid w:val="007904DB"/>
    <w:rsid w:val="00793915"/>
    <w:rsid w:val="0079657C"/>
    <w:rsid w:val="007A15B1"/>
    <w:rsid w:val="007B132E"/>
    <w:rsid w:val="007B706C"/>
    <w:rsid w:val="007C2253"/>
    <w:rsid w:val="007C5CE0"/>
    <w:rsid w:val="007C7DEE"/>
    <w:rsid w:val="007D3BA2"/>
    <w:rsid w:val="007E163D"/>
    <w:rsid w:val="007E3A9D"/>
    <w:rsid w:val="007E667A"/>
    <w:rsid w:val="007E7626"/>
    <w:rsid w:val="007F2378"/>
    <w:rsid w:val="007F28C9"/>
    <w:rsid w:val="007F6020"/>
    <w:rsid w:val="00803587"/>
    <w:rsid w:val="00806368"/>
    <w:rsid w:val="008117E9"/>
    <w:rsid w:val="00816F6C"/>
    <w:rsid w:val="00824498"/>
    <w:rsid w:val="00831C11"/>
    <w:rsid w:val="008321ED"/>
    <w:rsid w:val="00832C32"/>
    <w:rsid w:val="00832DFF"/>
    <w:rsid w:val="008448C5"/>
    <w:rsid w:val="00850A63"/>
    <w:rsid w:val="00855DE4"/>
    <w:rsid w:val="00856A31"/>
    <w:rsid w:val="0086644D"/>
    <w:rsid w:val="00867ABD"/>
    <w:rsid w:val="00867B37"/>
    <w:rsid w:val="00873081"/>
    <w:rsid w:val="008754D0"/>
    <w:rsid w:val="00877AE3"/>
    <w:rsid w:val="008855C9"/>
    <w:rsid w:val="00885EAB"/>
    <w:rsid w:val="00886456"/>
    <w:rsid w:val="008A46E1"/>
    <w:rsid w:val="008A4F43"/>
    <w:rsid w:val="008A77A4"/>
    <w:rsid w:val="008B2204"/>
    <w:rsid w:val="008B2706"/>
    <w:rsid w:val="008B4E82"/>
    <w:rsid w:val="008D0EE0"/>
    <w:rsid w:val="008D16D3"/>
    <w:rsid w:val="008D182B"/>
    <w:rsid w:val="008D1B8B"/>
    <w:rsid w:val="008E4A16"/>
    <w:rsid w:val="008E6067"/>
    <w:rsid w:val="008E76DC"/>
    <w:rsid w:val="008F48EC"/>
    <w:rsid w:val="008F54E7"/>
    <w:rsid w:val="008F572A"/>
    <w:rsid w:val="00903422"/>
    <w:rsid w:val="00904761"/>
    <w:rsid w:val="00912B55"/>
    <w:rsid w:val="00915DF9"/>
    <w:rsid w:val="009254C3"/>
    <w:rsid w:val="00932377"/>
    <w:rsid w:val="00941E8F"/>
    <w:rsid w:val="00947D5A"/>
    <w:rsid w:val="00951BB4"/>
    <w:rsid w:val="009532A5"/>
    <w:rsid w:val="00956922"/>
    <w:rsid w:val="009612CF"/>
    <w:rsid w:val="00973808"/>
    <w:rsid w:val="00982242"/>
    <w:rsid w:val="009868E9"/>
    <w:rsid w:val="009B5A4E"/>
    <w:rsid w:val="009C2B65"/>
    <w:rsid w:val="009C404D"/>
    <w:rsid w:val="009E5CFC"/>
    <w:rsid w:val="00A02752"/>
    <w:rsid w:val="00A02C11"/>
    <w:rsid w:val="00A079CB"/>
    <w:rsid w:val="00A10D3F"/>
    <w:rsid w:val="00A11C0D"/>
    <w:rsid w:val="00A12128"/>
    <w:rsid w:val="00A137F8"/>
    <w:rsid w:val="00A20CA1"/>
    <w:rsid w:val="00A22C98"/>
    <w:rsid w:val="00A231E2"/>
    <w:rsid w:val="00A37576"/>
    <w:rsid w:val="00A515BC"/>
    <w:rsid w:val="00A545B3"/>
    <w:rsid w:val="00A56C3D"/>
    <w:rsid w:val="00A6070D"/>
    <w:rsid w:val="00A64912"/>
    <w:rsid w:val="00A70A74"/>
    <w:rsid w:val="00A77A64"/>
    <w:rsid w:val="00AA64D6"/>
    <w:rsid w:val="00AA6D8B"/>
    <w:rsid w:val="00AB7D8E"/>
    <w:rsid w:val="00AD2DC7"/>
    <w:rsid w:val="00AD5641"/>
    <w:rsid w:val="00AD7889"/>
    <w:rsid w:val="00AD7AC2"/>
    <w:rsid w:val="00AD7DCC"/>
    <w:rsid w:val="00AF021B"/>
    <w:rsid w:val="00AF06CF"/>
    <w:rsid w:val="00B05CF4"/>
    <w:rsid w:val="00B07CDB"/>
    <w:rsid w:val="00B1182D"/>
    <w:rsid w:val="00B11D73"/>
    <w:rsid w:val="00B166C8"/>
    <w:rsid w:val="00B16A31"/>
    <w:rsid w:val="00B177FE"/>
    <w:rsid w:val="00B17DFD"/>
    <w:rsid w:val="00B24368"/>
    <w:rsid w:val="00B308FE"/>
    <w:rsid w:val="00B33709"/>
    <w:rsid w:val="00B33B3C"/>
    <w:rsid w:val="00B34546"/>
    <w:rsid w:val="00B50ADC"/>
    <w:rsid w:val="00B527C0"/>
    <w:rsid w:val="00B566B1"/>
    <w:rsid w:val="00B60706"/>
    <w:rsid w:val="00B63834"/>
    <w:rsid w:val="00B664A3"/>
    <w:rsid w:val="00B6771B"/>
    <w:rsid w:val="00B72475"/>
    <w:rsid w:val="00B72734"/>
    <w:rsid w:val="00B72A5E"/>
    <w:rsid w:val="00B80199"/>
    <w:rsid w:val="00B83204"/>
    <w:rsid w:val="00B833B0"/>
    <w:rsid w:val="00B90372"/>
    <w:rsid w:val="00B90B8D"/>
    <w:rsid w:val="00B92A80"/>
    <w:rsid w:val="00BA220B"/>
    <w:rsid w:val="00BA3A57"/>
    <w:rsid w:val="00BA691F"/>
    <w:rsid w:val="00BB4E1A"/>
    <w:rsid w:val="00BC015E"/>
    <w:rsid w:val="00BC76AC"/>
    <w:rsid w:val="00BD0ECB"/>
    <w:rsid w:val="00BD3334"/>
    <w:rsid w:val="00BD5C93"/>
    <w:rsid w:val="00BE2155"/>
    <w:rsid w:val="00BE2213"/>
    <w:rsid w:val="00BE719A"/>
    <w:rsid w:val="00BE720A"/>
    <w:rsid w:val="00BF0D73"/>
    <w:rsid w:val="00BF2465"/>
    <w:rsid w:val="00BF43B4"/>
    <w:rsid w:val="00BF525F"/>
    <w:rsid w:val="00BF676B"/>
    <w:rsid w:val="00C01863"/>
    <w:rsid w:val="00C11D03"/>
    <w:rsid w:val="00C12CCE"/>
    <w:rsid w:val="00C21EE9"/>
    <w:rsid w:val="00C25E7F"/>
    <w:rsid w:val="00C2746F"/>
    <w:rsid w:val="00C324A0"/>
    <w:rsid w:val="00C3300F"/>
    <w:rsid w:val="00C42BF8"/>
    <w:rsid w:val="00C50043"/>
    <w:rsid w:val="00C55FC5"/>
    <w:rsid w:val="00C5731E"/>
    <w:rsid w:val="00C57820"/>
    <w:rsid w:val="00C66597"/>
    <w:rsid w:val="00C738B9"/>
    <w:rsid w:val="00C7573B"/>
    <w:rsid w:val="00C77046"/>
    <w:rsid w:val="00C93C03"/>
    <w:rsid w:val="00C96667"/>
    <w:rsid w:val="00C9794D"/>
    <w:rsid w:val="00CA61BB"/>
    <w:rsid w:val="00CA7414"/>
    <w:rsid w:val="00CB1DCB"/>
    <w:rsid w:val="00CB2C8E"/>
    <w:rsid w:val="00CB602E"/>
    <w:rsid w:val="00CC0B12"/>
    <w:rsid w:val="00CC7039"/>
    <w:rsid w:val="00CD7B88"/>
    <w:rsid w:val="00CE051D"/>
    <w:rsid w:val="00CE1335"/>
    <w:rsid w:val="00CE493D"/>
    <w:rsid w:val="00CE6BD3"/>
    <w:rsid w:val="00CF07FA"/>
    <w:rsid w:val="00CF0BB2"/>
    <w:rsid w:val="00CF2367"/>
    <w:rsid w:val="00CF3EE8"/>
    <w:rsid w:val="00D050E6"/>
    <w:rsid w:val="00D13441"/>
    <w:rsid w:val="00D144D6"/>
    <w:rsid w:val="00D150E7"/>
    <w:rsid w:val="00D15F9F"/>
    <w:rsid w:val="00D16A6B"/>
    <w:rsid w:val="00D27E7F"/>
    <w:rsid w:val="00D32F65"/>
    <w:rsid w:val="00D32F71"/>
    <w:rsid w:val="00D33542"/>
    <w:rsid w:val="00D33883"/>
    <w:rsid w:val="00D377E3"/>
    <w:rsid w:val="00D40672"/>
    <w:rsid w:val="00D50484"/>
    <w:rsid w:val="00D527C9"/>
    <w:rsid w:val="00D52DC2"/>
    <w:rsid w:val="00D53BCC"/>
    <w:rsid w:val="00D5599D"/>
    <w:rsid w:val="00D5620B"/>
    <w:rsid w:val="00D60FC8"/>
    <w:rsid w:val="00D70DFB"/>
    <w:rsid w:val="00D71633"/>
    <w:rsid w:val="00D766DF"/>
    <w:rsid w:val="00D83D00"/>
    <w:rsid w:val="00D93DA9"/>
    <w:rsid w:val="00D96383"/>
    <w:rsid w:val="00D97BB3"/>
    <w:rsid w:val="00DA0AD3"/>
    <w:rsid w:val="00DA186E"/>
    <w:rsid w:val="00DA4116"/>
    <w:rsid w:val="00DA7817"/>
    <w:rsid w:val="00DA7AC0"/>
    <w:rsid w:val="00DB251C"/>
    <w:rsid w:val="00DB4630"/>
    <w:rsid w:val="00DC4F88"/>
    <w:rsid w:val="00DD0175"/>
    <w:rsid w:val="00DD2B43"/>
    <w:rsid w:val="00DD31AB"/>
    <w:rsid w:val="00DE0026"/>
    <w:rsid w:val="00DE599C"/>
    <w:rsid w:val="00DE59B7"/>
    <w:rsid w:val="00DF24DC"/>
    <w:rsid w:val="00DF5291"/>
    <w:rsid w:val="00DF6CE3"/>
    <w:rsid w:val="00DF6D11"/>
    <w:rsid w:val="00E01818"/>
    <w:rsid w:val="00E05704"/>
    <w:rsid w:val="00E0571D"/>
    <w:rsid w:val="00E11E44"/>
    <w:rsid w:val="00E3270E"/>
    <w:rsid w:val="00E338EF"/>
    <w:rsid w:val="00E35C4E"/>
    <w:rsid w:val="00E544BB"/>
    <w:rsid w:val="00E55F66"/>
    <w:rsid w:val="00E64EE4"/>
    <w:rsid w:val="00E662CB"/>
    <w:rsid w:val="00E74DC7"/>
    <w:rsid w:val="00E8075A"/>
    <w:rsid w:val="00E92D94"/>
    <w:rsid w:val="00E9347E"/>
    <w:rsid w:val="00E93E6F"/>
    <w:rsid w:val="00E94D5E"/>
    <w:rsid w:val="00EA5BE3"/>
    <w:rsid w:val="00EA7100"/>
    <w:rsid w:val="00EA7F9F"/>
    <w:rsid w:val="00EB1274"/>
    <w:rsid w:val="00EB2BC4"/>
    <w:rsid w:val="00EC5E80"/>
    <w:rsid w:val="00ED2BB6"/>
    <w:rsid w:val="00ED34E1"/>
    <w:rsid w:val="00ED3B8D"/>
    <w:rsid w:val="00ED4913"/>
    <w:rsid w:val="00ED501C"/>
    <w:rsid w:val="00EF2E3A"/>
    <w:rsid w:val="00F02383"/>
    <w:rsid w:val="00F03C06"/>
    <w:rsid w:val="00F072A7"/>
    <w:rsid w:val="00F078DC"/>
    <w:rsid w:val="00F32BA8"/>
    <w:rsid w:val="00F349F1"/>
    <w:rsid w:val="00F4350D"/>
    <w:rsid w:val="00F4549D"/>
    <w:rsid w:val="00F567F7"/>
    <w:rsid w:val="00F60417"/>
    <w:rsid w:val="00F62036"/>
    <w:rsid w:val="00F65B52"/>
    <w:rsid w:val="00F67B67"/>
    <w:rsid w:val="00F67BCA"/>
    <w:rsid w:val="00F737EA"/>
    <w:rsid w:val="00F73BD6"/>
    <w:rsid w:val="00F82847"/>
    <w:rsid w:val="00F83989"/>
    <w:rsid w:val="00F83D85"/>
    <w:rsid w:val="00F85099"/>
    <w:rsid w:val="00F85D9E"/>
    <w:rsid w:val="00F9379C"/>
    <w:rsid w:val="00F93F1B"/>
    <w:rsid w:val="00F956BA"/>
    <w:rsid w:val="00F9632C"/>
    <w:rsid w:val="00F977B4"/>
    <w:rsid w:val="00F97A62"/>
    <w:rsid w:val="00FA0587"/>
    <w:rsid w:val="00FA1E52"/>
    <w:rsid w:val="00FA33FB"/>
    <w:rsid w:val="00FB3EF0"/>
    <w:rsid w:val="00FB533A"/>
    <w:rsid w:val="00FC624D"/>
    <w:rsid w:val="00FD0628"/>
    <w:rsid w:val="00FD07DF"/>
    <w:rsid w:val="00FE4688"/>
    <w:rsid w:val="00FF7405"/>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4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2717B2"/>
    <w:pPr>
      <w:numPr>
        <w:ilvl w:val="1"/>
        <w:numId w:val="4"/>
      </w:numPr>
    </w:pPr>
  </w:style>
  <w:style w:type="paragraph" w:customStyle="1" w:styleId="LV3">
    <w:name w:val="LV 3"/>
    <w:basedOn w:val="PlainIndent"/>
    <w:autoRedefine/>
    <w:qFormat/>
    <w:rsid w:val="00DA7AC0"/>
    <w:pPr>
      <w:numPr>
        <w:ilvl w:val="2"/>
        <w:numId w:val="4"/>
      </w:numPr>
      <w:contextualSpacing/>
    </w:pPr>
  </w:style>
  <w:style w:type="paragraph" w:customStyle="1" w:styleId="LV4">
    <w:name w:val="LV 4"/>
    <w:basedOn w:val="PlainIndent"/>
    <w:autoRedefine/>
    <w:qFormat/>
    <w:rsid w:val="00FB533A"/>
    <w:pPr>
      <w:numPr>
        <w:ilvl w:val="3"/>
        <w:numId w:val="4"/>
      </w:numPr>
      <w:ind w:left="2608"/>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DA0AD3"/>
    <w:pPr>
      <w:numPr>
        <w:ilvl w:val="2"/>
        <w:numId w:val="5"/>
      </w:numPr>
      <w:spacing w:before="100" w:after="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FD0628"/>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DA0AD3"/>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styleId="BodyText2">
    <w:name w:val="Body Text 2"/>
    <w:basedOn w:val="Normal"/>
    <w:link w:val="BodyText2Char"/>
    <w:rsid w:val="00B34546"/>
    <w:pPr>
      <w:spacing w:line="240" w:lineRule="auto"/>
      <w:jc w:val="both"/>
    </w:pPr>
    <w:rPr>
      <w:rFonts w:eastAsia="Times New Roman"/>
      <w:sz w:val="24"/>
      <w:lang w:eastAsia="en-AU"/>
    </w:rPr>
  </w:style>
  <w:style w:type="character" w:customStyle="1" w:styleId="BodyText2Char">
    <w:name w:val="Body Text 2 Char"/>
    <w:basedOn w:val="DefaultParagraphFont"/>
    <w:link w:val="BodyText2"/>
    <w:rsid w:val="00B34546"/>
    <w:rPr>
      <w:rFonts w:eastAsia="Times New Roman"/>
      <w:sz w:val="24"/>
    </w:rPr>
  </w:style>
  <w:style w:type="paragraph" w:styleId="FootnoteText">
    <w:name w:val="footnote text"/>
    <w:basedOn w:val="Normal"/>
    <w:link w:val="FootnoteTextChar"/>
    <w:semiHidden/>
    <w:rsid w:val="00B34546"/>
    <w:pPr>
      <w:spacing w:line="240" w:lineRule="auto"/>
    </w:pPr>
    <w:rPr>
      <w:rFonts w:eastAsia="Times New Roman"/>
      <w:sz w:val="20"/>
      <w:lang w:eastAsia="en-AU"/>
    </w:rPr>
  </w:style>
  <w:style w:type="character" w:customStyle="1" w:styleId="FootnoteTextChar">
    <w:name w:val="Footnote Text Char"/>
    <w:basedOn w:val="DefaultParagraphFont"/>
    <w:link w:val="FootnoteText"/>
    <w:semiHidden/>
    <w:rsid w:val="00B34546"/>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1889</Words>
  <Characters>10773</Characters>
  <Application>Microsoft Office Word</Application>
  <DocSecurity>0</DocSecurity>
  <PresentationFormat/>
  <Lines>89</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12637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2015-08-18T05:04:00Z</dcterms:created>
  <dcterms:modified xsi:type="dcterms:W3CDTF">2015-08-24T01:02:00Z</dcterms:modified>
  <dc:language/>
  <cp:version/>
</cp:coreProperties>
</file>