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B0" w:rsidRDefault="007B509C">
      <w:pPr>
        <w:pStyle w:val="sop"/>
        <w:spacing w:before="0" w:after="0"/>
        <w:ind w:left="0"/>
        <w:rPr>
          <w:rFonts w:ascii="Arial" w:hAnsi="Arial"/>
        </w:rPr>
      </w:pPr>
      <w:r>
        <w:rPr>
          <w:noProof/>
          <w:lang w:val="en-AU"/>
        </w:rPr>
        <w:drawing>
          <wp:inline distT="0" distB="0" distL="0" distR="0">
            <wp:extent cx="1757045" cy="93853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CF12B0" w:rsidRDefault="00CF12B0">
      <w:pPr>
        <w:pStyle w:val="sop"/>
        <w:ind w:left="0"/>
        <w:rPr>
          <w:rFonts w:ascii="Arial" w:hAnsi="Arial"/>
        </w:rPr>
      </w:pPr>
    </w:p>
    <w:p w:rsidR="00CF12B0" w:rsidRDefault="00B81F9F">
      <w:pPr>
        <w:ind w:left="0"/>
        <w:jc w:val="center"/>
        <w:outlineLvl w:val="0"/>
        <w:rPr>
          <w:rFonts w:ascii="Arial" w:hAnsi="Arial"/>
          <w:sz w:val="40"/>
        </w:rPr>
      </w:pPr>
      <w:r>
        <w:rPr>
          <w:rFonts w:ascii="Arial" w:hAnsi="Arial"/>
          <w:sz w:val="40"/>
        </w:rPr>
        <w:t>Statement of Principles</w:t>
      </w:r>
    </w:p>
    <w:p w:rsidR="00CF12B0" w:rsidRDefault="00B81F9F">
      <w:pPr>
        <w:ind w:left="0"/>
        <w:jc w:val="center"/>
        <w:outlineLvl w:val="0"/>
        <w:rPr>
          <w:rFonts w:ascii="Arial" w:hAnsi="Arial"/>
          <w:sz w:val="28"/>
        </w:rPr>
      </w:pPr>
      <w:r>
        <w:rPr>
          <w:rFonts w:ascii="Arial" w:hAnsi="Arial"/>
          <w:sz w:val="28"/>
        </w:rPr>
        <w:t>concerning</w:t>
      </w:r>
    </w:p>
    <w:p w:rsidR="00CF12B0" w:rsidRDefault="00CF12B0">
      <w:pPr>
        <w:ind w:left="0"/>
        <w:jc w:val="center"/>
        <w:rPr>
          <w:rFonts w:ascii="Arial" w:hAnsi="Arial"/>
          <w:sz w:val="28"/>
        </w:rPr>
      </w:pPr>
    </w:p>
    <w:p w:rsidR="00CF12B0" w:rsidRDefault="00731B44">
      <w:pPr>
        <w:ind w:left="0"/>
        <w:jc w:val="center"/>
        <w:outlineLvl w:val="0"/>
        <w:rPr>
          <w:rFonts w:ascii="Arial" w:hAnsi="Arial"/>
          <w:b/>
          <w:sz w:val="40"/>
        </w:rPr>
      </w:pPr>
      <w:r>
        <w:rPr>
          <w:rFonts w:ascii="Arial" w:hAnsi="Arial"/>
          <w:b/>
          <w:sz w:val="40"/>
        </w:rPr>
        <w:t>HERPES ZOSTER</w:t>
      </w:r>
    </w:p>
    <w:p w:rsidR="00CF12B0" w:rsidRDefault="00B81F9F">
      <w:pPr>
        <w:spacing w:before="240"/>
        <w:ind w:left="0"/>
        <w:jc w:val="center"/>
        <w:outlineLvl w:val="0"/>
        <w:rPr>
          <w:rFonts w:ascii="Arial" w:hAnsi="Arial"/>
          <w:b/>
          <w:sz w:val="40"/>
        </w:rPr>
      </w:pPr>
      <w:r>
        <w:rPr>
          <w:rFonts w:ascii="Arial" w:hAnsi="Arial"/>
          <w:b/>
          <w:sz w:val="40"/>
        </w:rPr>
        <w:t xml:space="preserve">No. </w:t>
      </w:r>
      <w:r w:rsidR="00C35272">
        <w:rPr>
          <w:rFonts w:ascii="Arial" w:hAnsi="Arial"/>
          <w:b/>
          <w:sz w:val="40"/>
        </w:rPr>
        <w:t>48</w:t>
      </w:r>
      <w:r>
        <w:rPr>
          <w:rFonts w:ascii="Arial" w:hAnsi="Arial"/>
          <w:b/>
          <w:sz w:val="40"/>
        </w:rPr>
        <w:t xml:space="preserve"> of </w:t>
      </w:r>
      <w:r w:rsidR="00731B44">
        <w:rPr>
          <w:rFonts w:ascii="Arial" w:hAnsi="Arial"/>
          <w:b/>
          <w:sz w:val="40"/>
        </w:rPr>
        <w:t>2015</w:t>
      </w:r>
    </w:p>
    <w:p w:rsidR="00CF12B0" w:rsidRDefault="00CF12B0">
      <w:pPr>
        <w:ind w:left="0"/>
        <w:jc w:val="center"/>
        <w:rPr>
          <w:rFonts w:ascii="Arial" w:hAnsi="Arial"/>
          <w:b/>
          <w:sz w:val="24"/>
        </w:rPr>
      </w:pPr>
    </w:p>
    <w:p w:rsidR="00CF12B0" w:rsidRDefault="00B81F9F">
      <w:pPr>
        <w:ind w:left="0"/>
        <w:jc w:val="center"/>
        <w:rPr>
          <w:rFonts w:ascii="Arial" w:hAnsi="Arial"/>
          <w:sz w:val="28"/>
        </w:rPr>
      </w:pPr>
      <w:r>
        <w:rPr>
          <w:rFonts w:ascii="Arial" w:hAnsi="Arial"/>
          <w:sz w:val="28"/>
        </w:rPr>
        <w:t>for the purposes of the</w:t>
      </w:r>
    </w:p>
    <w:p w:rsidR="00CF12B0" w:rsidRDefault="00CF12B0">
      <w:pPr>
        <w:ind w:left="0"/>
        <w:jc w:val="center"/>
        <w:rPr>
          <w:rFonts w:ascii="Arial" w:hAnsi="Arial"/>
          <w:b/>
          <w:sz w:val="24"/>
        </w:rPr>
      </w:pPr>
    </w:p>
    <w:p w:rsidR="00CF12B0" w:rsidRDefault="00B81F9F">
      <w:pPr>
        <w:ind w:left="0"/>
        <w:jc w:val="center"/>
        <w:outlineLvl w:val="0"/>
        <w:rPr>
          <w:rFonts w:ascii="Arial" w:hAnsi="Arial"/>
          <w:i/>
          <w:sz w:val="32"/>
        </w:rPr>
      </w:pPr>
      <w:r>
        <w:rPr>
          <w:rFonts w:ascii="Arial" w:hAnsi="Arial"/>
          <w:i/>
          <w:sz w:val="32"/>
        </w:rPr>
        <w:t>Veterans’ Entitlements Act 1986</w:t>
      </w:r>
    </w:p>
    <w:p w:rsidR="00CF12B0" w:rsidRDefault="00B81F9F">
      <w:pPr>
        <w:ind w:left="0"/>
        <w:jc w:val="center"/>
        <w:rPr>
          <w:rFonts w:ascii="Arial" w:hAnsi="Arial"/>
          <w:sz w:val="28"/>
        </w:rPr>
      </w:pPr>
      <w:r>
        <w:rPr>
          <w:rFonts w:ascii="Arial" w:hAnsi="Arial"/>
          <w:sz w:val="28"/>
        </w:rPr>
        <w:t>and</w:t>
      </w:r>
    </w:p>
    <w:p w:rsidR="00CF12B0" w:rsidRDefault="00B81F9F">
      <w:pPr>
        <w:ind w:left="0"/>
        <w:jc w:val="center"/>
        <w:rPr>
          <w:rFonts w:ascii="Arial" w:hAnsi="Arial"/>
          <w:sz w:val="32"/>
        </w:rPr>
      </w:pPr>
      <w:r>
        <w:rPr>
          <w:rFonts w:ascii="Arial" w:hAnsi="Arial"/>
          <w:i/>
          <w:sz w:val="32"/>
        </w:rPr>
        <w:t>Military Rehabilitation and Compensation Act 2004</w:t>
      </w:r>
    </w:p>
    <w:p w:rsidR="00CF12B0" w:rsidRDefault="00B81F9F">
      <w:pPr>
        <w:pStyle w:val="clauseheading"/>
      </w:pPr>
      <w:r>
        <w:t>Title</w:t>
      </w:r>
    </w:p>
    <w:p w:rsidR="00CF12B0" w:rsidRDefault="00B81F9F">
      <w:pPr>
        <w:ind w:hanging="720"/>
        <w:rPr>
          <w:sz w:val="24"/>
          <w:szCs w:val="24"/>
        </w:rPr>
      </w:pPr>
      <w:r>
        <w:rPr>
          <w:b/>
          <w:sz w:val="24"/>
          <w:szCs w:val="24"/>
        </w:rPr>
        <w:t>1.</w:t>
      </w:r>
      <w:r>
        <w:rPr>
          <w:sz w:val="24"/>
          <w:szCs w:val="24"/>
        </w:rPr>
        <w:tab/>
        <w:t xml:space="preserve">This Instrument may be cited as Statement of Principles concerning </w:t>
      </w:r>
      <w:r w:rsidR="00731B44">
        <w:rPr>
          <w:sz w:val="24"/>
          <w:szCs w:val="24"/>
        </w:rPr>
        <w:t>herpes zoster</w:t>
      </w:r>
      <w:r>
        <w:rPr>
          <w:sz w:val="24"/>
          <w:szCs w:val="24"/>
        </w:rPr>
        <w:t xml:space="preserve"> No. </w:t>
      </w:r>
      <w:r w:rsidR="00C35272">
        <w:rPr>
          <w:sz w:val="24"/>
          <w:szCs w:val="24"/>
        </w:rPr>
        <w:t>48</w:t>
      </w:r>
      <w:r>
        <w:rPr>
          <w:sz w:val="24"/>
          <w:szCs w:val="24"/>
        </w:rPr>
        <w:t xml:space="preserve"> of </w:t>
      </w:r>
      <w:r w:rsidR="00731B44">
        <w:rPr>
          <w:sz w:val="24"/>
          <w:szCs w:val="24"/>
        </w:rPr>
        <w:t>2015</w:t>
      </w:r>
      <w:r>
        <w:rPr>
          <w:sz w:val="24"/>
          <w:szCs w:val="24"/>
        </w:rPr>
        <w:t>.</w:t>
      </w:r>
    </w:p>
    <w:p w:rsidR="00CF12B0" w:rsidRDefault="00B81F9F">
      <w:pPr>
        <w:pStyle w:val="clauseheading"/>
      </w:pPr>
      <w:r>
        <w:t>Determination</w:t>
      </w:r>
    </w:p>
    <w:p w:rsidR="00CF12B0" w:rsidRDefault="00B81F9F">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CF12B0" w:rsidRDefault="00B81F9F">
      <w:pPr>
        <w:pStyle w:val="BodyTextIndent"/>
        <w:spacing w:after="120"/>
        <w:rPr>
          <w:sz w:val="24"/>
          <w:szCs w:val="24"/>
        </w:rPr>
      </w:pPr>
      <w:r>
        <w:rPr>
          <w:sz w:val="24"/>
          <w:szCs w:val="24"/>
        </w:rPr>
        <w:t>(a)</w:t>
      </w:r>
      <w:r>
        <w:rPr>
          <w:sz w:val="24"/>
          <w:szCs w:val="24"/>
        </w:rPr>
        <w:tab/>
        <w:t xml:space="preserve">revokes Instrument No. </w:t>
      </w:r>
      <w:r w:rsidR="00633A05">
        <w:rPr>
          <w:sz w:val="24"/>
          <w:szCs w:val="24"/>
        </w:rPr>
        <w:t>28</w:t>
      </w:r>
      <w:r>
        <w:rPr>
          <w:sz w:val="24"/>
          <w:szCs w:val="24"/>
        </w:rPr>
        <w:t xml:space="preserve"> of </w:t>
      </w:r>
      <w:r w:rsidR="00633A05">
        <w:rPr>
          <w:sz w:val="24"/>
          <w:szCs w:val="24"/>
        </w:rPr>
        <w:t>2007</w:t>
      </w:r>
      <w:r>
        <w:rPr>
          <w:sz w:val="24"/>
          <w:szCs w:val="24"/>
        </w:rPr>
        <w:t xml:space="preserve"> concerning </w:t>
      </w:r>
      <w:r w:rsidR="00731B44">
        <w:rPr>
          <w:sz w:val="24"/>
          <w:szCs w:val="24"/>
        </w:rPr>
        <w:t>herpes zoster</w:t>
      </w:r>
      <w:r>
        <w:rPr>
          <w:sz w:val="24"/>
          <w:szCs w:val="24"/>
        </w:rPr>
        <w:t>; and</w:t>
      </w:r>
    </w:p>
    <w:p w:rsidR="00CF12B0" w:rsidRDefault="00B81F9F">
      <w:pPr>
        <w:pStyle w:val="BodyTextIndent"/>
        <w:rPr>
          <w:sz w:val="24"/>
          <w:szCs w:val="24"/>
        </w:rPr>
      </w:pPr>
      <w:r>
        <w:rPr>
          <w:sz w:val="24"/>
          <w:szCs w:val="24"/>
        </w:rPr>
        <w:t>(b)</w:t>
      </w:r>
      <w:r>
        <w:rPr>
          <w:sz w:val="24"/>
          <w:szCs w:val="24"/>
        </w:rPr>
        <w:tab/>
        <w:t>determines in its place this Statement of Principles.</w:t>
      </w:r>
    </w:p>
    <w:p w:rsidR="00CF12B0" w:rsidRDefault="00B81F9F">
      <w:pPr>
        <w:pStyle w:val="clauseheading"/>
      </w:pPr>
      <w:r>
        <w:t>Kind of injury, disease or death</w:t>
      </w:r>
    </w:p>
    <w:p w:rsidR="00CF12B0" w:rsidRDefault="00B81F9F">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731B44">
        <w:rPr>
          <w:b/>
          <w:sz w:val="24"/>
          <w:szCs w:val="24"/>
        </w:rPr>
        <w:t>herpes zoster</w:t>
      </w:r>
      <w:r>
        <w:rPr>
          <w:b/>
          <w:sz w:val="24"/>
          <w:szCs w:val="24"/>
        </w:rPr>
        <w:t xml:space="preserve"> </w:t>
      </w:r>
      <w:r>
        <w:rPr>
          <w:sz w:val="24"/>
          <w:szCs w:val="24"/>
        </w:rPr>
        <w:t xml:space="preserve">and </w:t>
      </w:r>
      <w:r>
        <w:rPr>
          <w:b/>
          <w:sz w:val="24"/>
          <w:szCs w:val="24"/>
        </w:rPr>
        <w:t xml:space="preserve">death from </w:t>
      </w:r>
      <w:r w:rsidR="00731B44">
        <w:rPr>
          <w:b/>
          <w:sz w:val="24"/>
          <w:szCs w:val="24"/>
        </w:rPr>
        <w:t>herpes zoster</w:t>
      </w:r>
      <w:r>
        <w:rPr>
          <w:sz w:val="24"/>
          <w:szCs w:val="24"/>
        </w:rPr>
        <w:t>.</w:t>
      </w:r>
    </w:p>
    <w:p w:rsidR="00CF12B0" w:rsidRDefault="00B81F9F">
      <w:pPr>
        <w:spacing w:after="120" w:line="240" w:lineRule="auto"/>
        <w:ind w:left="1418" w:hanging="709"/>
        <w:rPr>
          <w:sz w:val="24"/>
          <w:szCs w:val="24"/>
        </w:rPr>
      </w:pPr>
      <w:r>
        <w:rPr>
          <w:sz w:val="24"/>
          <w:szCs w:val="24"/>
        </w:rPr>
        <w:t>(b)</w:t>
      </w:r>
      <w:r>
        <w:rPr>
          <w:sz w:val="24"/>
          <w:szCs w:val="24"/>
        </w:rPr>
        <w:tab/>
        <w:t xml:space="preserve">For the purposes of this Statement of Principles, </w:t>
      </w:r>
      <w:r>
        <w:rPr>
          <w:b/>
          <w:sz w:val="24"/>
          <w:szCs w:val="24"/>
        </w:rPr>
        <w:t>"</w:t>
      </w:r>
      <w:r w:rsidR="00731B44">
        <w:rPr>
          <w:b/>
          <w:sz w:val="24"/>
          <w:szCs w:val="24"/>
        </w:rPr>
        <w:t>herpes zoster</w:t>
      </w:r>
      <w:r>
        <w:rPr>
          <w:b/>
          <w:sz w:val="24"/>
          <w:szCs w:val="24"/>
        </w:rPr>
        <w:t>"</w:t>
      </w:r>
      <w:r>
        <w:rPr>
          <w:sz w:val="24"/>
          <w:szCs w:val="24"/>
        </w:rPr>
        <w:t xml:space="preserve"> means </w:t>
      </w:r>
      <w:r w:rsidR="00633A05" w:rsidRPr="0060411B">
        <w:rPr>
          <w:sz w:val="24"/>
          <w:szCs w:val="24"/>
        </w:rPr>
        <w:t>a vesicular eruption</w:t>
      </w:r>
      <w:r w:rsidR="002F50DB">
        <w:rPr>
          <w:sz w:val="24"/>
          <w:szCs w:val="24"/>
        </w:rPr>
        <w:t>,</w:t>
      </w:r>
      <w:r w:rsidR="00633A05" w:rsidRPr="0060411B">
        <w:rPr>
          <w:sz w:val="24"/>
          <w:szCs w:val="24"/>
        </w:rPr>
        <w:t xml:space="preserve"> usually unilateral and within a single dermatome</w:t>
      </w:r>
      <w:r w:rsidR="002F50DB">
        <w:rPr>
          <w:sz w:val="24"/>
          <w:szCs w:val="24"/>
        </w:rPr>
        <w:t>,</w:t>
      </w:r>
      <w:r w:rsidR="00633A05" w:rsidRPr="0060411B">
        <w:rPr>
          <w:sz w:val="24"/>
          <w:szCs w:val="24"/>
        </w:rPr>
        <w:t xml:space="preserve"> resulting from the reactivation of </w:t>
      </w:r>
      <w:r w:rsidR="00C35272">
        <w:rPr>
          <w:sz w:val="24"/>
          <w:szCs w:val="24"/>
        </w:rPr>
        <w:t>a</w:t>
      </w:r>
      <w:r w:rsidR="00C35272" w:rsidRPr="0060411B">
        <w:rPr>
          <w:sz w:val="24"/>
          <w:szCs w:val="24"/>
        </w:rPr>
        <w:t xml:space="preserve"> </w:t>
      </w:r>
      <w:r w:rsidR="00C35272">
        <w:rPr>
          <w:sz w:val="24"/>
          <w:szCs w:val="24"/>
        </w:rPr>
        <w:t xml:space="preserve">dormant </w:t>
      </w:r>
      <w:r w:rsidR="00C35272" w:rsidRPr="0060411B">
        <w:rPr>
          <w:sz w:val="24"/>
          <w:szCs w:val="24"/>
        </w:rPr>
        <w:t>varicella-zoster virus</w:t>
      </w:r>
      <w:r w:rsidR="00C35272">
        <w:rPr>
          <w:sz w:val="24"/>
          <w:szCs w:val="24"/>
        </w:rPr>
        <w:t xml:space="preserve"> infection</w:t>
      </w:r>
      <w:r w:rsidR="00633A05">
        <w:rPr>
          <w:sz w:val="24"/>
          <w:szCs w:val="24"/>
        </w:rPr>
        <w:t>.</w:t>
      </w:r>
    </w:p>
    <w:p w:rsidR="00CF12B0" w:rsidRDefault="00B81F9F">
      <w:pPr>
        <w:spacing w:after="120" w:line="240" w:lineRule="auto"/>
        <w:ind w:left="1418" w:hanging="709"/>
        <w:rPr>
          <w:sz w:val="24"/>
          <w:szCs w:val="24"/>
        </w:rPr>
      </w:pPr>
      <w:r>
        <w:rPr>
          <w:sz w:val="24"/>
          <w:szCs w:val="24"/>
        </w:rPr>
        <w:t>(c)</w:t>
      </w:r>
      <w:r>
        <w:rPr>
          <w:sz w:val="24"/>
          <w:szCs w:val="24"/>
        </w:rPr>
        <w:tab/>
      </w:r>
      <w:r w:rsidR="00731B44">
        <w:rPr>
          <w:sz w:val="24"/>
          <w:szCs w:val="24"/>
        </w:rPr>
        <w:t>Herpes zoster</w:t>
      </w:r>
      <w:r>
        <w:rPr>
          <w:sz w:val="24"/>
          <w:szCs w:val="24"/>
        </w:rPr>
        <w:t xml:space="preserve"> attracts ICD-10-AM code </w:t>
      </w:r>
      <w:r w:rsidR="00633A05">
        <w:rPr>
          <w:sz w:val="24"/>
          <w:szCs w:val="24"/>
        </w:rPr>
        <w:t>B02</w:t>
      </w:r>
      <w:r>
        <w:rPr>
          <w:sz w:val="24"/>
          <w:szCs w:val="24"/>
        </w:rPr>
        <w:t>.</w:t>
      </w:r>
    </w:p>
    <w:p w:rsidR="00CF12B0" w:rsidRDefault="00B81F9F">
      <w:pPr>
        <w:spacing w:after="120" w:line="240" w:lineRule="auto"/>
        <w:ind w:left="1418" w:hanging="709"/>
        <w:rPr>
          <w:sz w:val="24"/>
          <w:szCs w:val="24"/>
        </w:rPr>
      </w:pPr>
      <w:r>
        <w:rPr>
          <w:sz w:val="24"/>
          <w:szCs w:val="24"/>
        </w:rPr>
        <w:t>(d)</w:t>
      </w:r>
      <w:r>
        <w:rPr>
          <w:sz w:val="24"/>
          <w:szCs w:val="24"/>
        </w:rPr>
        <w:tab/>
        <w:t xml:space="preserve">In the application of this Statement of Principles, the definition of </w:t>
      </w:r>
      <w:r>
        <w:rPr>
          <w:b/>
          <w:sz w:val="24"/>
          <w:szCs w:val="24"/>
        </w:rPr>
        <w:t>"</w:t>
      </w:r>
      <w:r w:rsidR="00731B44">
        <w:rPr>
          <w:b/>
          <w:sz w:val="24"/>
          <w:szCs w:val="24"/>
        </w:rPr>
        <w:t>herpes zoster</w:t>
      </w:r>
      <w:r>
        <w:rPr>
          <w:b/>
          <w:sz w:val="24"/>
          <w:szCs w:val="24"/>
        </w:rPr>
        <w:t xml:space="preserve">" </w:t>
      </w:r>
      <w:r>
        <w:rPr>
          <w:sz w:val="24"/>
          <w:szCs w:val="24"/>
        </w:rPr>
        <w:t>is that given at paragraph 3(b) above.</w:t>
      </w:r>
    </w:p>
    <w:p w:rsidR="00CF12B0" w:rsidRDefault="00B81F9F">
      <w:pPr>
        <w:pStyle w:val="clauseheading"/>
      </w:pPr>
      <w:r>
        <w:lastRenderedPageBreak/>
        <w:t>Basis for determining the factors</w:t>
      </w:r>
    </w:p>
    <w:p w:rsidR="00CF12B0" w:rsidRDefault="00B81F9F">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sidR="00731B44">
        <w:rPr>
          <w:b/>
          <w:sz w:val="24"/>
          <w:szCs w:val="24"/>
        </w:rPr>
        <w:t>herpes zoster</w:t>
      </w:r>
      <w:r>
        <w:rPr>
          <w:b/>
          <w:sz w:val="24"/>
          <w:szCs w:val="24"/>
        </w:rPr>
        <w:t xml:space="preserve"> </w:t>
      </w:r>
      <w:r>
        <w:rPr>
          <w:sz w:val="24"/>
          <w:szCs w:val="24"/>
        </w:rPr>
        <w:t>and</w:t>
      </w:r>
      <w:r>
        <w:rPr>
          <w:b/>
          <w:sz w:val="24"/>
          <w:szCs w:val="24"/>
        </w:rPr>
        <w:t xml:space="preserve"> death from </w:t>
      </w:r>
      <w:r w:rsidR="00731B44">
        <w:rPr>
          <w:b/>
          <w:sz w:val="24"/>
          <w:szCs w:val="24"/>
        </w:rPr>
        <w:t>herpes zoster</w:t>
      </w:r>
      <w:r>
        <w:rPr>
          <w:b/>
          <w:sz w:val="24"/>
          <w:szCs w:val="24"/>
        </w:rPr>
        <w:t xml:space="preserve">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CF12B0" w:rsidRDefault="00B81F9F">
      <w:pPr>
        <w:pStyle w:val="clauseheading"/>
      </w:pPr>
      <w:r>
        <w:t>Factors that must be related to service</w:t>
      </w:r>
    </w:p>
    <w:p w:rsidR="00CF12B0" w:rsidRDefault="00B81F9F">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CF12B0" w:rsidRDefault="00B81F9F">
      <w:pPr>
        <w:pStyle w:val="clauseheading"/>
      </w:pPr>
      <w:r>
        <w:t>Factors</w:t>
      </w:r>
    </w:p>
    <w:p w:rsidR="00CF12B0" w:rsidRDefault="00B81F9F" w:rsidP="00A062C2">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sidR="00731B44">
        <w:rPr>
          <w:b/>
          <w:sz w:val="24"/>
          <w:szCs w:val="24"/>
        </w:rPr>
        <w:t>herpes zoster</w:t>
      </w:r>
      <w:r>
        <w:rPr>
          <w:sz w:val="24"/>
          <w:szCs w:val="24"/>
        </w:rPr>
        <w:t xml:space="preserve"> or</w:t>
      </w:r>
      <w:r>
        <w:rPr>
          <w:b/>
          <w:sz w:val="24"/>
          <w:szCs w:val="24"/>
        </w:rPr>
        <w:t xml:space="preserve"> death from </w:t>
      </w:r>
      <w:r w:rsidR="00731B44">
        <w:rPr>
          <w:b/>
          <w:sz w:val="24"/>
          <w:szCs w:val="24"/>
        </w:rPr>
        <w:t>herpes zoster</w:t>
      </w:r>
      <w:r>
        <w:rPr>
          <w:b/>
          <w:sz w:val="24"/>
          <w:szCs w:val="24"/>
        </w:rPr>
        <w:t xml:space="preserve"> </w:t>
      </w:r>
      <w:r>
        <w:rPr>
          <w:sz w:val="24"/>
          <w:szCs w:val="24"/>
        </w:rPr>
        <w:t>is connected with the circumstances of a person’s relevant service is:</w:t>
      </w:r>
    </w:p>
    <w:p w:rsidR="00633A05" w:rsidRPr="007F752C" w:rsidRDefault="00633A05" w:rsidP="00A062C2">
      <w:pPr>
        <w:numPr>
          <w:ilvl w:val="0"/>
          <w:numId w:val="17"/>
        </w:numPr>
        <w:tabs>
          <w:tab w:val="num" w:pos="1440"/>
        </w:tabs>
        <w:spacing w:after="120" w:line="240" w:lineRule="auto"/>
        <w:ind w:hanging="720"/>
        <w:rPr>
          <w:sz w:val="24"/>
          <w:szCs w:val="24"/>
          <w:lang w:val="en-US" w:eastAsia="en-US"/>
        </w:rPr>
      </w:pPr>
      <w:r w:rsidRPr="007F752C">
        <w:rPr>
          <w:sz w:val="24"/>
          <w:szCs w:val="24"/>
          <w:lang w:val="en-US" w:eastAsia="en-US"/>
        </w:rPr>
        <w:t>having chickenpox before the clinical onset of herpes zoster; or</w:t>
      </w:r>
    </w:p>
    <w:p w:rsidR="00633A05" w:rsidRPr="007F752C" w:rsidRDefault="00633A05" w:rsidP="00A062C2">
      <w:pPr>
        <w:numPr>
          <w:ilvl w:val="0"/>
          <w:numId w:val="17"/>
        </w:numPr>
        <w:tabs>
          <w:tab w:val="num" w:pos="1440"/>
        </w:tabs>
        <w:spacing w:after="120" w:line="240" w:lineRule="auto"/>
        <w:ind w:hanging="720"/>
        <w:rPr>
          <w:sz w:val="24"/>
          <w:szCs w:val="24"/>
          <w:lang w:val="en-US" w:eastAsia="en-US"/>
        </w:rPr>
      </w:pPr>
      <w:r w:rsidRPr="007F752C">
        <w:rPr>
          <w:sz w:val="24"/>
          <w:szCs w:val="24"/>
          <w:lang w:val="en-US" w:eastAsia="en-US"/>
        </w:rPr>
        <w:t>for vaccine strain herpes zoster</w:t>
      </w:r>
      <w:r w:rsidR="003959C4" w:rsidRPr="007F752C">
        <w:rPr>
          <w:sz w:val="24"/>
          <w:szCs w:val="24"/>
          <w:lang w:val="en-US" w:eastAsia="en-US"/>
        </w:rPr>
        <w:t xml:space="preserve"> only</w:t>
      </w:r>
      <w:r w:rsidRPr="007F752C">
        <w:rPr>
          <w:sz w:val="24"/>
          <w:szCs w:val="24"/>
          <w:lang w:val="en-US" w:eastAsia="en-US"/>
        </w:rPr>
        <w:t>, having live attenuated varicella vaccine before the clinical onset of herpes zoster; or</w:t>
      </w:r>
    </w:p>
    <w:p w:rsidR="00633A05" w:rsidRPr="007F752C" w:rsidRDefault="00633A05" w:rsidP="00A062C2">
      <w:pPr>
        <w:numPr>
          <w:ilvl w:val="0"/>
          <w:numId w:val="17"/>
        </w:numPr>
        <w:tabs>
          <w:tab w:val="num" w:pos="1440"/>
        </w:tabs>
        <w:spacing w:after="120" w:line="240" w:lineRule="auto"/>
        <w:ind w:hanging="720"/>
        <w:rPr>
          <w:sz w:val="24"/>
          <w:szCs w:val="24"/>
        </w:rPr>
      </w:pPr>
      <w:r w:rsidRPr="007F752C">
        <w:rPr>
          <w:sz w:val="24"/>
          <w:szCs w:val="24"/>
          <w:lang w:val="en-US" w:eastAsia="en-US"/>
        </w:rPr>
        <w:t>being</w:t>
      </w:r>
      <w:r w:rsidRPr="007F752C">
        <w:rPr>
          <w:sz w:val="24"/>
          <w:szCs w:val="24"/>
        </w:rPr>
        <w:t xml:space="preserve"> in an immunocompromised state as specified at the time of the clinical onset of herpes zoster; or</w:t>
      </w:r>
    </w:p>
    <w:p w:rsidR="007F752C" w:rsidRDefault="00633A05" w:rsidP="00A062C2">
      <w:pPr>
        <w:pStyle w:val="ListParagraph"/>
        <w:numPr>
          <w:ilvl w:val="0"/>
          <w:numId w:val="17"/>
        </w:numPr>
        <w:ind w:left="1418" w:hanging="709"/>
        <w:jc w:val="both"/>
        <w:rPr>
          <w:szCs w:val="24"/>
        </w:rPr>
      </w:pPr>
      <w:r w:rsidRPr="007F752C">
        <w:rPr>
          <w:szCs w:val="24"/>
        </w:rPr>
        <w:t>having trauma, including surgery, involving:</w:t>
      </w:r>
    </w:p>
    <w:p w:rsidR="007F752C" w:rsidRPr="00144536" w:rsidRDefault="007F752C" w:rsidP="00A062C2">
      <w:pPr>
        <w:pStyle w:val="ListParagraph"/>
        <w:numPr>
          <w:ilvl w:val="1"/>
          <w:numId w:val="19"/>
        </w:numPr>
        <w:ind w:left="1985" w:hanging="567"/>
        <w:jc w:val="both"/>
        <w:rPr>
          <w:szCs w:val="24"/>
        </w:rPr>
      </w:pPr>
      <w:r>
        <w:rPr>
          <w:szCs w:val="24"/>
        </w:rPr>
        <w:t xml:space="preserve">the </w:t>
      </w:r>
      <w:r w:rsidRPr="00144536">
        <w:rPr>
          <w:szCs w:val="24"/>
        </w:rPr>
        <w:t xml:space="preserve">dermatome affected by herpes zoster or a contiguous dermatome; or </w:t>
      </w:r>
    </w:p>
    <w:p w:rsidR="007F752C" w:rsidRPr="00144536" w:rsidRDefault="007F752C" w:rsidP="00A062C2">
      <w:pPr>
        <w:pStyle w:val="ListParagraph"/>
        <w:numPr>
          <w:ilvl w:val="1"/>
          <w:numId w:val="19"/>
        </w:numPr>
        <w:spacing w:after="60"/>
        <w:ind w:left="1985" w:hanging="567"/>
        <w:jc w:val="both"/>
        <w:rPr>
          <w:szCs w:val="24"/>
        </w:rPr>
      </w:pPr>
      <w:r>
        <w:rPr>
          <w:szCs w:val="24"/>
        </w:rPr>
        <w:t xml:space="preserve">the </w:t>
      </w:r>
      <w:r w:rsidRPr="00144536">
        <w:rPr>
          <w:szCs w:val="24"/>
        </w:rPr>
        <w:t>nerve supply to the dermatome affected by herpes zoster or a contiguous dermatome</w:t>
      </w:r>
      <w:r>
        <w:rPr>
          <w:szCs w:val="24"/>
        </w:rPr>
        <w:t>;</w:t>
      </w:r>
      <w:r w:rsidRPr="00144536">
        <w:rPr>
          <w:szCs w:val="24"/>
        </w:rPr>
        <w:t xml:space="preserve"> </w:t>
      </w:r>
    </w:p>
    <w:p w:rsidR="00633A05" w:rsidRPr="007F752C" w:rsidRDefault="007F752C" w:rsidP="00A062C2">
      <w:pPr>
        <w:spacing w:after="120" w:line="240" w:lineRule="auto"/>
        <w:ind w:left="1440"/>
        <w:rPr>
          <w:sz w:val="24"/>
          <w:szCs w:val="24"/>
          <w:lang w:val="en-US" w:eastAsia="en-US"/>
        </w:rPr>
      </w:pPr>
      <w:r w:rsidRPr="007F752C">
        <w:rPr>
          <w:sz w:val="24"/>
          <w:szCs w:val="24"/>
          <w:lang w:val="en-US" w:eastAsia="en-US"/>
        </w:rPr>
        <w:t>within the six weeks before the clinical onset of herpes zoster;</w:t>
      </w:r>
      <w:r w:rsidR="00633A05" w:rsidRPr="007F752C">
        <w:rPr>
          <w:sz w:val="24"/>
          <w:szCs w:val="24"/>
          <w:lang w:val="en-US" w:eastAsia="en-US"/>
        </w:rPr>
        <w:t xml:space="preserve"> </w:t>
      </w:r>
    </w:p>
    <w:p w:rsidR="00633A05" w:rsidRPr="007F752C" w:rsidRDefault="00633A05" w:rsidP="00A062C2">
      <w:pPr>
        <w:numPr>
          <w:ilvl w:val="0"/>
          <w:numId w:val="17"/>
        </w:numPr>
        <w:tabs>
          <w:tab w:val="num" w:pos="1440"/>
        </w:tabs>
        <w:spacing w:after="120" w:line="240" w:lineRule="auto"/>
        <w:ind w:hanging="720"/>
        <w:rPr>
          <w:sz w:val="24"/>
          <w:szCs w:val="24"/>
        </w:rPr>
      </w:pPr>
      <w:r w:rsidRPr="007F752C">
        <w:rPr>
          <w:sz w:val="24"/>
          <w:szCs w:val="24"/>
          <w:lang w:val="en-US" w:eastAsia="en-US"/>
        </w:rPr>
        <w:t>being</w:t>
      </w:r>
      <w:r w:rsidRPr="007F752C">
        <w:rPr>
          <w:sz w:val="24"/>
          <w:szCs w:val="24"/>
        </w:rPr>
        <w:t xml:space="preserve"> in an immunocompromised state as specified at the time of the clinical worsening of herpes zoster; or</w:t>
      </w:r>
    </w:p>
    <w:p w:rsidR="00CF12B0" w:rsidRDefault="00B81F9F" w:rsidP="00A062C2">
      <w:pPr>
        <w:pStyle w:val="ListParagraph"/>
        <w:numPr>
          <w:ilvl w:val="0"/>
          <w:numId w:val="17"/>
        </w:numPr>
        <w:ind w:left="1418" w:hanging="709"/>
        <w:jc w:val="both"/>
      </w:pPr>
      <w:r w:rsidRPr="007F752C">
        <w:rPr>
          <w:szCs w:val="24"/>
        </w:rPr>
        <w:t xml:space="preserve">inability </w:t>
      </w:r>
      <w:r>
        <w:t xml:space="preserve">to obtain appropriate clinical management for </w:t>
      </w:r>
      <w:r w:rsidR="00731B44">
        <w:t>herpes zoster</w:t>
      </w:r>
      <w:r>
        <w:t>.</w:t>
      </w:r>
    </w:p>
    <w:p w:rsidR="00CF12B0" w:rsidRDefault="00B81F9F">
      <w:pPr>
        <w:pStyle w:val="clauseheading"/>
      </w:pPr>
      <w:r>
        <w:t>Factors that apply only to material contribution or aggravation</w:t>
      </w:r>
    </w:p>
    <w:p w:rsidR="00CF12B0" w:rsidRDefault="00B81F9F">
      <w:pPr>
        <w:ind w:hanging="720"/>
        <w:rPr>
          <w:sz w:val="24"/>
          <w:szCs w:val="24"/>
        </w:rPr>
      </w:pPr>
      <w:r>
        <w:rPr>
          <w:b/>
          <w:sz w:val="24"/>
          <w:szCs w:val="24"/>
        </w:rPr>
        <w:t>7.</w:t>
      </w:r>
      <w:r>
        <w:rPr>
          <w:sz w:val="24"/>
          <w:szCs w:val="24"/>
        </w:rPr>
        <w:tab/>
        <w:t xml:space="preserve">Paragraphs </w:t>
      </w:r>
      <w:r>
        <w:rPr>
          <w:b/>
          <w:sz w:val="24"/>
          <w:szCs w:val="24"/>
        </w:rPr>
        <w:t>6(</w:t>
      </w:r>
      <w:r w:rsidR="007F752C">
        <w:rPr>
          <w:b/>
          <w:sz w:val="24"/>
          <w:szCs w:val="24"/>
        </w:rPr>
        <w:t>e</w:t>
      </w:r>
      <w:r>
        <w:rPr>
          <w:b/>
          <w:sz w:val="24"/>
          <w:szCs w:val="24"/>
        </w:rPr>
        <w:t>)</w:t>
      </w:r>
      <w:r w:rsidR="00633A05">
        <w:rPr>
          <w:b/>
          <w:sz w:val="24"/>
          <w:szCs w:val="24"/>
        </w:rPr>
        <w:t xml:space="preserve"> </w:t>
      </w:r>
      <w:r w:rsidR="006C278C">
        <w:rPr>
          <w:b/>
          <w:sz w:val="24"/>
          <w:szCs w:val="24"/>
        </w:rPr>
        <w:t>and</w:t>
      </w:r>
      <w:r w:rsidR="00633A05">
        <w:rPr>
          <w:b/>
          <w:sz w:val="24"/>
          <w:szCs w:val="24"/>
        </w:rPr>
        <w:t xml:space="preserve"> 6(</w:t>
      </w:r>
      <w:r w:rsidR="007F752C">
        <w:rPr>
          <w:b/>
          <w:sz w:val="24"/>
          <w:szCs w:val="24"/>
        </w:rPr>
        <w:t>f</w:t>
      </w:r>
      <w:r w:rsidR="00633A05">
        <w:rPr>
          <w:b/>
          <w:sz w:val="24"/>
          <w:szCs w:val="24"/>
        </w:rPr>
        <w:t>)</w:t>
      </w:r>
      <w:r>
        <w:rPr>
          <w:b/>
          <w:sz w:val="24"/>
          <w:szCs w:val="24"/>
        </w:rPr>
        <w:t xml:space="preserve"> </w:t>
      </w:r>
      <w:r>
        <w:rPr>
          <w:sz w:val="24"/>
          <w:szCs w:val="24"/>
        </w:rPr>
        <w:t xml:space="preserve">apply only to material contribution to, or aggravation of, </w:t>
      </w:r>
      <w:r w:rsidR="00731B44">
        <w:rPr>
          <w:sz w:val="24"/>
          <w:szCs w:val="24"/>
        </w:rPr>
        <w:t>herpes zoster</w:t>
      </w:r>
      <w:r>
        <w:rPr>
          <w:sz w:val="24"/>
          <w:szCs w:val="24"/>
        </w:rPr>
        <w:t xml:space="preserve"> where the person’s </w:t>
      </w:r>
      <w:r w:rsidR="00731B44">
        <w:rPr>
          <w:sz w:val="24"/>
          <w:szCs w:val="24"/>
        </w:rPr>
        <w:t>herpes zoster</w:t>
      </w:r>
      <w:r>
        <w:rPr>
          <w:sz w:val="24"/>
          <w:szCs w:val="24"/>
        </w:rPr>
        <w:t xml:space="preserve"> was suffered or contracted before or during (but not arising out of) the person’s relevant service.</w:t>
      </w:r>
    </w:p>
    <w:p w:rsidR="00CF12B0" w:rsidRDefault="00B81F9F">
      <w:pPr>
        <w:pStyle w:val="clauseheading"/>
      </w:pPr>
      <w:r>
        <w:t>Inclusion of Statements of Principles</w:t>
      </w:r>
    </w:p>
    <w:p w:rsidR="00CF12B0" w:rsidRDefault="00B81F9F">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CF12B0" w:rsidRDefault="00B81F9F" w:rsidP="00BB72D0">
      <w:pPr>
        <w:pStyle w:val="clauseheading"/>
      </w:pPr>
      <w:r>
        <w:lastRenderedPageBreak/>
        <w:t>Other definitions</w:t>
      </w:r>
    </w:p>
    <w:p w:rsidR="00CF12B0" w:rsidRDefault="00B81F9F" w:rsidP="00BB72D0">
      <w:pPr>
        <w:keepNext/>
        <w:numPr>
          <w:ilvl w:val="0"/>
          <w:numId w:val="1"/>
        </w:numPr>
        <w:spacing w:after="120" w:line="240" w:lineRule="auto"/>
        <w:rPr>
          <w:sz w:val="24"/>
          <w:szCs w:val="24"/>
        </w:rPr>
      </w:pPr>
      <w:r>
        <w:rPr>
          <w:sz w:val="24"/>
          <w:szCs w:val="24"/>
        </w:rPr>
        <w:t>For the purposes of this Statement of Principles:</w:t>
      </w:r>
    </w:p>
    <w:p w:rsidR="00633A05" w:rsidRPr="00775D6C" w:rsidRDefault="00633A05" w:rsidP="00633A05">
      <w:pPr>
        <w:pStyle w:val="ListParagraph"/>
        <w:spacing w:after="60"/>
        <w:contextualSpacing w:val="0"/>
        <w:jc w:val="both"/>
        <w:rPr>
          <w:szCs w:val="24"/>
        </w:rPr>
      </w:pPr>
      <w:r w:rsidRPr="00775D6C">
        <w:rPr>
          <w:b/>
          <w:szCs w:val="24"/>
        </w:rPr>
        <w:t>"an immunocompromised state as specified"</w:t>
      </w:r>
      <w:r w:rsidRPr="00775D6C">
        <w:rPr>
          <w:szCs w:val="24"/>
        </w:rPr>
        <w:t xml:space="preserve"> means a condition of substantially lowered immune function, such as would occur in the following conditions or circumstances:</w:t>
      </w:r>
    </w:p>
    <w:p w:rsidR="00633A05" w:rsidRPr="00775D6C" w:rsidRDefault="00633A05" w:rsidP="00633A05">
      <w:pPr>
        <w:pStyle w:val="ListParagraph"/>
        <w:numPr>
          <w:ilvl w:val="0"/>
          <w:numId w:val="15"/>
        </w:numPr>
        <w:ind w:left="1418" w:hanging="698"/>
        <w:jc w:val="both"/>
        <w:rPr>
          <w:szCs w:val="24"/>
        </w:rPr>
      </w:pPr>
      <w:r w:rsidRPr="00775D6C">
        <w:rPr>
          <w:szCs w:val="24"/>
        </w:rPr>
        <w:t xml:space="preserve">being infected with human immunodeficiency virus; </w:t>
      </w:r>
    </w:p>
    <w:p w:rsidR="00633A05" w:rsidRPr="00775D6C" w:rsidRDefault="00633A05" w:rsidP="00633A05">
      <w:pPr>
        <w:pStyle w:val="ListParagraph"/>
        <w:numPr>
          <w:ilvl w:val="0"/>
          <w:numId w:val="15"/>
        </w:numPr>
        <w:ind w:left="1418" w:hanging="698"/>
        <w:jc w:val="both"/>
        <w:rPr>
          <w:szCs w:val="24"/>
        </w:rPr>
      </w:pPr>
      <w:r w:rsidRPr="00775D6C">
        <w:rPr>
          <w:szCs w:val="24"/>
        </w:rPr>
        <w:t>being treated with an immunosuppressive drug;</w:t>
      </w:r>
    </w:p>
    <w:p w:rsidR="00633A05" w:rsidRPr="00775D6C" w:rsidRDefault="00633A05" w:rsidP="00633A05">
      <w:pPr>
        <w:pStyle w:val="ListParagraph"/>
        <w:numPr>
          <w:ilvl w:val="0"/>
          <w:numId w:val="15"/>
        </w:numPr>
        <w:ind w:left="1418" w:hanging="698"/>
        <w:jc w:val="both"/>
        <w:rPr>
          <w:szCs w:val="24"/>
        </w:rPr>
      </w:pPr>
      <w:r w:rsidRPr="00775D6C">
        <w:rPr>
          <w:szCs w:val="24"/>
        </w:rPr>
        <w:t>having a haematological or solid organ malignancy;</w:t>
      </w:r>
    </w:p>
    <w:p w:rsidR="00633A05" w:rsidRPr="00775D6C" w:rsidRDefault="00633A05" w:rsidP="00633A05">
      <w:pPr>
        <w:pStyle w:val="ListParagraph"/>
        <w:numPr>
          <w:ilvl w:val="0"/>
          <w:numId w:val="15"/>
        </w:numPr>
        <w:ind w:left="1418" w:hanging="698"/>
        <w:jc w:val="both"/>
        <w:rPr>
          <w:szCs w:val="24"/>
        </w:rPr>
      </w:pPr>
      <w:r w:rsidRPr="00775D6C">
        <w:rPr>
          <w:szCs w:val="24"/>
        </w:rPr>
        <w:t xml:space="preserve">having chronic renal failure; </w:t>
      </w:r>
    </w:p>
    <w:p w:rsidR="00633A05" w:rsidRPr="00775D6C" w:rsidRDefault="00633A05" w:rsidP="00633A05">
      <w:pPr>
        <w:pStyle w:val="ListParagraph"/>
        <w:numPr>
          <w:ilvl w:val="0"/>
          <w:numId w:val="15"/>
        </w:numPr>
        <w:ind w:left="1418" w:hanging="698"/>
        <w:jc w:val="both"/>
        <w:rPr>
          <w:szCs w:val="24"/>
        </w:rPr>
      </w:pPr>
      <w:r w:rsidRPr="00775D6C">
        <w:rPr>
          <w:szCs w:val="24"/>
        </w:rPr>
        <w:t>having severe malnutrition; or</w:t>
      </w:r>
    </w:p>
    <w:p w:rsidR="00633A05" w:rsidRPr="00775D6C" w:rsidRDefault="00633A05" w:rsidP="00633A05">
      <w:pPr>
        <w:pStyle w:val="ListParagraph"/>
        <w:numPr>
          <w:ilvl w:val="0"/>
          <w:numId w:val="15"/>
        </w:numPr>
        <w:spacing w:after="120"/>
        <w:ind w:left="1417" w:hanging="697"/>
        <w:contextualSpacing w:val="0"/>
        <w:jc w:val="both"/>
        <w:rPr>
          <w:szCs w:val="24"/>
        </w:rPr>
      </w:pPr>
      <w:r w:rsidRPr="00775D6C">
        <w:rPr>
          <w:szCs w:val="24"/>
        </w:rPr>
        <w:t>undergoing solid organ, stem cell or bone marrow transplantation;</w:t>
      </w:r>
    </w:p>
    <w:p w:rsidR="00633A05" w:rsidRPr="00775D6C" w:rsidRDefault="001F7925" w:rsidP="00633A05">
      <w:pPr>
        <w:pStyle w:val="ListParagraph"/>
        <w:spacing w:after="120"/>
        <w:contextualSpacing w:val="0"/>
        <w:jc w:val="both"/>
        <w:rPr>
          <w:szCs w:val="24"/>
        </w:rPr>
      </w:pPr>
      <w:r>
        <w:rPr>
          <w:b/>
          <w:bCs/>
        </w:rPr>
        <w:t>"being treated with an immunosuppressive drug"</w:t>
      </w:r>
      <w:r>
        <w:t xml:space="preserve"> means being treated with a drug or an agent which results in significant suppression of immune responses.  This definition includes corticosteroids other than inhaled or topical corticosteroids, drugs used to prevent transplant rejection, tumour necrosis factor-α inhibitors and chemotherapeutic agents used for the treatment of cancer;</w:t>
      </w:r>
    </w:p>
    <w:p w:rsidR="00633A05" w:rsidRPr="00775D6C" w:rsidRDefault="00633A05" w:rsidP="00633A05">
      <w:pPr>
        <w:pStyle w:val="ListParagraph"/>
        <w:spacing w:after="120"/>
        <w:ind w:left="709"/>
        <w:contextualSpacing w:val="0"/>
        <w:jc w:val="both"/>
        <w:rPr>
          <w:szCs w:val="24"/>
        </w:rPr>
      </w:pPr>
      <w:r w:rsidRPr="00775D6C">
        <w:rPr>
          <w:b/>
          <w:szCs w:val="24"/>
        </w:rPr>
        <w:t>"chronic renal failure"</w:t>
      </w:r>
      <w:r w:rsidRPr="00775D6C">
        <w:rPr>
          <w:szCs w:val="24"/>
        </w:rPr>
        <w:t xml:space="preserve"> means having a glomerular filtration rate of less than 60 mL/min/1.73 m</w:t>
      </w:r>
      <w:r w:rsidRPr="00C35272">
        <w:rPr>
          <w:szCs w:val="24"/>
          <w:vertAlign w:val="superscript"/>
        </w:rPr>
        <w:t>2</w:t>
      </w:r>
      <w:r w:rsidRPr="00775D6C">
        <w:rPr>
          <w:szCs w:val="24"/>
        </w:rPr>
        <w:t xml:space="preserve"> for a period of at least three months, or the presence of irreversible kidney damage;</w:t>
      </w:r>
    </w:p>
    <w:p w:rsidR="00CF12B0" w:rsidRDefault="00B81F9F">
      <w:pPr>
        <w:tabs>
          <w:tab w:val="num" w:pos="709"/>
        </w:tabs>
        <w:spacing w:after="120" w:line="240" w:lineRule="auto"/>
        <w:rPr>
          <w:sz w:val="24"/>
          <w:szCs w:val="24"/>
        </w:rPr>
      </w:pPr>
      <w:r>
        <w:rPr>
          <w:b/>
          <w:sz w:val="24"/>
          <w:szCs w:val="24"/>
        </w:rPr>
        <w:t xml:space="preserve">"death from </w:t>
      </w:r>
      <w:r w:rsidR="00731B44">
        <w:rPr>
          <w:b/>
          <w:sz w:val="24"/>
          <w:szCs w:val="24"/>
        </w:rPr>
        <w:t>herpes zoster</w:t>
      </w:r>
      <w:r>
        <w:rPr>
          <w:b/>
          <w:sz w:val="24"/>
          <w:szCs w:val="24"/>
        </w:rPr>
        <w:t xml:space="preserve">" </w:t>
      </w:r>
      <w:r>
        <w:rPr>
          <w:sz w:val="24"/>
          <w:szCs w:val="24"/>
        </w:rPr>
        <w:t xml:space="preserve">in relation to a person includes death from a terminal event or condition that was contributed to by the person’s </w:t>
      </w:r>
      <w:r w:rsidR="00731B44">
        <w:rPr>
          <w:sz w:val="24"/>
          <w:szCs w:val="24"/>
        </w:rPr>
        <w:t>herpes zoster</w:t>
      </w:r>
      <w:r>
        <w:rPr>
          <w:sz w:val="24"/>
          <w:szCs w:val="24"/>
        </w:rPr>
        <w:t>;</w:t>
      </w:r>
    </w:p>
    <w:p w:rsidR="00CF12B0" w:rsidRDefault="00B81F9F">
      <w:pPr>
        <w:tabs>
          <w:tab w:val="num" w:pos="709"/>
        </w:tabs>
        <w:spacing w:after="120" w:line="240" w:lineRule="auto"/>
        <w:ind w:left="709"/>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CF12B0" w:rsidRDefault="00B81F9F">
      <w:pPr>
        <w:tabs>
          <w:tab w:val="num" w:pos="709"/>
        </w:tabs>
        <w:spacing w:after="60" w:line="240" w:lineRule="auto"/>
        <w:rPr>
          <w:sz w:val="24"/>
          <w:szCs w:val="24"/>
        </w:rPr>
      </w:pPr>
      <w:r>
        <w:rPr>
          <w:b/>
          <w:sz w:val="24"/>
          <w:szCs w:val="24"/>
        </w:rPr>
        <w:t>"relevant service"</w:t>
      </w:r>
      <w:r>
        <w:rPr>
          <w:sz w:val="24"/>
          <w:szCs w:val="24"/>
        </w:rPr>
        <w:t xml:space="preserve"> means:</w:t>
      </w:r>
    </w:p>
    <w:p w:rsidR="00CF12B0" w:rsidRDefault="00B81F9F">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CF12B0" w:rsidRDefault="00B81F9F">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CF12B0" w:rsidRDefault="00B81F9F">
      <w:pPr>
        <w:spacing w:after="120" w:line="240" w:lineRule="auto"/>
        <w:ind w:left="1418" w:hanging="709"/>
        <w:rPr>
          <w:sz w:val="24"/>
          <w:szCs w:val="24"/>
        </w:rPr>
      </w:pPr>
      <w:r>
        <w:rPr>
          <w:sz w:val="24"/>
          <w:szCs w:val="24"/>
        </w:rPr>
        <w:t>(c)</w:t>
      </w:r>
      <w:r>
        <w:rPr>
          <w:sz w:val="24"/>
          <w:szCs w:val="24"/>
        </w:rPr>
        <w:tab/>
        <w:t>peacetime service under the MRCA;</w:t>
      </w:r>
    </w:p>
    <w:p w:rsidR="00B81F9F" w:rsidRDefault="00B81F9F" w:rsidP="00B81F9F">
      <w:pPr>
        <w:tabs>
          <w:tab w:val="num" w:pos="709"/>
        </w:tabs>
        <w:spacing w:after="60" w:line="240" w:lineRule="auto"/>
        <w:ind w:left="709"/>
        <w:rPr>
          <w:sz w:val="24"/>
          <w:szCs w:val="24"/>
        </w:rPr>
      </w:pPr>
      <w:r>
        <w:rPr>
          <w:b/>
          <w:sz w:val="24"/>
          <w:szCs w:val="24"/>
        </w:rPr>
        <w:t xml:space="preserve">"terminal event" </w:t>
      </w:r>
      <w:r>
        <w:rPr>
          <w:sz w:val="24"/>
          <w:szCs w:val="24"/>
        </w:rPr>
        <w:t>means the proximate or ultimate cause of death and includes:</w:t>
      </w:r>
    </w:p>
    <w:p w:rsidR="00B81F9F" w:rsidRDefault="00B81F9F" w:rsidP="00B81F9F">
      <w:pPr>
        <w:numPr>
          <w:ilvl w:val="0"/>
          <w:numId w:val="16"/>
        </w:numPr>
        <w:tabs>
          <w:tab w:val="clear" w:pos="1440"/>
        </w:tabs>
        <w:spacing w:line="240" w:lineRule="auto"/>
        <w:ind w:left="1418" w:hanging="698"/>
        <w:rPr>
          <w:sz w:val="24"/>
          <w:szCs w:val="24"/>
        </w:rPr>
      </w:pPr>
      <w:r>
        <w:rPr>
          <w:sz w:val="24"/>
          <w:szCs w:val="24"/>
        </w:rPr>
        <w:t>pneumonia;</w:t>
      </w:r>
    </w:p>
    <w:p w:rsidR="00B81F9F" w:rsidRDefault="00B81F9F" w:rsidP="00B81F9F">
      <w:pPr>
        <w:numPr>
          <w:ilvl w:val="0"/>
          <w:numId w:val="16"/>
        </w:numPr>
        <w:tabs>
          <w:tab w:val="clear" w:pos="1440"/>
        </w:tabs>
        <w:spacing w:line="240" w:lineRule="auto"/>
        <w:ind w:left="1418" w:hanging="698"/>
        <w:rPr>
          <w:sz w:val="24"/>
          <w:szCs w:val="24"/>
        </w:rPr>
      </w:pPr>
      <w:r>
        <w:rPr>
          <w:sz w:val="24"/>
          <w:szCs w:val="24"/>
        </w:rPr>
        <w:t>respiratory failure;</w:t>
      </w:r>
    </w:p>
    <w:p w:rsidR="00B81F9F" w:rsidRDefault="00B81F9F" w:rsidP="00B81F9F">
      <w:pPr>
        <w:numPr>
          <w:ilvl w:val="0"/>
          <w:numId w:val="16"/>
        </w:numPr>
        <w:tabs>
          <w:tab w:val="clear" w:pos="1440"/>
        </w:tabs>
        <w:spacing w:line="240" w:lineRule="auto"/>
        <w:ind w:left="1418" w:hanging="698"/>
        <w:rPr>
          <w:sz w:val="24"/>
          <w:szCs w:val="24"/>
        </w:rPr>
      </w:pPr>
      <w:r>
        <w:rPr>
          <w:sz w:val="24"/>
          <w:szCs w:val="24"/>
        </w:rPr>
        <w:t>cardiac arrest;</w:t>
      </w:r>
    </w:p>
    <w:p w:rsidR="00B81F9F" w:rsidRDefault="00B81F9F" w:rsidP="00B81F9F">
      <w:pPr>
        <w:numPr>
          <w:ilvl w:val="0"/>
          <w:numId w:val="16"/>
        </w:numPr>
        <w:tabs>
          <w:tab w:val="clear" w:pos="1440"/>
        </w:tabs>
        <w:spacing w:line="240" w:lineRule="auto"/>
        <w:ind w:left="1418" w:hanging="698"/>
        <w:rPr>
          <w:sz w:val="24"/>
          <w:szCs w:val="24"/>
        </w:rPr>
      </w:pPr>
      <w:r>
        <w:rPr>
          <w:sz w:val="24"/>
          <w:szCs w:val="24"/>
        </w:rPr>
        <w:t>circulatory failure; or</w:t>
      </w:r>
    </w:p>
    <w:p w:rsidR="00B81F9F" w:rsidRDefault="00B81F9F" w:rsidP="00B81F9F">
      <w:pPr>
        <w:numPr>
          <w:ilvl w:val="0"/>
          <w:numId w:val="16"/>
        </w:numPr>
        <w:tabs>
          <w:tab w:val="clear" w:pos="1440"/>
        </w:tabs>
        <w:spacing w:after="120" w:line="240" w:lineRule="auto"/>
        <w:ind w:left="1417" w:hanging="697"/>
        <w:rPr>
          <w:sz w:val="24"/>
          <w:szCs w:val="24"/>
        </w:rPr>
      </w:pPr>
      <w:r>
        <w:rPr>
          <w:sz w:val="24"/>
          <w:szCs w:val="24"/>
        </w:rPr>
        <w:t>cessation of brain function;</w:t>
      </w:r>
    </w:p>
    <w:p w:rsidR="00B81F9F" w:rsidRDefault="00B81F9F" w:rsidP="00B81F9F">
      <w:pPr>
        <w:autoSpaceDE w:val="0"/>
        <w:autoSpaceDN w:val="0"/>
        <w:adjustRightInd w:val="0"/>
        <w:rPr>
          <w:sz w:val="24"/>
          <w:szCs w:val="24"/>
        </w:rPr>
      </w:pPr>
      <w:r w:rsidRPr="003C1482">
        <w:rPr>
          <w:b/>
          <w:bCs/>
          <w:color w:val="000000"/>
          <w:sz w:val="24"/>
          <w:szCs w:val="24"/>
        </w:rPr>
        <w:t xml:space="preserve">"vaccine strain herpes zoster" </w:t>
      </w:r>
      <w:r w:rsidRPr="003C1482">
        <w:rPr>
          <w:color w:val="000000"/>
          <w:sz w:val="24"/>
          <w:szCs w:val="24"/>
        </w:rPr>
        <w:t xml:space="preserve">means herpes zoster attributed to the vaccine strain varicella-zoster virus by means of isolating the vaccine strain virus from the lesions. </w:t>
      </w:r>
    </w:p>
    <w:p w:rsidR="00CF12B0" w:rsidRDefault="00B81F9F">
      <w:pPr>
        <w:pStyle w:val="clauseheading"/>
      </w:pPr>
      <w:r>
        <w:lastRenderedPageBreak/>
        <w:t>Application</w:t>
      </w:r>
    </w:p>
    <w:p w:rsidR="00CF12B0" w:rsidRDefault="00B81F9F">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B51C22" w:rsidRDefault="00B51C22" w:rsidP="00B51C22">
      <w:pPr>
        <w:pStyle w:val="clauseheading"/>
      </w:pPr>
      <w:r>
        <w:t>Date of effect</w:t>
      </w:r>
    </w:p>
    <w:p w:rsidR="00B51C22" w:rsidRDefault="00B51C22" w:rsidP="00B51C22">
      <w:pPr>
        <w:spacing w:line="240" w:lineRule="auto"/>
        <w:ind w:hanging="720"/>
        <w:rPr>
          <w:sz w:val="24"/>
          <w:szCs w:val="24"/>
        </w:rPr>
      </w:pPr>
      <w:r>
        <w:rPr>
          <w:b/>
          <w:sz w:val="24"/>
          <w:szCs w:val="24"/>
        </w:rPr>
        <w:t>11.</w:t>
      </w:r>
      <w:r>
        <w:rPr>
          <w:sz w:val="24"/>
          <w:szCs w:val="24"/>
        </w:rPr>
        <w:tab/>
        <w:t>This Instrument takes effect from 30 March 2015.</w:t>
      </w:r>
    </w:p>
    <w:p w:rsidR="00B51C22" w:rsidRDefault="00B51C22" w:rsidP="00B51C22">
      <w:pPr>
        <w:spacing w:before="240" w:after="120" w:line="240" w:lineRule="auto"/>
        <w:ind w:left="0"/>
        <w:rPr>
          <w:sz w:val="24"/>
          <w:szCs w:val="24"/>
        </w:rPr>
      </w:pPr>
      <w:r>
        <w:rPr>
          <w:noProof/>
          <w:lang w:val="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B51C22" w:rsidRDefault="00B51C22" w:rsidP="00B51C22">
      <w:pPr>
        <w:spacing w:line="240" w:lineRule="auto"/>
        <w:ind w:hanging="720"/>
        <w:rPr>
          <w:sz w:val="24"/>
          <w:szCs w:val="24"/>
        </w:rPr>
      </w:pPr>
      <w:r>
        <w:rPr>
          <w:sz w:val="24"/>
          <w:szCs w:val="24"/>
        </w:rPr>
        <w:t>The Common Seal of the</w:t>
      </w:r>
      <w:r>
        <w:rPr>
          <w:sz w:val="24"/>
          <w:szCs w:val="24"/>
        </w:rPr>
        <w:tab/>
      </w:r>
      <w:r>
        <w:rPr>
          <w:sz w:val="24"/>
          <w:szCs w:val="24"/>
        </w:rPr>
        <w:tab/>
        <w:t>)</w:t>
      </w:r>
    </w:p>
    <w:p w:rsidR="00B51C22" w:rsidRDefault="00B51C22" w:rsidP="00B51C22">
      <w:pPr>
        <w:spacing w:line="240" w:lineRule="auto"/>
        <w:ind w:hanging="720"/>
        <w:rPr>
          <w:sz w:val="24"/>
          <w:szCs w:val="24"/>
        </w:rPr>
      </w:pPr>
      <w:r>
        <w:rPr>
          <w:sz w:val="24"/>
          <w:szCs w:val="24"/>
        </w:rPr>
        <w:t>Repatriation Medical Authority</w:t>
      </w:r>
      <w:r>
        <w:rPr>
          <w:sz w:val="24"/>
          <w:szCs w:val="24"/>
        </w:rPr>
        <w:tab/>
        <w:t>)</w:t>
      </w:r>
    </w:p>
    <w:p w:rsidR="00B51C22" w:rsidRDefault="00B51C22" w:rsidP="00B51C22">
      <w:pPr>
        <w:spacing w:line="240" w:lineRule="auto"/>
        <w:ind w:hanging="720"/>
        <w:rPr>
          <w:sz w:val="24"/>
          <w:szCs w:val="24"/>
        </w:rPr>
      </w:pPr>
      <w:r>
        <w:rPr>
          <w:sz w:val="24"/>
          <w:szCs w:val="24"/>
        </w:rPr>
        <w:t>was affixed at the direction of:</w:t>
      </w:r>
      <w:r>
        <w:rPr>
          <w:sz w:val="24"/>
          <w:szCs w:val="24"/>
        </w:rPr>
        <w:tab/>
        <w:t>)</w:t>
      </w:r>
    </w:p>
    <w:p w:rsidR="00B51C22" w:rsidRDefault="00B51C22" w:rsidP="00B51C22">
      <w:pPr>
        <w:spacing w:before="120" w:line="240" w:lineRule="auto"/>
        <w:ind w:left="3600"/>
        <w:outlineLvl w:val="0"/>
        <w:rPr>
          <w:sz w:val="24"/>
          <w:szCs w:val="24"/>
        </w:rPr>
      </w:pPr>
      <w:r>
        <w:rPr>
          <w:sz w:val="24"/>
          <w:szCs w:val="24"/>
        </w:rPr>
        <w:t>PROFESSOR NICHOLAS SAUNDERS AO</w:t>
      </w:r>
    </w:p>
    <w:p w:rsidR="00CF12B0" w:rsidRDefault="00B51C22" w:rsidP="00B51C22">
      <w:pPr>
        <w:spacing w:before="60" w:line="240" w:lineRule="auto"/>
        <w:ind w:left="5041"/>
        <w:outlineLvl w:val="0"/>
        <w:rPr>
          <w:sz w:val="24"/>
          <w:szCs w:val="24"/>
        </w:rPr>
      </w:pPr>
      <w:bookmarkStart w:id="0" w:name="_GoBack"/>
      <w:bookmarkEnd w:id="0"/>
      <w:r>
        <w:rPr>
          <w:sz w:val="24"/>
          <w:szCs w:val="24"/>
        </w:rPr>
        <w:t>CHAIRPERSON</w:t>
      </w:r>
    </w:p>
    <w:sectPr w:rsidR="00CF12B0">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B0" w:rsidRDefault="00B81F9F">
      <w:r>
        <w:separator/>
      </w:r>
    </w:p>
  </w:endnote>
  <w:endnote w:type="continuationSeparator" w:id="0">
    <w:p w:rsidR="00CF12B0" w:rsidRDefault="00B8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B0" w:rsidRDefault="00B81F9F">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D41AFD">
      <w:rPr>
        <w:rFonts w:ascii="Arial" w:hAnsi="Arial"/>
        <w:b w:val="0"/>
        <w:noProof/>
        <w:snapToGrid w:val="0"/>
        <w:lang w:eastAsia="en-US"/>
      </w:rPr>
      <w:t>4</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D41AFD">
      <w:rPr>
        <w:rStyle w:val="PageNumber"/>
        <w:rFonts w:ascii="Arial" w:hAnsi="Arial"/>
        <w:b w:val="0"/>
        <w:noProof/>
      </w:rPr>
      <w:t>4</w:t>
    </w:r>
    <w:r>
      <w:rPr>
        <w:rStyle w:val="PageNumber"/>
        <w:rFonts w:ascii="Arial" w:hAnsi="Arial"/>
        <w:b w:val="0"/>
      </w:rPr>
      <w:fldChar w:fldCharType="end"/>
    </w:r>
    <w:r>
      <w:rPr>
        <w:rFonts w:ascii="Arial" w:hAnsi="Arial"/>
        <w:b w:val="0"/>
      </w:rPr>
      <w:t xml:space="preserve"> of Instrument No. </w:t>
    </w:r>
    <w:r w:rsidR="00C35272">
      <w:rPr>
        <w:rFonts w:ascii="Arial" w:hAnsi="Arial"/>
        <w:b w:val="0"/>
      </w:rPr>
      <w:t>48</w:t>
    </w:r>
    <w:r>
      <w:rPr>
        <w:rFonts w:ascii="Arial" w:hAnsi="Arial"/>
        <w:b w:val="0"/>
      </w:rPr>
      <w:t xml:space="preserve"> of </w:t>
    </w:r>
    <w:r w:rsidR="00731B44">
      <w:rPr>
        <w:rFonts w:ascii="Arial" w:hAnsi="Arial"/>
        <w:b w:val="0"/>
      </w:rPr>
      <w:t>2015</w:t>
    </w:r>
    <w:r>
      <w:rPr>
        <w:rFonts w:ascii="Arial" w:hAnsi="Arial"/>
        <w:b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B0" w:rsidRDefault="00B81F9F">
      <w:r>
        <w:separator/>
      </w:r>
    </w:p>
  </w:footnote>
  <w:footnote w:type="continuationSeparator" w:id="0">
    <w:p w:rsidR="00CF12B0" w:rsidRDefault="00B81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F308AE"/>
    <w:multiLevelType w:val="hybridMultilevel"/>
    <w:tmpl w:val="59301854"/>
    <w:lvl w:ilvl="0" w:tplc="AF42EB8E">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3">
    <w:nsid w:val="26DE416B"/>
    <w:multiLevelType w:val="hybridMultilevel"/>
    <w:tmpl w:val="BAFE1BB8"/>
    <w:lvl w:ilvl="0" w:tplc="15DAC62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5">
    <w:nsid w:val="34153EE6"/>
    <w:multiLevelType w:val="hybridMultilevel"/>
    <w:tmpl w:val="F668839C"/>
    <w:lvl w:ilvl="0" w:tplc="BDC2620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ED230B0"/>
    <w:multiLevelType w:val="hybridMultilevel"/>
    <w:tmpl w:val="0B68F226"/>
    <w:lvl w:ilvl="0" w:tplc="1B888164">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9">
    <w:nsid w:val="48CD121E"/>
    <w:multiLevelType w:val="multilevel"/>
    <w:tmpl w:val="345E4F68"/>
    <w:lvl w:ilvl="0">
      <w:start w:val="4"/>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AF54CD0"/>
    <w:multiLevelType w:val="hybridMultilevel"/>
    <w:tmpl w:val="3F283EE2"/>
    <w:lvl w:ilvl="0" w:tplc="AF42EB8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C7568DE"/>
    <w:multiLevelType w:val="singleLevel"/>
    <w:tmpl w:val="B7AA958E"/>
    <w:lvl w:ilvl="0">
      <w:start w:val="2"/>
      <w:numFmt w:val="lowerLetter"/>
      <w:lvlText w:val="(%1)"/>
      <w:lvlJc w:val="left"/>
      <w:pPr>
        <w:tabs>
          <w:tab w:val="num" w:pos="1429"/>
        </w:tabs>
        <w:ind w:left="1429" w:hanging="720"/>
      </w:pPr>
      <w:rPr>
        <w:rFonts w:hint="default"/>
        <w:sz w:val="26"/>
      </w:rPr>
    </w:lvl>
  </w:abstractNum>
  <w:abstractNum w:abstractNumId="12">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13">
    <w:nsid w:val="539254EA"/>
    <w:multiLevelType w:val="multilevel"/>
    <w:tmpl w:val="345E4F68"/>
    <w:lvl w:ilvl="0">
      <w:start w:val="4"/>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6">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8">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4"/>
  </w:num>
  <w:num w:numId="2">
    <w:abstractNumId w:val="11"/>
  </w:num>
  <w:num w:numId="3">
    <w:abstractNumId w:val="12"/>
  </w:num>
  <w:num w:numId="4">
    <w:abstractNumId w:val="17"/>
  </w:num>
  <w:num w:numId="5">
    <w:abstractNumId w:val="18"/>
  </w:num>
  <w:num w:numId="6">
    <w:abstractNumId w:val="8"/>
  </w:num>
  <w:num w:numId="7">
    <w:abstractNumId w:val="2"/>
  </w:num>
  <w:num w:numId="8">
    <w:abstractNumId w:val="15"/>
  </w:num>
  <w:num w:numId="9">
    <w:abstractNumId w:val="6"/>
  </w:num>
  <w:num w:numId="10">
    <w:abstractNumId w:val="3"/>
  </w:num>
  <w:num w:numId="11">
    <w:abstractNumId w:val="7"/>
  </w:num>
  <w:num w:numId="12">
    <w:abstractNumId w:val="0"/>
  </w:num>
  <w:num w:numId="13">
    <w:abstractNumId w:val="16"/>
  </w:num>
  <w:num w:numId="14">
    <w:abstractNumId w:val="9"/>
  </w:num>
  <w:num w:numId="15">
    <w:abstractNumId w:val="5"/>
  </w:num>
  <w:num w:numId="16">
    <w:abstractNumId w:val="14"/>
  </w:num>
  <w:num w:numId="17">
    <w:abstractNumId w:val="10"/>
  </w:num>
  <w:num w:numId="18">
    <w:abstractNumId w:val="1"/>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9C"/>
    <w:rsid w:val="0002343B"/>
    <w:rsid w:val="000976BC"/>
    <w:rsid w:val="001F7925"/>
    <w:rsid w:val="002F50DB"/>
    <w:rsid w:val="003959C4"/>
    <w:rsid w:val="004F6CA0"/>
    <w:rsid w:val="00547393"/>
    <w:rsid w:val="00633A05"/>
    <w:rsid w:val="006C278C"/>
    <w:rsid w:val="00731B44"/>
    <w:rsid w:val="00775BA5"/>
    <w:rsid w:val="007B509C"/>
    <w:rsid w:val="007F752C"/>
    <w:rsid w:val="009F6972"/>
    <w:rsid w:val="00A062C2"/>
    <w:rsid w:val="00B51C22"/>
    <w:rsid w:val="00B81F9F"/>
    <w:rsid w:val="00BB72D0"/>
    <w:rsid w:val="00C35272"/>
    <w:rsid w:val="00CF12B0"/>
    <w:rsid w:val="00D41AFD"/>
    <w:rsid w:val="00D816C1"/>
    <w:rsid w:val="00E01ABE"/>
    <w:rsid w:val="00FE3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731B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31B44"/>
    <w:rPr>
      <w:rFonts w:ascii="Tahoma" w:hAnsi="Tahoma" w:cs="Tahoma"/>
      <w:sz w:val="16"/>
      <w:szCs w:val="16"/>
      <w:lang w:val="en-GB"/>
    </w:rPr>
  </w:style>
  <w:style w:type="paragraph" w:styleId="ListParagraph">
    <w:name w:val="List Paragraph"/>
    <w:basedOn w:val="Normal"/>
    <w:uiPriority w:val="34"/>
    <w:qFormat/>
    <w:rsid w:val="00633A05"/>
    <w:pPr>
      <w:spacing w:line="240" w:lineRule="auto"/>
      <w:contextualSpacing/>
      <w:jc w:val="left"/>
    </w:pPr>
    <w:rPr>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731B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31B44"/>
    <w:rPr>
      <w:rFonts w:ascii="Tahoma" w:hAnsi="Tahoma" w:cs="Tahoma"/>
      <w:sz w:val="16"/>
      <w:szCs w:val="16"/>
      <w:lang w:val="en-GB"/>
    </w:rPr>
  </w:style>
  <w:style w:type="paragraph" w:styleId="ListParagraph">
    <w:name w:val="List Paragraph"/>
    <w:basedOn w:val="Normal"/>
    <w:uiPriority w:val="34"/>
    <w:qFormat/>
    <w:rsid w:val="00633A05"/>
    <w:pPr>
      <w:spacing w:line="240" w:lineRule="auto"/>
      <w:contextualSpacing/>
      <w:jc w:val="left"/>
    </w:pPr>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2015-02-25T02:51:00Z</dcterms:created>
  <dcterms:modified xsi:type="dcterms:W3CDTF">2015-02-26T01:54:00Z</dcterms:modified>
</cp:coreProperties>
</file>